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2CFF">
      <w:pPr>
        <w:spacing w:after="0" w:line="720" w:lineRule="exact"/>
        <w:jc w:val="center"/>
        <w:rPr>
          <w:rFonts w:ascii="Times New Roman" w:hAnsi="Times New Roman" w:eastAsia="黑体" w:cs="Times New Roman"/>
          <w:bCs/>
          <w:spacing w:val="-16"/>
          <w:sz w:val="44"/>
          <w:szCs w:val="44"/>
          <w14:ligatures w14:val="none"/>
        </w:rPr>
      </w:pPr>
    </w:p>
    <w:p w14:paraId="7A160834">
      <w:pPr>
        <w:spacing w:after="0" w:line="720" w:lineRule="exact"/>
        <w:jc w:val="center"/>
        <w:rPr>
          <w:rFonts w:ascii="Times New Roman" w:hAnsi="Times New Roman" w:eastAsia="黑体" w:cs="Times New Roman"/>
          <w:bCs/>
          <w:spacing w:val="-16"/>
          <w:sz w:val="44"/>
          <w:szCs w:val="44"/>
          <w14:ligatures w14:val="none"/>
        </w:rPr>
      </w:pPr>
    </w:p>
    <w:p w14:paraId="3316BAB8">
      <w:pPr>
        <w:spacing w:after="0" w:line="720" w:lineRule="exact"/>
        <w:jc w:val="center"/>
        <w:rPr>
          <w:rFonts w:ascii="Times New Roman" w:hAnsi="Times New Roman" w:eastAsia="黑体" w:cs="Times New Roman"/>
          <w:bCs/>
          <w:spacing w:val="-16"/>
          <w:sz w:val="44"/>
          <w:szCs w:val="44"/>
          <w14:ligatures w14:val="none"/>
        </w:rPr>
      </w:pPr>
      <w:r>
        <w:rPr>
          <w:rFonts w:hint="eastAsia" w:ascii="Times New Roman" w:hAnsi="Times New Roman" w:eastAsia="黑体" w:cs="Times New Roman"/>
          <w:bCs/>
          <w:spacing w:val="-16"/>
          <w:sz w:val="44"/>
          <w:szCs w:val="44"/>
          <w14:ligatures w14:val="none"/>
        </w:rPr>
        <w:t>《生物炭强化厨余垃圾厌氧发酵残余物制肥技术规范》（征求意见稿）</w:t>
      </w:r>
    </w:p>
    <w:p w14:paraId="1BB2D6F9">
      <w:pPr>
        <w:spacing w:after="0" w:line="720" w:lineRule="exact"/>
        <w:jc w:val="center"/>
        <w:rPr>
          <w:rFonts w:ascii="Times New Roman" w:hAnsi="Times New Roman" w:eastAsia="黑体" w:cs="Times New Roman"/>
          <w:bCs/>
          <w:spacing w:val="-16"/>
          <w:sz w:val="44"/>
          <w:szCs w:val="44"/>
          <w14:ligatures w14:val="none"/>
        </w:rPr>
      </w:pPr>
      <w:r>
        <w:rPr>
          <w:rFonts w:hint="eastAsia" w:ascii="Times New Roman" w:hAnsi="Times New Roman" w:eastAsia="黑体" w:cs="Times New Roman"/>
          <w:bCs/>
          <w:spacing w:val="-16"/>
          <w:sz w:val="44"/>
          <w:szCs w:val="44"/>
          <w14:ligatures w14:val="none"/>
        </w:rPr>
        <w:t>编制说明</w:t>
      </w:r>
    </w:p>
    <w:p w14:paraId="36EDCE4C">
      <w:pPr>
        <w:spacing w:after="0" w:line="720" w:lineRule="exact"/>
        <w:jc w:val="center"/>
        <w:rPr>
          <w:rFonts w:ascii="Times New Roman" w:hAnsi="Times New Roman" w:eastAsia="黑体" w:cs="Times New Roman"/>
          <w:bCs/>
          <w:spacing w:val="-16"/>
          <w:sz w:val="44"/>
          <w:szCs w:val="44"/>
          <w14:ligatures w14:val="none"/>
        </w:rPr>
      </w:pPr>
    </w:p>
    <w:p w14:paraId="5C100A28">
      <w:pPr>
        <w:widowControl/>
        <w:rPr>
          <w:rFonts w:ascii="Times New Roman" w:hAnsi="Times New Roman" w:eastAsia="宋体" w:cs="Times New Roman"/>
          <w:b/>
          <w:bCs/>
        </w:rPr>
      </w:pPr>
    </w:p>
    <w:p w14:paraId="6E62847C">
      <w:pPr>
        <w:widowControl/>
        <w:rPr>
          <w:rFonts w:ascii="Times New Roman" w:hAnsi="Times New Roman" w:eastAsia="宋体" w:cs="Times New Roman"/>
          <w:b/>
          <w:bCs/>
        </w:rPr>
      </w:pPr>
    </w:p>
    <w:p w14:paraId="54816EB9">
      <w:pPr>
        <w:widowControl/>
        <w:rPr>
          <w:rFonts w:ascii="Times New Roman" w:hAnsi="Times New Roman" w:eastAsia="宋体" w:cs="Times New Roman"/>
          <w:b/>
          <w:bCs/>
        </w:rPr>
      </w:pPr>
    </w:p>
    <w:p w14:paraId="04819BC8">
      <w:pPr>
        <w:widowControl/>
        <w:rPr>
          <w:rFonts w:ascii="Times New Roman" w:hAnsi="Times New Roman" w:eastAsia="宋体" w:cs="Times New Roman"/>
          <w:b/>
          <w:bCs/>
        </w:rPr>
      </w:pPr>
    </w:p>
    <w:p w14:paraId="7B4202B2">
      <w:pPr>
        <w:widowControl/>
        <w:rPr>
          <w:rFonts w:ascii="Times New Roman" w:hAnsi="Times New Roman" w:eastAsia="宋体" w:cs="Times New Roman"/>
          <w:b/>
          <w:bCs/>
        </w:rPr>
      </w:pPr>
    </w:p>
    <w:p w14:paraId="2E6E6BF7">
      <w:pPr>
        <w:widowControl/>
        <w:rPr>
          <w:rFonts w:ascii="Times New Roman" w:hAnsi="Times New Roman" w:eastAsia="宋体" w:cs="Times New Roman"/>
          <w:b/>
          <w:bCs/>
        </w:rPr>
      </w:pPr>
    </w:p>
    <w:p w14:paraId="5D309B99">
      <w:pPr>
        <w:widowControl/>
        <w:rPr>
          <w:rFonts w:ascii="Times New Roman" w:hAnsi="Times New Roman" w:eastAsia="宋体" w:cs="Times New Roman"/>
          <w:b/>
          <w:bCs/>
        </w:rPr>
      </w:pPr>
    </w:p>
    <w:p w14:paraId="2CCE379E">
      <w:pPr>
        <w:widowControl/>
        <w:rPr>
          <w:rFonts w:ascii="Times New Roman" w:hAnsi="Times New Roman" w:eastAsia="宋体" w:cs="Times New Roman"/>
          <w:b/>
          <w:bCs/>
        </w:rPr>
      </w:pPr>
    </w:p>
    <w:p w14:paraId="7E38659D">
      <w:pPr>
        <w:widowControl/>
        <w:rPr>
          <w:rFonts w:ascii="Times New Roman" w:hAnsi="Times New Roman" w:eastAsia="宋体" w:cs="Times New Roman"/>
          <w:b/>
          <w:bCs/>
        </w:rPr>
      </w:pPr>
    </w:p>
    <w:p w14:paraId="549F213C">
      <w:pPr>
        <w:widowControl/>
        <w:rPr>
          <w:rFonts w:ascii="Times New Roman" w:hAnsi="Times New Roman" w:eastAsia="宋体" w:cs="Times New Roman"/>
          <w:b/>
          <w:bCs/>
        </w:rPr>
      </w:pPr>
    </w:p>
    <w:p w14:paraId="77CAD588">
      <w:pPr>
        <w:widowControl/>
        <w:rPr>
          <w:rFonts w:ascii="Times New Roman" w:hAnsi="Times New Roman" w:eastAsia="宋体" w:cs="Times New Roman"/>
          <w:b/>
          <w:bCs/>
        </w:rPr>
      </w:pPr>
    </w:p>
    <w:p w14:paraId="22FBCEB2">
      <w:pPr>
        <w:widowControl/>
        <w:rPr>
          <w:rFonts w:ascii="Times New Roman" w:hAnsi="Times New Roman" w:eastAsia="宋体" w:cs="Times New Roman"/>
          <w:b/>
          <w:bCs/>
        </w:rPr>
      </w:pPr>
    </w:p>
    <w:p w14:paraId="31353CF6">
      <w:pPr>
        <w:widowControl/>
        <w:rPr>
          <w:rFonts w:ascii="Times New Roman" w:hAnsi="Times New Roman" w:eastAsia="宋体" w:cs="Times New Roman"/>
          <w:b/>
          <w:bCs/>
        </w:rPr>
      </w:pPr>
    </w:p>
    <w:p w14:paraId="627068FB">
      <w:pPr>
        <w:widowControl/>
        <w:rPr>
          <w:rFonts w:ascii="Times New Roman" w:hAnsi="Times New Roman" w:eastAsia="宋体" w:cs="Times New Roman"/>
          <w:b/>
          <w:bCs/>
        </w:rPr>
      </w:pPr>
    </w:p>
    <w:p w14:paraId="53300A86">
      <w:pPr>
        <w:jc w:val="center"/>
        <w:rPr>
          <w:rFonts w:ascii="Times New Roman" w:hAnsi="Times New Roman" w:eastAsia="黑体" w:cs="Times New Roman"/>
          <w:bCs/>
          <w:spacing w:val="-16"/>
          <w:sz w:val="30"/>
          <w:szCs w:val="30"/>
          <w14:ligatures w14:val="none"/>
        </w:rPr>
      </w:pPr>
      <w:r>
        <w:rPr>
          <w:rFonts w:hint="eastAsia" w:ascii="Times New Roman" w:hAnsi="Times New Roman" w:eastAsia="黑体" w:cs="Times New Roman"/>
          <w:bCs/>
          <w:spacing w:val="-16"/>
          <w:sz w:val="30"/>
          <w:szCs w:val="30"/>
          <w14:ligatures w14:val="none"/>
        </w:rPr>
        <w:t>《生物炭强化厨余垃圾厌氧发酵残余物制肥技术规范》 编制组</w:t>
      </w:r>
    </w:p>
    <w:p w14:paraId="473A8CAB">
      <w:pPr>
        <w:jc w:val="center"/>
        <w:rPr>
          <w:rFonts w:ascii="Times New Roman" w:hAnsi="Times New Roman" w:eastAsia="黑体" w:cs="Times New Roman"/>
          <w:bCs/>
          <w:spacing w:val="-16"/>
          <w:sz w:val="30"/>
          <w:szCs w:val="30"/>
          <w14:ligatures w14:val="none"/>
        </w:rPr>
      </w:pPr>
      <w:r>
        <w:rPr>
          <w:rFonts w:hint="eastAsia" w:ascii="Times New Roman" w:hAnsi="Times New Roman" w:eastAsia="黑体" w:cs="Times New Roman"/>
          <w:bCs/>
          <w:spacing w:val="-16"/>
          <w:sz w:val="30"/>
          <w:szCs w:val="30"/>
          <w14:ligatures w14:val="none"/>
        </w:rPr>
        <w:t>二〇二六年</w:t>
      </w:r>
      <w:r>
        <w:rPr>
          <w:rFonts w:hint="eastAsia" w:ascii="Times New Roman" w:hAnsi="Times New Roman" w:eastAsia="黑体" w:cs="Times New Roman"/>
          <w:bCs/>
          <w:spacing w:val="-16"/>
          <w:sz w:val="30"/>
          <w:szCs w:val="30"/>
          <w:lang w:val="en-US" w:eastAsia="zh-CN"/>
          <w14:ligatures w14:val="none"/>
        </w:rPr>
        <w:t>六</w:t>
      </w:r>
      <w:bookmarkStart w:id="51" w:name="_GoBack"/>
      <w:bookmarkEnd w:id="51"/>
      <w:r>
        <w:rPr>
          <w:rFonts w:hint="eastAsia" w:ascii="Times New Roman" w:hAnsi="Times New Roman" w:eastAsia="黑体" w:cs="Times New Roman"/>
          <w:bCs/>
          <w:spacing w:val="-16"/>
          <w:sz w:val="30"/>
          <w:szCs w:val="30"/>
          <w14:ligatures w14:val="none"/>
        </w:rPr>
        <w:t>月</w:t>
      </w:r>
    </w:p>
    <w:p w14:paraId="2C334CD2">
      <w:pPr>
        <w:widowControl/>
        <w:rPr>
          <w:rFonts w:ascii="Times New Roman" w:hAnsi="Times New Roman" w:eastAsia="宋体" w:cs="Times New Roman"/>
          <w:b/>
          <w:bCs/>
        </w:rPr>
      </w:pPr>
    </w:p>
    <w:p w14:paraId="4716DFD1">
      <w:pPr>
        <w:pStyle w:val="45"/>
        <w:jc w:val="center"/>
        <w:rPr>
          <w:rFonts w:ascii="Times New Roman" w:hAnsi="Times New Roman" w:cs="Times New Roman" w:eastAsiaTheme="minorEastAsia"/>
          <w:color w:val="auto"/>
          <w:kern w:val="2"/>
          <w:sz w:val="22"/>
          <w:szCs w:val="24"/>
          <w:lang w:val="zh-CN"/>
          <w14:ligatures w14:val="standardContextual"/>
        </w:rPr>
        <w:sectPr>
          <w:footerReference r:id="rId5" w:type="default"/>
          <w:pgSz w:w="11906" w:h="16838"/>
          <w:pgMar w:top="1440" w:right="1800" w:bottom="1440" w:left="1800" w:header="851" w:footer="992" w:gutter="0"/>
          <w:pgNumType w:start="1"/>
          <w:cols w:space="425" w:num="1"/>
          <w:docGrid w:type="lines" w:linePitch="312" w:charSpace="0"/>
        </w:sectPr>
      </w:pPr>
    </w:p>
    <w:sdt>
      <w:sdtPr>
        <w:rPr>
          <w:rFonts w:ascii="Times New Roman" w:hAnsi="Times New Roman" w:cs="Times New Roman" w:eastAsiaTheme="minorEastAsia"/>
          <w:color w:val="auto"/>
          <w:kern w:val="2"/>
          <w:sz w:val="22"/>
          <w:szCs w:val="24"/>
          <w:lang w:val="zh-CN"/>
          <w14:ligatures w14:val="standardContextual"/>
        </w:rPr>
        <w:id w:val="-137505995"/>
        <w:docPartObj>
          <w:docPartGallery w:val="Table of Contents"/>
          <w:docPartUnique/>
        </w:docPartObj>
      </w:sdtPr>
      <w:sdtEndPr>
        <w:rPr>
          <w:rFonts w:ascii="Times New Roman" w:hAnsi="Times New Roman" w:cs="Times New Roman" w:eastAsiaTheme="minorEastAsia"/>
          <w:b/>
          <w:bCs/>
          <w:color w:val="auto"/>
          <w:kern w:val="2"/>
          <w:sz w:val="22"/>
          <w:szCs w:val="24"/>
          <w:lang w:val="zh-CN"/>
          <w14:ligatures w14:val="standardContextual"/>
        </w:rPr>
      </w:sdtEndPr>
      <w:sdtContent>
        <w:p w14:paraId="5395325C">
          <w:pPr>
            <w:pStyle w:val="45"/>
            <w:jc w:val="center"/>
            <w:rPr>
              <w:rFonts w:ascii="Times New Roman" w:hAnsi="Times New Roman" w:eastAsia="黑体" w:cs="Times New Roman"/>
              <w:color w:val="auto"/>
              <w:kern w:val="2"/>
            </w:rPr>
          </w:pPr>
          <w:r>
            <w:rPr>
              <w:rFonts w:ascii="Times New Roman" w:hAnsi="Times New Roman" w:eastAsia="黑体" w:cs="Times New Roman"/>
              <w:color w:val="auto"/>
              <w:kern w:val="2"/>
            </w:rPr>
            <w:t>目  录</w:t>
          </w:r>
        </w:p>
        <w:p w14:paraId="65C24E93">
          <w:pPr>
            <w:pStyle w:val="16"/>
            <w:tabs>
              <w:tab w:val="right" w:leader="dot" w:pos="8296"/>
            </w:tabs>
            <w:ind w:left="440"/>
            <w:rPr>
              <w:rFonts w:hint="eastAsia"/>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"_Toc230854770" </w:instrText>
          </w:r>
          <w:r>
            <w:fldChar w:fldCharType="separate"/>
          </w:r>
          <w:r>
            <w:rPr>
              <w:rStyle w:val="21"/>
              <w:rFonts w:ascii="Times New Roman" w:hAnsi="Times New Roman" w:eastAsia="黑体" w:cs="Times New Roman"/>
              <w:kern w:val="0"/>
              <w14:ligatures w14:val="none"/>
            </w:rPr>
            <w:t>1 编制背景</w:t>
          </w:r>
          <w:r>
            <w:rPr>
              <w:rFonts w:hint="eastAsia"/>
            </w:rPr>
            <w:tab/>
          </w:r>
          <w:r>
            <w:rPr>
              <w:rFonts w:hint="eastAsia"/>
            </w:rPr>
            <w:fldChar w:fldCharType="begin"/>
          </w:r>
          <w:r>
            <w:rPr>
              <w:rFonts w:hint="eastAsia"/>
            </w:rPr>
            <w:instrText xml:space="preserve"> </w:instrText>
          </w:r>
          <w:r>
            <w:instrText xml:space="preserve">PAGEREF _Toc230854770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6A4D3A76">
          <w:pPr>
            <w:pStyle w:val="12"/>
            <w:tabs>
              <w:tab w:val="right" w:leader="dot" w:pos="8296"/>
            </w:tabs>
            <w:ind w:left="880"/>
            <w:rPr>
              <w:rFonts w:hint="eastAsia"/>
            </w:rPr>
          </w:pPr>
          <w:r>
            <w:fldChar w:fldCharType="begin"/>
          </w:r>
          <w:r>
            <w:instrText xml:space="preserve"> HYPERLINK \l "_Toc230854771" </w:instrText>
          </w:r>
          <w:r>
            <w:fldChar w:fldCharType="separate"/>
          </w:r>
          <w:r>
            <w:rPr>
              <w:rStyle w:val="21"/>
              <w:rFonts w:ascii="Times New Roman" w:hAnsi="Times New Roman" w:eastAsia="黑体" w:cs="Times New Roman"/>
              <w:kern w:val="0"/>
              <w14:ligatures w14:val="none"/>
            </w:rPr>
            <w:t>1.1 任务来源</w:t>
          </w:r>
          <w:r>
            <w:rPr>
              <w:rFonts w:hint="eastAsia"/>
            </w:rPr>
            <w:tab/>
          </w:r>
          <w:r>
            <w:rPr>
              <w:rFonts w:hint="eastAsia"/>
            </w:rPr>
            <w:fldChar w:fldCharType="begin"/>
          </w:r>
          <w:r>
            <w:rPr>
              <w:rFonts w:hint="eastAsia"/>
            </w:rPr>
            <w:instrText xml:space="preserve"> </w:instrText>
          </w:r>
          <w:r>
            <w:instrText xml:space="preserve">PAGEREF _Toc230854771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2FC8B1A3">
          <w:pPr>
            <w:pStyle w:val="12"/>
            <w:tabs>
              <w:tab w:val="right" w:leader="dot" w:pos="8296"/>
            </w:tabs>
            <w:ind w:left="880"/>
            <w:rPr>
              <w:rFonts w:hint="eastAsia"/>
            </w:rPr>
          </w:pPr>
          <w:r>
            <w:fldChar w:fldCharType="begin"/>
          </w:r>
          <w:r>
            <w:instrText xml:space="preserve"> HYPERLINK \l "_Toc230854772" </w:instrText>
          </w:r>
          <w:r>
            <w:fldChar w:fldCharType="separate"/>
          </w:r>
          <w:r>
            <w:rPr>
              <w:rStyle w:val="21"/>
              <w:rFonts w:ascii="Times New Roman" w:hAnsi="Times New Roman" w:eastAsia="黑体" w:cs="Times New Roman"/>
              <w:kern w:val="0"/>
              <w14:ligatures w14:val="none"/>
            </w:rPr>
            <w:t>1.2 工作过程</w:t>
          </w:r>
          <w:r>
            <w:rPr>
              <w:rFonts w:hint="eastAsia"/>
            </w:rPr>
            <w:tab/>
          </w:r>
          <w:r>
            <w:rPr>
              <w:rFonts w:hint="eastAsia"/>
            </w:rPr>
            <w:fldChar w:fldCharType="begin"/>
          </w:r>
          <w:r>
            <w:rPr>
              <w:rFonts w:hint="eastAsia"/>
            </w:rPr>
            <w:instrText xml:space="preserve"> </w:instrText>
          </w:r>
          <w:r>
            <w:instrText xml:space="preserve">PAGEREF _Toc230854772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41537BDA">
          <w:pPr>
            <w:pStyle w:val="16"/>
            <w:tabs>
              <w:tab w:val="right" w:leader="dot" w:pos="8296"/>
            </w:tabs>
            <w:ind w:left="440"/>
            <w:rPr>
              <w:rFonts w:hint="eastAsia"/>
            </w:rPr>
          </w:pPr>
          <w:r>
            <w:fldChar w:fldCharType="begin"/>
          </w:r>
          <w:r>
            <w:instrText xml:space="preserve"> HYPERLINK \l "_Toc230854773" </w:instrText>
          </w:r>
          <w:r>
            <w:fldChar w:fldCharType="separate"/>
          </w:r>
          <w:r>
            <w:rPr>
              <w:rStyle w:val="21"/>
              <w:rFonts w:ascii="Times New Roman" w:hAnsi="Times New Roman" w:eastAsia="黑体" w:cs="Times New Roman"/>
              <w:kern w:val="0"/>
              <w14:ligatures w14:val="none"/>
            </w:rPr>
            <w:t>2 指南制订必要性</w:t>
          </w:r>
          <w:r>
            <w:rPr>
              <w:rFonts w:hint="eastAsia"/>
            </w:rPr>
            <w:tab/>
          </w:r>
          <w:r>
            <w:rPr>
              <w:rFonts w:hint="eastAsia"/>
            </w:rPr>
            <w:fldChar w:fldCharType="begin"/>
          </w:r>
          <w:r>
            <w:rPr>
              <w:rFonts w:hint="eastAsia"/>
            </w:rPr>
            <w:instrText xml:space="preserve"> </w:instrText>
          </w:r>
          <w:r>
            <w:instrText xml:space="preserve">PAGEREF _Toc230854773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AC33888">
          <w:pPr>
            <w:pStyle w:val="12"/>
            <w:tabs>
              <w:tab w:val="right" w:leader="dot" w:pos="8296"/>
            </w:tabs>
            <w:ind w:left="880"/>
            <w:rPr>
              <w:rFonts w:hint="eastAsia"/>
            </w:rPr>
          </w:pPr>
          <w:r>
            <w:fldChar w:fldCharType="begin"/>
          </w:r>
          <w:r>
            <w:instrText xml:space="preserve"> HYPERLINK \l "_Toc230854774" </w:instrText>
          </w:r>
          <w:r>
            <w:fldChar w:fldCharType="separate"/>
          </w:r>
          <w:r>
            <w:rPr>
              <w:rStyle w:val="21"/>
              <w:rFonts w:ascii="Times New Roman" w:hAnsi="Times New Roman" w:eastAsia="黑体" w:cs="Times New Roman"/>
              <w:kern w:val="0"/>
              <w14:ligatures w14:val="none"/>
            </w:rPr>
            <w:t>2.1 落实国家绿色低碳循环发展政策的需要</w:t>
          </w:r>
          <w:r>
            <w:rPr>
              <w:rFonts w:hint="eastAsia"/>
            </w:rPr>
            <w:tab/>
          </w:r>
          <w:r>
            <w:rPr>
              <w:rFonts w:hint="eastAsia"/>
            </w:rPr>
            <w:fldChar w:fldCharType="begin"/>
          </w:r>
          <w:r>
            <w:rPr>
              <w:rFonts w:hint="eastAsia"/>
            </w:rPr>
            <w:instrText xml:space="preserve"> </w:instrText>
          </w:r>
          <w:r>
            <w:instrText xml:space="preserve">PAGEREF _Toc230854774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E5C872E">
          <w:pPr>
            <w:pStyle w:val="12"/>
            <w:tabs>
              <w:tab w:val="right" w:leader="dot" w:pos="8296"/>
            </w:tabs>
            <w:ind w:left="880"/>
            <w:rPr>
              <w:rFonts w:hint="eastAsia"/>
            </w:rPr>
          </w:pPr>
          <w:r>
            <w:fldChar w:fldCharType="begin"/>
          </w:r>
          <w:r>
            <w:instrText xml:space="preserve"> HYPERLINK \l "_Toc230854775" </w:instrText>
          </w:r>
          <w:r>
            <w:fldChar w:fldCharType="separate"/>
          </w:r>
          <w:r>
            <w:rPr>
              <w:rStyle w:val="21"/>
              <w:rFonts w:ascii="Times New Roman" w:hAnsi="Times New Roman" w:eastAsia="黑体" w:cs="Times New Roman"/>
              <w:kern w:val="0"/>
              <w14:ligatures w14:val="none"/>
            </w:rPr>
            <w:t>2.2 填补生物炭强化沼渣堆肥技术标准空白的需要</w:t>
          </w:r>
          <w:r>
            <w:rPr>
              <w:rFonts w:hint="eastAsia"/>
            </w:rPr>
            <w:tab/>
          </w:r>
          <w:r>
            <w:rPr>
              <w:rFonts w:hint="eastAsia"/>
            </w:rPr>
            <w:fldChar w:fldCharType="begin"/>
          </w:r>
          <w:r>
            <w:rPr>
              <w:rFonts w:hint="eastAsia"/>
            </w:rPr>
            <w:instrText xml:space="preserve"> </w:instrText>
          </w:r>
          <w:r>
            <w:instrText xml:space="preserve">PAGEREF _Toc230854775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EBADE61">
          <w:pPr>
            <w:pStyle w:val="12"/>
            <w:tabs>
              <w:tab w:val="right" w:leader="dot" w:pos="8296"/>
            </w:tabs>
            <w:ind w:left="880"/>
            <w:rPr>
              <w:rFonts w:hint="eastAsia"/>
            </w:rPr>
          </w:pPr>
          <w:r>
            <w:fldChar w:fldCharType="begin"/>
          </w:r>
          <w:r>
            <w:instrText xml:space="preserve"> HYPERLINK \l "_Toc230854776" </w:instrText>
          </w:r>
          <w:r>
            <w:fldChar w:fldCharType="separate"/>
          </w:r>
          <w:r>
            <w:rPr>
              <w:rStyle w:val="21"/>
              <w:rFonts w:ascii="Times New Roman" w:hAnsi="Times New Roman" w:eastAsia="黑体" w:cs="Times New Roman"/>
              <w:kern w:val="0"/>
              <w14:ligatures w14:val="none"/>
            </w:rPr>
            <w:t>2.3 解决行业发展痛点和提升产品质量安全的需要</w:t>
          </w:r>
          <w:r>
            <w:rPr>
              <w:rFonts w:hint="eastAsia"/>
            </w:rPr>
            <w:tab/>
          </w:r>
          <w:r>
            <w:rPr>
              <w:rFonts w:hint="eastAsia"/>
            </w:rPr>
            <w:fldChar w:fldCharType="begin"/>
          </w:r>
          <w:r>
            <w:rPr>
              <w:rFonts w:hint="eastAsia"/>
            </w:rPr>
            <w:instrText xml:space="preserve"> </w:instrText>
          </w:r>
          <w:r>
            <w:instrText xml:space="preserve">PAGEREF _Toc230854776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11F21405">
          <w:pPr>
            <w:pStyle w:val="16"/>
            <w:tabs>
              <w:tab w:val="right" w:leader="dot" w:pos="8296"/>
            </w:tabs>
            <w:ind w:left="440"/>
            <w:rPr>
              <w:rFonts w:hint="eastAsia"/>
            </w:rPr>
          </w:pPr>
          <w:r>
            <w:fldChar w:fldCharType="begin"/>
          </w:r>
          <w:r>
            <w:instrText xml:space="preserve"> HYPERLINK \l "_Toc230854777" </w:instrText>
          </w:r>
          <w:r>
            <w:fldChar w:fldCharType="separate"/>
          </w:r>
          <w:r>
            <w:rPr>
              <w:rStyle w:val="21"/>
              <w:rFonts w:ascii="Times New Roman" w:hAnsi="Times New Roman" w:eastAsia="黑体" w:cs="Times New Roman"/>
              <w:kern w:val="0"/>
              <w14:ligatures w14:val="none"/>
            </w:rPr>
            <w:t>3 国内外研究进展</w:t>
          </w:r>
          <w:r>
            <w:rPr>
              <w:rFonts w:hint="eastAsia"/>
            </w:rPr>
            <w:tab/>
          </w:r>
          <w:r>
            <w:rPr>
              <w:rFonts w:hint="eastAsia"/>
            </w:rPr>
            <w:fldChar w:fldCharType="begin"/>
          </w:r>
          <w:r>
            <w:rPr>
              <w:rFonts w:hint="eastAsia"/>
            </w:rPr>
            <w:instrText xml:space="preserve"> </w:instrText>
          </w:r>
          <w:r>
            <w:instrText xml:space="preserve">PAGEREF _Toc230854777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EF6C322">
          <w:pPr>
            <w:pStyle w:val="12"/>
            <w:tabs>
              <w:tab w:val="right" w:leader="dot" w:pos="8296"/>
            </w:tabs>
            <w:ind w:left="880"/>
            <w:rPr>
              <w:rFonts w:hint="eastAsia"/>
            </w:rPr>
          </w:pPr>
          <w:r>
            <w:fldChar w:fldCharType="begin"/>
          </w:r>
          <w:r>
            <w:instrText xml:space="preserve"> HYPERLINK \l "_Toc230854778" </w:instrText>
          </w:r>
          <w:r>
            <w:fldChar w:fldCharType="separate"/>
          </w:r>
          <w:r>
            <w:rPr>
              <w:rStyle w:val="21"/>
              <w:rFonts w:ascii="Times New Roman" w:hAnsi="Times New Roman" w:eastAsia="黑体" w:cs="Times New Roman"/>
              <w:kern w:val="0"/>
              <w14:ligatures w14:val="none"/>
            </w:rPr>
            <w:t>3.1 国内研究进展</w:t>
          </w:r>
          <w:r>
            <w:rPr>
              <w:rFonts w:hint="eastAsia"/>
            </w:rPr>
            <w:tab/>
          </w:r>
          <w:r>
            <w:rPr>
              <w:rFonts w:hint="eastAsia"/>
            </w:rPr>
            <w:fldChar w:fldCharType="begin"/>
          </w:r>
          <w:r>
            <w:rPr>
              <w:rFonts w:hint="eastAsia"/>
            </w:rPr>
            <w:instrText xml:space="preserve"> </w:instrText>
          </w:r>
          <w:r>
            <w:instrText xml:space="preserve">PAGEREF _Toc230854778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BA8B57C">
          <w:pPr>
            <w:pStyle w:val="12"/>
            <w:tabs>
              <w:tab w:val="right" w:leader="dot" w:pos="8296"/>
            </w:tabs>
            <w:ind w:left="880"/>
            <w:rPr>
              <w:rFonts w:hint="eastAsia"/>
            </w:rPr>
          </w:pPr>
          <w:r>
            <w:fldChar w:fldCharType="begin"/>
          </w:r>
          <w:r>
            <w:instrText xml:space="preserve"> HYPERLINK \l "_Toc230854779" </w:instrText>
          </w:r>
          <w:r>
            <w:fldChar w:fldCharType="separate"/>
          </w:r>
          <w:r>
            <w:rPr>
              <w:rStyle w:val="21"/>
              <w:rFonts w:ascii="Times New Roman" w:hAnsi="Times New Roman" w:eastAsia="黑体" w:cs="Times New Roman"/>
              <w:kern w:val="0"/>
              <w14:ligatures w14:val="none"/>
            </w:rPr>
            <w:t>3.2 国外研究进展</w:t>
          </w:r>
          <w:r>
            <w:rPr>
              <w:rFonts w:hint="eastAsia"/>
            </w:rPr>
            <w:tab/>
          </w:r>
          <w:r>
            <w:rPr>
              <w:rFonts w:hint="eastAsia"/>
            </w:rPr>
            <w:fldChar w:fldCharType="begin"/>
          </w:r>
          <w:r>
            <w:rPr>
              <w:rFonts w:hint="eastAsia"/>
            </w:rPr>
            <w:instrText xml:space="preserve"> </w:instrText>
          </w:r>
          <w:r>
            <w:instrText xml:space="preserve">PAGEREF _Toc230854779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0247307D">
          <w:pPr>
            <w:pStyle w:val="12"/>
            <w:tabs>
              <w:tab w:val="right" w:leader="dot" w:pos="8296"/>
            </w:tabs>
            <w:ind w:left="880"/>
            <w:rPr>
              <w:rFonts w:hint="eastAsia"/>
            </w:rPr>
          </w:pPr>
          <w:r>
            <w:fldChar w:fldCharType="begin"/>
          </w:r>
          <w:r>
            <w:instrText xml:space="preserve"> HYPERLINK \l "_Toc230854780" </w:instrText>
          </w:r>
          <w:r>
            <w:fldChar w:fldCharType="separate"/>
          </w:r>
          <w:r>
            <w:rPr>
              <w:rStyle w:val="21"/>
              <w:rFonts w:ascii="Times New Roman" w:hAnsi="Times New Roman" w:eastAsia="黑体" w:cs="Times New Roman"/>
              <w:kern w:val="0"/>
              <w14:ligatures w14:val="none"/>
            </w:rPr>
            <w:t>3.3 本标准与国内外相关标准规范的关系</w:t>
          </w:r>
          <w:r>
            <w:rPr>
              <w:rFonts w:hint="eastAsia"/>
            </w:rPr>
            <w:tab/>
          </w:r>
          <w:r>
            <w:rPr>
              <w:rFonts w:hint="eastAsia"/>
            </w:rPr>
            <w:fldChar w:fldCharType="begin"/>
          </w:r>
          <w:r>
            <w:rPr>
              <w:rFonts w:hint="eastAsia"/>
            </w:rPr>
            <w:instrText xml:space="preserve"> </w:instrText>
          </w:r>
          <w:r>
            <w:instrText xml:space="preserve">PAGEREF _Toc230854780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001BE81B">
          <w:pPr>
            <w:pStyle w:val="16"/>
            <w:tabs>
              <w:tab w:val="right" w:leader="dot" w:pos="8296"/>
            </w:tabs>
            <w:ind w:left="440"/>
            <w:rPr>
              <w:rFonts w:hint="eastAsia"/>
            </w:rPr>
          </w:pPr>
          <w:r>
            <w:fldChar w:fldCharType="begin"/>
          </w:r>
          <w:r>
            <w:instrText xml:space="preserve"> HYPERLINK \l "_Toc230854781" </w:instrText>
          </w:r>
          <w:r>
            <w:fldChar w:fldCharType="separate"/>
          </w:r>
          <w:r>
            <w:rPr>
              <w:rStyle w:val="21"/>
              <w:rFonts w:ascii="Times New Roman" w:hAnsi="Times New Roman" w:eastAsia="黑体" w:cs="Times New Roman"/>
              <w:kern w:val="0"/>
              <w14:ligatures w14:val="none"/>
            </w:rPr>
            <w:t>4 指南编制总体思路和要求</w:t>
          </w:r>
          <w:r>
            <w:rPr>
              <w:rFonts w:hint="eastAsia"/>
            </w:rPr>
            <w:tab/>
          </w:r>
          <w:r>
            <w:rPr>
              <w:rFonts w:hint="eastAsia"/>
            </w:rPr>
            <w:fldChar w:fldCharType="begin"/>
          </w:r>
          <w:r>
            <w:rPr>
              <w:rFonts w:hint="eastAsia"/>
            </w:rPr>
            <w:instrText xml:space="preserve"> </w:instrText>
          </w:r>
          <w:r>
            <w:instrText xml:space="preserve">PAGEREF _Toc230854781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49A40C3B">
          <w:pPr>
            <w:pStyle w:val="12"/>
            <w:tabs>
              <w:tab w:val="right" w:leader="dot" w:pos="8296"/>
            </w:tabs>
            <w:ind w:left="880"/>
            <w:rPr>
              <w:rFonts w:hint="eastAsia"/>
            </w:rPr>
          </w:pPr>
          <w:r>
            <w:fldChar w:fldCharType="begin"/>
          </w:r>
          <w:r>
            <w:instrText xml:space="preserve"> HYPERLINK \l "_Toc230854782" </w:instrText>
          </w:r>
          <w:r>
            <w:fldChar w:fldCharType="separate"/>
          </w:r>
          <w:r>
            <w:rPr>
              <w:rStyle w:val="21"/>
              <w:rFonts w:ascii="Times New Roman" w:hAnsi="Times New Roman" w:eastAsia="黑体" w:cs="Times New Roman"/>
              <w:kern w:val="0"/>
              <w14:ligatures w14:val="none"/>
            </w:rPr>
            <w:t>4.1 总体思路</w:t>
          </w:r>
          <w:r>
            <w:rPr>
              <w:rFonts w:hint="eastAsia"/>
            </w:rPr>
            <w:tab/>
          </w:r>
          <w:r>
            <w:rPr>
              <w:rFonts w:hint="eastAsia"/>
            </w:rPr>
            <w:fldChar w:fldCharType="begin"/>
          </w:r>
          <w:r>
            <w:rPr>
              <w:rFonts w:hint="eastAsia"/>
            </w:rPr>
            <w:instrText xml:space="preserve"> </w:instrText>
          </w:r>
          <w:r>
            <w:instrText xml:space="preserve">PAGEREF _Toc230854782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35761BA7">
          <w:pPr>
            <w:pStyle w:val="12"/>
            <w:tabs>
              <w:tab w:val="right" w:leader="dot" w:pos="8296"/>
            </w:tabs>
            <w:ind w:left="880"/>
            <w:rPr>
              <w:rFonts w:hint="eastAsia"/>
            </w:rPr>
          </w:pPr>
          <w:r>
            <w:fldChar w:fldCharType="begin"/>
          </w:r>
          <w:r>
            <w:instrText xml:space="preserve"> HYPERLINK \l "_Toc230854783" </w:instrText>
          </w:r>
          <w:r>
            <w:fldChar w:fldCharType="separate"/>
          </w:r>
          <w:r>
            <w:rPr>
              <w:rStyle w:val="21"/>
              <w:rFonts w:ascii="Times New Roman" w:hAnsi="Times New Roman" w:eastAsia="黑体" w:cs="Times New Roman"/>
              <w:kern w:val="0"/>
              <w14:ligatures w14:val="none"/>
            </w:rPr>
            <w:t>4.2 编制要求</w:t>
          </w:r>
          <w:r>
            <w:rPr>
              <w:rFonts w:hint="eastAsia"/>
            </w:rPr>
            <w:tab/>
          </w:r>
          <w:r>
            <w:rPr>
              <w:rFonts w:hint="eastAsia"/>
            </w:rPr>
            <w:fldChar w:fldCharType="begin"/>
          </w:r>
          <w:r>
            <w:rPr>
              <w:rFonts w:hint="eastAsia"/>
            </w:rPr>
            <w:instrText xml:space="preserve"> </w:instrText>
          </w:r>
          <w:r>
            <w:instrText xml:space="preserve">PAGEREF _Toc230854783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0F0FB8A7">
          <w:pPr>
            <w:pStyle w:val="16"/>
            <w:tabs>
              <w:tab w:val="right" w:leader="dot" w:pos="8296"/>
            </w:tabs>
            <w:ind w:left="440"/>
            <w:rPr>
              <w:rFonts w:hint="eastAsia"/>
            </w:rPr>
          </w:pPr>
          <w:r>
            <w:fldChar w:fldCharType="begin"/>
          </w:r>
          <w:r>
            <w:instrText xml:space="preserve"> HYPERLINK \l "_Toc230854784" </w:instrText>
          </w:r>
          <w:r>
            <w:fldChar w:fldCharType="separate"/>
          </w:r>
          <w:r>
            <w:rPr>
              <w:rStyle w:val="21"/>
              <w:rFonts w:ascii="Times New Roman" w:hAnsi="Times New Roman" w:eastAsia="黑体" w:cs="Times New Roman"/>
              <w:kern w:val="0"/>
              <w14:ligatures w14:val="none"/>
            </w:rPr>
            <w:t>5 技术指南主要内容说明</w:t>
          </w:r>
          <w:r>
            <w:rPr>
              <w:rFonts w:hint="eastAsia"/>
            </w:rPr>
            <w:tab/>
          </w:r>
          <w:r>
            <w:rPr>
              <w:rFonts w:hint="eastAsia"/>
            </w:rPr>
            <w:fldChar w:fldCharType="begin"/>
          </w:r>
          <w:r>
            <w:rPr>
              <w:rFonts w:hint="eastAsia"/>
            </w:rPr>
            <w:instrText xml:space="preserve"> </w:instrText>
          </w:r>
          <w:r>
            <w:instrText xml:space="preserve">PAGEREF _Toc230854784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692B901E">
          <w:pPr>
            <w:pStyle w:val="12"/>
            <w:tabs>
              <w:tab w:val="right" w:leader="dot" w:pos="8296"/>
            </w:tabs>
            <w:ind w:left="880"/>
            <w:rPr>
              <w:rFonts w:hint="eastAsia"/>
            </w:rPr>
          </w:pPr>
          <w:r>
            <w:fldChar w:fldCharType="begin"/>
          </w:r>
          <w:r>
            <w:instrText xml:space="preserve"> HYPERLINK \l "_Toc230854785" </w:instrText>
          </w:r>
          <w:r>
            <w:fldChar w:fldCharType="separate"/>
          </w:r>
          <w:r>
            <w:rPr>
              <w:rStyle w:val="21"/>
              <w:rFonts w:ascii="Times New Roman" w:hAnsi="Times New Roman" w:eastAsia="黑体" w:cs="Times New Roman"/>
              <w:kern w:val="0"/>
              <w14:ligatures w14:val="none"/>
            </w:rPr>
            <w:t>5.1 适用范围</w:t>
          </w:r>
          <w:r>
            <w:rPr>
              <w:rFonts w:hint="eastAsia"/>
            </w:rPr>
            <w:tab/>
          </w:r>
          <w:r>
            <w:rPr>
              <w:rFonts w:hint="eastAsia"/>
            </w:rPr>
            <w:fldChar w:fldCharType="begin"/>
          </w:r>
          <w:r>
            <w:rPr>
              <w:rFonts w:hint="eastAsia"/>
            </w:rPr>
            <w:instrText xml:space="preserve"> </w:instrText>
          </w:r>
          <w:r>
            <w:instrText xml:space="preserve">PAGEREF _Toc230854785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4744CA9B">
          <w:pPr>
            <w:pStyle w:val="12"/>
            <w:tabs>
              <w:tab w:val="right" w:leader="dot" w:pos="8296"/>
            </w:tabs>
            <w:ind w:left="880"/>
            <w:rPr>
              <w:rFonts w:hint="eastAsia"/>
            </w:rPr>
          </w:pPr>
          <w:r>
            <w:fldChar w:fldCharType="begin"/>
          </w:r>
          <w:r>
            <w:instrText xml:space="preserve"> HYPERLINK \l "_Toc230854786" </w:instrText>
          </w:r>
          <w:r>
            <w:fldChar w:fldCharType="separate"/>
          </w:r>
          <w:r>
            <w:rPr>
              <w:rStyle w:val="21"/>
              <w:rFonts w:ascii="Times New Roman" w:hAnsi="Times New Roman" w:eastAsia="黑体" w:cs="Times New Roman"/>
              <w:kern w:val="0"/>
              <w14:ligatures w14:val="none"/>
            </w:rPr>
            <w:t>5.2 规范性引用文件</w:t>
          </w:r>
          <w:r>
            <w:rPr>
              <w:rFonts w:hint="eastAsia"/>
            </w:rPr>
            <w:tab/>
          </w:r>
          <w:r>
            <w:rPr>
              <w:rFonts w:hint="eastAsia"/>
            </w:rPr>
            <w:fldChar w:fldCharType="begin"/>
          </w:r>
          <w:r>
            <w:rPr>
              <w:rFonts w:hint="eastAsia"/>
            </w:rPr>
            <w:instrText xml:space="preserve"> </w:instrText>
          </w:r>
          <w:r>
            <w:instrText xml:space="preserve">PAGEREF _Toc230854786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51D71E1">
          <w:pPr>
            <w:pStyle w:val="12"/>
            <w:tabs>
              <w:tab w:val="right" w:leader="dot" w:pos="8296"/>
            </w:tabs>
            <w:ind w:left="880"/>
            <w:rPr>
              <w:rFonts w:hint="eastAsia"/>
            </w:rPr>
          </w:pPr>
          <w:r>
            <w:fldChar w:fldCharType="begin"/>
          </w:r>
          <w:r>
            <w:instrText xml:space="preserve"> HYPERLINK \l "_Toc230854787" </w:instrText>
          </w:r>
          <w:r>
            <w:fldChar w:fldCharType="separate"/>
          </w:r>
          <w:r>
            <w:rPr>
              <w:rStyle w:val="21"/>
              <w:rFonts w:ascii="Times New Roman" w:hAnsi="Times New Roman" w:eastAsia="黑体" w:cs="Times New Roman"/>
              <w:kern w:val="0"/>
              <w14:ligatures w14:val="none"/>
            </w:rPr>
            <w:t>5.3 术语和定义</w:t>
          </w:r>
          <w:r>
            <w:rPr>
              <w:rFonts w:hint="eastAsia"/>
            </w:rPr>
            <w:tab/>
          </w:r>
          <w:r>
            <w:rPr>
              <w:rFonts w:hint="eastAsia"/>
            </w:rPr>
            <w:fldChar w:fldCharType="begin"/>
          </w:r>
          <w:r>
            <w:rPr>
              <w:rFonts w:hint="eastAsia"/>
            </w:rPr>
            <w:instrText xml:space="preserve"> </w:instrText>
          </w:r>
          <w:r>
            <w:instrText xml:space="preserve">PAGEREF _Toc230854787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45A688D9">
          <w:pPr>
            <w:pStyle w:val="12"/>
            <w:tabs>
              <w:tab w:val="right" w:leader="dot" w:pos="8296"/>
            </w:tabs>
            <w:ind w:left="880"/>
            <w:rPr>
              <w:rFonts w:hint="eastAsia"/>
            </w:rPr>
          </w:pPr>
          <w:r>
            <w:fldChar w:fldCharType="begin"/>
          </w:r>
          <w:r>
            <w:instrText xml:space="preserve"> HYPERLINK \l "_Toc230854788" </w:instrText>
          </w:r>
          <w:r>
            <w:fldChar w:fldCharType="separate"/>
          </w:r>
          <w:r>
            <w:rPr>
              <w:rStyle w:val="21"/>
              <w:rFonts w:ascii="Times New Roman" w:hAnsi="Times New Roman" w:eastAsia="黑体" w:cs="Times New Roman"/>
              <w:kern w:val="0"/>
              <w14:ligatures w14:val="none"/>
            </w:rPr>
            <w:t>5.4 技术要求</w:t>
          </w:r>
          <w:r>
            <w:rPr>
              <w:rFonts w:hint="eastAsia"/>
            </w:rPr>
            <w:tab/>
          </w:r>
          <w:r>
            <w:rPr>
              <w:rFonts w:hint="eastAsia"/>
            </w:rPr>
            <w:fldChar w:fldCharType="begin"/>
          </w:r>
          <w:r>
            <w:rPr>
              <w:rFonts w:hint="eastAsia"/>
            </w:rPr>
            <w:instrText xml:space="preserve"> </w:instrText>
          </w:r>
          <w:r>
            <w:instrText xml:space="preserve">PAGEREF _Toc230854788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20DCCAF2">
          <w:pPr>
            <w:pStyle w:val="12"/>
            <w:tabs>
              <w:tab w:val="right" w:leader="dot" w:pos="8296"/>
            </w:tabs>
            <w:ind w:left="880"/>
            <w:rPr>
              <w:rFonts w:hint="eastAsia"/>
            </w:rPr>
          </w:pPr>
          <w:r>
            <w:fldChar w:fldCharType="begin"/>
          </w:r>
          <w:r>
            <w:instrText xml:space="preserve"> HYPERLINK \l "_Toc230854789" </w:instrText>
          </w:r>
          <w:r>
            <w:fldChar w:fldCharType="separate"/>
          </w:r>
          <w:r>
            <w:rPr>
              <w:rStyle w:val="21"/>
              <w:rFonts w:ascii="Times New Roman" w:hAnsi="Times New Roman" w:eastAsia="黑体" w:cs="Times New Roman"/>
              <w:kern w:val="0"/>
              <w14:ligatures w14:val="none"/>
            </w:rPr>
            <w:t>5.5 检验方法</w:t>
          </w:r>
          <w:r>
            <w:rPr>
              <w:rFonts w:hint="eastAsia"/>
            </w:rPr>
            <w:tab/>
          </w:r>
          <w:r>
            <w:rPr>
              <w:rFonts w:hint="eastAsia"/>
            </w:rPr>
            <w:fldChar w:fldCharType="begin"/>
          </w:r>
          <w:r>
            <w:rPr>
              <w:rFonts w:hint="eastAsia"/>
            </w:rPr>
            <w:instrText xml:space="preserve"> </w:instrText>
          </w:r>
          <w:r>
            <w:instrText xml:space="preserve">PAGEREF _Toc230854789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51625EC9">
          <w:pPr>
            <w:pStyle w:val="12"/>
            <w:tabs>
              <w:tab w:val="right" w:leader="dot" w:pos="8296"/>
            </w:tabs>
            <w:ind w:left="880"/>
            <w:rPr>
              <w:rFonts w:hint="eastAsia"/>
            </w:rPr>
          </w:pPr>
          <w:r>
            <w:fldChar w:fldCharType="begin"/>
          </w:r>
          <w:r>
            <w:instrText xml:space="preserve"> HYPERLINK \l "_Toc230854790" </w:instrText>
          </w:r>
          <w:r>
            <w:fldChar w:fldCharType="separate"/>
          </w:r>
          <w:r>
            <w:rPr>
              <w:rStyle w:val="21"/>
              <w:rFonts w:ascii="Times New Roman" w:hAnsi="Times New Roman" w:eastAsia="黑体" w:cs="Times New Roman"/>
              <w:kern w:val="0"/>
              <w14:ligatures w14:val="none"/>
            </w:rPr>
            <w:t>5.6 产品包装与贮存</w:t>
          </w:r>
          <w:r>
            <w:rPr>
              <w:rFonts w:hint="eastAsia"/>
            </w:rPr>
            <w:tab/>
          </w:r>
          <w:r>
            <w:rPr>
              <w:rFonts w:hint="eastAsia"/>
            </w:rPr>
            <w:fldChar w:fldCharType="begin"/>
          </w:r>
          <w:r>
            <w:rPr>
              <w:rFonts w:hint="eastAsia"/>
            </w:rPr>
            <w:instrText xml:space="preserve"> </w:instrText>
          </w:r>
          <w:r>
            <w:instrText xml:space="preserve">PAGEREF _Toc230854790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45DB19B0">
          <w:pPr>
            <w:pStyle w:val="16"/>
            <w:tabs>
              <w:tab w:val="right" w:leader="dot" w:pos="8296"/>
            </w:tabs>
            <w:ind w:left="440"/>
            <w:rPr>
              <w:rFonts w:hint="eastAsia"/>
            </w:rPr>
          </w:pPr>
          <w:r>
            <w:fldChar w:fldCharType="begin"/>
          </w:r>
          <w:r>
            <w:instrText xml:space="preserve"> HYPERLINK \l "_Toc230854791" </w:instrText>
          </w:r>
          <w:r>
            <w:fldChar w:fldCharType="separate"/>
          </w:r>
          <w:r>
            <w:rPr>
              <w:rStyle w:val="21"/>
              <w:rFonts w:ascii="Times New Roman" w:hAnsi="Times New Roman" w:eastAsia="黑体" w:cs="Times New Roman"/>
              <w:kern w:val="0"/>
              <w14:ligatures w14:val="none"/>
            </w:rPr>
            <w:t>6 实施建议</w:t>
          </w:r>
          <w:r>
            <w:rPr>
              <w:rFonts w:hint="eastAsia"/>
            </w:rPr>
            <w:tab/>
          </w:r>
          <w:r>
            <w:rPr>
              <w:rFonts w:hint="eastAsia"/>
            </w:rPr>
            <w:fldChar w:fldCharType="begin"/>
          </w:r>
          <w:r>
            <w:rPr>
              <w:rFonts w:hint="eastAsia"/>
            </w:rPr>
            <w:instrText xml:space="preserve"> </w:instrText>
          </w:r>
          <w:r>
            <w:instrText xml:space="preserve">PAGEREF _Toc230854791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8A269CB">
          <w:pPr>
            <w:pStyle w:val="16"/>
            <w:tabs>
              <w:tab w:val="right" w:leader="dot" w:pos="8296"/>
            </w:tabs>
            <w:spacing w:line="320" w:lineRule="exact"/>
            <w:ind w:left="440"/>
            <w:rPr>
              <w:rFonts w:ascii="Times New Roman" w:hAnsi="Times New Roman" w:eastAsia="宋体" w:cs="Times New Roman"/>
              <w:b/>
              <w:bCs/>
            </w:rPr>
          </w:pPr>
          <w:r>
            <w:rPr>
              <w:rFonts w:ascii="Times New Roman" w:hAnsi="Times New Roman" w:cs="Times New Roman"/>
              <w:bCs/>
              <w:lang w:val="zh-CN"/>
            </w:rPr>
            <w:fldChar w:fldCharType="end"/>
          </w:r>
        </w:p>
      </w:sdtContent>
    </w:sdt>
    <w:p w14:paraId="49C1700E">
      <w:pPr>
        <w:widowControl/>
        <w:rPr>
          <w:rFonts w:ascii="Times New Roman" w:hAnsi="Times New Roman" w:eastAsia="宋体" w:cs="Times New Roman"/>
          <w:b/>
          <w:bCs/>
        </w:rPr>
        <w:sectPr>
          <w:footerReference r:id="rId6" w:type="default"/>
          <w:pgSz w:w="11906" w:h="16838"/>
          <w:pgMar w:top="1440" w:right="1800" w:bottom="1440" w:left="1800" w:header="851" w:footer="992" w:gutter="0"/>
          <w:pgNumType w:fmt="upperRoman" w:start="1"/>
          <w:cols w:space="425" w:num="1"/>
          <w:docGrid w:type="lines" w:linePitch="312" w:charSpace="0"/>
        </w:sectPr>
      </w:pPr>
    </w:p>
    <w:p w14:paraId="1CF4A4BA">
      <w:pPr>
        <w:widowControl/>
        <w:spacing w:before="156" w:beforeLines="50" w:after="156" w:afterLines="50" w:line="240" w:lineRule="auto"/>
        <w:jc w:val="both"/>
        <w:outlineLvl w:val="1"/>
        <w:rPr>
          <w:rFonts w:ascii="Times New Roman" w:hAnsi="Times New Roman" w:eastAsia="黑体" w:cs="Times New Roman"/>
          <w:kern w:val="0"/>
          <w:sz w:val="21"/>
          <w:szCs w:val="20"/>
          <w14:ligatures w14:val="none"/>
        </w:rPr>
      </w:pPr>
      <w:bookmarkStart w:id="0" w:name="_Toc32152"/>
      <w:bookmarkStart w:id="1" w:name="_Toc230854770"/>
      <w:r>
        <w:rPr>
          <w:rFonts w:ascii="Times New Roman" w:hAnsi="Times New Roman" w:eastAsia="黑体" w:cs="Times New Roman"/>
          <w:kern w:val="0"/>
          <w:sz w:val="21"/>
          <w:szCs w:val="20"/>
          <w14:ligatures w14:val="none"/>
        </w:rPr>
        <w:t>1 编制背景</w:t>
      </w:r>
      <w:bookmarkEnd w:id="0"/>
      <w:bookmarkEnd w:id="1"/>
    </w:p>
    <w:p w14:paraId="70602CAA">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2" w:name="_Toc230854771"/>
      <w:bookmarkStart w:id="3" w:name="_Toc8269"/>
      <w:r>
        <w:rPr>
          <w:rFonts w:ascii="Times New Roman" w:hAnsi="Times New Roman" w:eastAsia="黑体" w:cs="Times New Roman"/>
          <w:kern w:val="0"/>
          <w:sz w:val="21"/>
          <w:szCs w:val="20"/>
          <w14:ligatures w14:val="none"/>
        </w:rPr>
        <w:t>1.1 任务来源</w:t>
      </w:r>
      <w:bookmarkEnd w:id="2"/>
      <w:bookmarkEnd w:id="3"/>
    </w:p>
    <w:p w14:paraId="012F3148">
      <w:pPr>
        <w:snapToGrid w:val="0"/>
        <w:spacing w:after="0" w:line="400" w:lineRule="exact"/>
        <w:ind w:firstLine="482"/>
        <w:jc w:val="both"/>
        <w:rPr>
          <w:rFonts w:ascii="Times New Roman" w:hAnsi="Times New Roman" w:eastAsia="宋体" w:cs="Times New Roman"/>
          <w:sz w:val="21"/>
          <w:szCs w:val="21"/>
          <w14:ligatures w14:val="none"/>
        </w:rPr>
      </w:pPr>
      <w:bookmarkStart w:id="4" w:name="_Toc14369"/>
      <w:r>
        <w:rPr>
          <w:rFonts w:ascii="Times New Roman" w:hAnsi="Times New Roman" w:eastAsia="宋体" w:cs="Times New Roman"/>
          <w:sz w:val="21"/>
          <w:szCs w:val="21"/>
          <w14:ligatures w14:val="none"/>
        </w:rPr>
        <w:t>为贯彻《中华人民共和国固体废物污染环境防治法》</w:t>
      </w:r>
      <w:r>
        <w:rPr>
          <w:rFonts w:hint="eastAsia" w:ascii="Times New Roman" w:hAnsi="Times New Roman" w:eastAsia="宋体" w:cs="Times New Roman"/>
          <w:sz w:val="21"/>
          <w:szCs w:val="21"/>
          <w14:ligatures w14:val="none"/>
        </w:rPr>
        <w:t>、</w:t>
      </w:r>
      <w:r>
        <w:rPr>
          <w:rFonts w:ascii="Times New Roman" w:hAnsi="Times New Roman" w:eastAsia="宋体" w:cs="Times New Roman"/>
          <w:sz w:val="21"/>
          <w:szCs w:val="21"/>
          <w14:ligatures w14:val="none"/>
        </w:rPr>
        <w:t>《中华人民共和国环境保护法》相关规定，对标《固体废物综合治理行动计划》、“十五五”规划建议中构建废弃物循环利用体系的总体部署，衔接《“无废城市”建设试点工作方案》</w:t>
      </w:r>
      <w:r>
        <w:rPr>
          <w:rFonts w:hint="eastAsia" w:ascii="Times New Roman" w:hAnsi="Times New Roman" w:eastAsia="宋体" w:cs="Times New Roman"/>
          <w:sz w:val="21"/>
          <w:szCs w:val="21"/>
          <w14:ligatures w14:val="none"/>
        </w:rPr>
        <w:t>、</w:t>
      </w:r>
      <w:r>
        <w:rPr>
          <w:rFonts w:ascii="Times New Roman" w:hAnsi="Times New Roman" w:eastAsia="宋体" w:cs="Times New Roman"/>
          <w:sz w:val="21"/>
          <w:szCs w:val="21"/>
          <w14:ligatures w14:val="none"/>
        </w:rPr>
        <w:t>《关于“十四五”大宗固体废弃物综合利用的指导意见》</w:t>
      </w:r>
      <w:r>
        <w:rPr>
          <w:rFonts w:hint="eastAsia" w:ascii="Times New Roman" w:hAnsi="Times New Roman" w:eastAsia="宋体" w:cs="Times New Roman"/>
          <w:sz w:val="21"/>
          <w:szCs w:val="21"/>
          <w14:ligatures w14:val="none"/>
        </w:rPr>
        <w:t>、</w:t>
      </w:r>
      <w:r>
        <w:rPr>
          <w:rFonts w:ascii="Times New Roman" w:hAnsi="Times New Roman" w:eastAsia="宋体" w:cs="Times New Roman"/>
          <w:sz w:val="21"/>
          <w:szCs w:val="21"/>
          <w14:ligatures w14:val="none"/>
        </w:rPr>
        <w:t>《关于加快推动工业资源综合利用的实施方案》等文件对有机废弃物资源化利用提出的技术要求，本规范旨在指导各地标准化开展厨余垃圾厌氧发酵残余物与生物炭协同制肥工作。文本</w:t>
      </w:r>
      <w:r>
        <w:rPr>
          <w:rFonts w:hint="eastAsia" w:ascii="Times New Roman" w:hAnsi="Times New Roman" w:eastAsia="宋体" w:cs="Times New Roman"/>
          <w:sz w:val="21"/>
          <w:szCs w:val="21"/>
          <w14:ligatures w14:val="none"/>
        </w:rPr>
        <w:t>以提升厨余垃圾资源化利用水平为核心目标</w:t>
      </w:r>
      <w:r>
        <w:rPr>
          <w:rFonts w:ascii="Times New Roman" w:hAnsi="Times New Roman" w:eastAsia="宋体" w:cs="Times New Roman"/>
          <w:sz w:val="21"/>
          <w:szCs w:val="21"/>
          <w14:ligatures w14:val="none"/>
        </w:rPr>
        <w:t>，</w:t>
      </w:r>
      <w:r>
        <w:rPr>
          <w:rFonts w:hint="eastAsia" w:ascii="Times New Roman" w:hAnsi="Times New Roman" w:eastAsia="宋体" w:cs="Times New Roman"/>
          <w:sz w:val="21"/>
          <w:szCs w:val="21"/>
          <w14:ligatures w14:val="none"/>
        </w:rPr>
        <w:t>明确生物炭强化好氧发酵工艺的关键技术参数和产品质量要求</w:t>
      </w:r>
      <w:r>
        <w:rPr>
          <w:rFonts w:ascii="Times New Roman" w:hAnsi="Times New Roman" w:eastAsia="宋体" w:cs="Times New Roman"/>
          <w:sz w:val="21"/>
          <w:szCs w:val="21"/>
          <w14:ligatures w14:val="none"/>
        </w:rPr>
        <w:t>，既可助力城乡生态环境改善、助推绿色低碳循环发展，也能支撑有机肥产业升级与农业可持续发展，据此编制形成《生物炭强化厨余垃圾厌氧发酵残余物制肥技术规范》。</w:t>
      </w:r>
    </w:p>
    <w:p w14:paraId="002BDA76">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本技术指南依托国家重点研发计划项目“京津冀分类生活垃圾精细利用与协同减碳技术及装备”所属课题“分类生物质固废发酵产热与余热协同增温保温技术”（项目编号：2022YFC3902403）的相关研究成果。</w:t>
      </w:r>
    </w:p>
    <w:p w14:paraId="5CD1BDE9">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5" w:name="_Toc230854772"/>
      <w:r>
        <w:rPr>
          <w:rFonts w:ascii="Times New Roman" w:hAnsi="Times New Roman" w:eastAsia="黑体" w:cs="Times New Roman"/>
          <w:kern w:val="0"/>
          <w:sz w:val="21"/>
          <w:szCs w:val="20"/>
          <w14:ligatures w14:val="none"/>
        </w:rPr>
        <w:t>1.2 工作过程</w:t>
      </w:r>
      <w:bookmarkEnd w:id="4"/>
      <w:bookmarkEnd w:id="5"/>
    </w:p>
    <w:p w14:paraId="53A3964E">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在深入推进垃圾分类和“无废城市”建设的大背景下，为科学、规范地开展厨余垃圾厌氧发酵残余物的资源化利用工作，《生物炭强化厨余垃圾厌氧发酵残余物制肥技术规范》的编制工作于2025年正式启动。</w:t>
      </w:r>
      <w:r>
        <w:rPr>
          <w:rFonts w:ascii="Times New Roman" w:hAnsi="Times New Roman" w:eastAsia="宋体" w:cs="Times New Roman"/>
          <w:sz w:val="21"/>
          <w:szCs w:val="21"/>
          <w14:ligatures w14:val="none"/>
        </w:rPr>
        <w:t>本标准重点解决以下关键技术问题</w:t>
      </w:r>
      <w:r>
        <w:rPr>
          <w:rFonts w:hint="eastAsia" w:ascii="Times New Roman" w:hAnsi="Times New Roman" w:eastAsia="宋体" w:cs="Times New Roman"/>
          <w:sz w:val="21"/>
          <w:szCs w:val="21"/>
          <w14:ligatures w14:val="none"/>
        </w:rPr>
        <w:t>：</w:t>
      </w:r>
    </w:p>
    <w:p w14:paraId="45CA2074">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第一，原料适配与工艺参数优化问题。厨余垃圾厌氧发酵残余物（沼渣）具有含水率高、碳氮比偏低、易酸化等特性，传统堆肥工艺难以直接适用；生物炭的添加比例缺乏科学依据，不同应用场景（重金属钝化、臭气减排、高湿防酸败）需要差异化配比。本标准重点解决了沼渣与生物炭协同堆肥的原料质量控制指标以及关键工艺参数的优化设定问题。</w:t>
      </w:r>
    </w:p>
    <w:p w14:paraId="764BCE1D">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第二，全过程污染控制与产品质量保障问题。沼渣堆肥过程易产生恶臭气体和渗滤液，且产品存在重金属、病原菌等安全风险，缺乏与现行有机肥标准衔接的统一要求。本标准重点规定了源头削减、负压收集（效率≥90%）、末端处理的臭气控制全链条要求，场地防渗与渗滤液处置要求，以及参照NY/T 525的产品质量指标，确保工艺环保达标、产品安全可用。</w:t>
      </w:r>
    </w:p>
    <w:p w14:paraId="552F35C8">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第三，标准体系衔接与技术可操作性问题。现有标准（如NY/T 3442、HJ 1266等）未覆盖生物炭强化沼渣制肥的全过程，企业缺乏系统性的技术指导。本标准通过引用和补充现有标准，构建了从原料到产品的全链条技术规范，并提供了差异化的应用场景建议和成熟的检测方法，解决了标准空白与企业实际应用需求之间的衔接问题。</w:t>
      </w:r>
    </w:p>
    <w:p w14:paraId="0F2F0E41">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通过资料收集、分析调研以及专家咨询等方式解决以上问题，开展开题报告编制、标准各个阶段（征求意见、送审、报批、发布）文本和编制说明等。</w:t>
      </w:r>
    </w:p>
    <w:p w14:paraId="75E3C145">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具体工作过程如下：</w:t>
      </w:r>
    </w:p>
    <w:p w14:paraId="3D7A59BF">
      <w:pPr>
        <w:snapToGrid w:val="0"/>
        <w:spacing w:after="0" w:line="400" w:lineRule="exact"/>
        <w:ind w:firstLine="482"/>
        <w:jc w:val="both"/>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（一）项目筹备与团队组建阶段（202</w:t>
      </w:r>
      <w:r>
        <w:rPr>
          <w:rFonts w:hint="eastAsia" w:ascii="Times New Roman" w:hAnsi="Times New Roman" w:cs="Times New Roman"/>
          <w:b/>
          <w:bCs/>
          <w:sz w:val="21"/>
          <w:szCs w:val="21"/>
          <w14:ligatures w14:val="none"/>
        </w:rPr>
        <w:t>5</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1</w:t>
      </w:r>
      <w:r>
        <w:rPr>
          <w:rFonts w:ascii="Times New Roman" w:hAnsi="Times New Roman" w:cs="Times New Roman"/>
          <w:b/>
          <w:bCs/>
          <w:sz w:val="21"/>
          <w:szCs w:val="21"/>
          <w14:ligatures w14:val="none"/>
        </w:rPr>
        <w:t>月~202</w:t>
      </w:r>
      <w:r>
        <w:rPr>
          <w:rFonts w:hint="eastAsia" w:ascii="Times New Roman" w:hAnsi="Times New Roman" w:cs="Times New Roman"/>
          <w:b/>
          <w:bCs/>
          <w:sz w:val="21"/>
          <w:szCs w:val="21"/>
          <w14:ligatures w14:val="none"/>
        </w:rPr>
        <w:t>5</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8</w:t>
      </w:r>
      <w:r>
        <w:rPr>
          <w:rFonts w:ascii="Times New Roman" w:hAnsi="Times New Roman" w:cs="Times New Roman"/>
          <w:b/>
          <w:bCs/>
          <w:sz w:val="21"/>
          <w:szCs w:val="21"/>
          <w14:ligatures w14:val="none"/>
        </w:rPr>
        <w:t>月）</w:t>
      </w:r>
    </w:p>
    <w:p w14:paraId="19D1BA99">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2025年初，北京联合大学充分发挥其在环境科学与生物炭应用领域的专业优势，联合中华环保联合会以及多家厨余垃圾处理企业，共同组建了标准编制工作组。编制组依据《中华环保联合会团体标准管理办法（试行）》的相关规定，精心筹备标准立项申请材料，于2025年8月正式获得中华环保联合会团体标准立项批准（中环联标〔2025〕229号）。与此同时，编制组依据各成员单位的专长和优势，细致地进行了任务分工，为技术规范的编制奠定了坚实的组织基础。</w:t>
      </w:r>
    </w:p>
    <w:p w14:paraId="1DF03AA1">
      <w:pPr>
        <w:snapToGrid w:val="0"/>
        <w:spacing w:after="0" w:line="400" w:lineRule="exact"/>
        <w:ind w:firstLine="482"/>
        <w:jc w:val="both"/>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（二）资料收集与方案制定阶段（202</w:t>
      </w:r>
      <w:r>
        <w:rPr>
          <w:rFonts w:hint="eastAsia" w:ascii="Times New Roman" w:hAnsi="Times New Roman" w:cs="Times New Roman"/>
          <w:b/>
          <w:bCs/>
          <w:sz w:val="21"/>
          <w:szCs w:val="21"/>
          <w14:ligatures w14:val="none"/>
        </w:rPr>
        <w:t>5</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9</w:t>
      </w:r>
      <w:r>
        <w:rPr>
          <w:rFonts w:ascii="Times New Roman" w:hAnsi="Times New Roman" w:cs="Times New Roman"/>
          <w:b/>
          <w:bCs/>
          <w:sz w:val="21"/>
          <w:szCs w:val="21"/>
          <w14:ligatures w14:val="none"/>
        </w:rPr>
        <w:t>月~202</w:t>
      </w:r>
      <w:r>
        <w:rPr>
          <w:rFonts w:hint="eastAsia" w:ascii="Times New Roman" w:hAnsi="Times New Roman" w:cs="Times New Roman"/>
          <w:b/>
          <w:bCs/>
          <w:sz w:val="21"/>
          <w:szCs w:val="21"/>
          <w14:ligatures w14:val="none"/>
        </w:rPr>
        <w:t>5</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10</w:t>
      </w:r>
      <w:r>
        <w:rPr>
          <w:rFonts w:ascii="Times New Roman" w:hAnsi="Times New Roman" w:cs="Times New Roman"/>
          <w:b/>
          <w:bCs/>
          <w:sz w:val="21"/>
          <w:szCs w:val="21"/>
          <w14:ligatures w14:val="none"/>
        </w:rPr>
        <w:t>月）</w:t>
      </w:r>
    </w:p>
    <w:p w14:paraId="12177D9C">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自</w:t>
      </w:r>
      <w:r>
        <w:rPr>
          <w:rFonts w:hint="eastAsia" w:ascii="Times New Roman" w:hAnsi="Times New Roman" w:eastAsia="宋体" w:cs="Times New Roman"/>
          <w:sz w:val="21"/>
          <w:szCs w:val="21"/>
          <w14:ligatures w14:val="none"/>
        </w:rPr>
        <w:t>2025年9月起，编制组全面展开资料收集工作，广泛查阅国内外厨余垃圾厌氧发酵残余物处理处置、生物炭制备与应用、有机肥生产等相关领域的文献资料和技术标准。重点研究了HJ 1266《生物质废物堆肥污染控制技术规范》、NY/T 525《有机肥料》、NY/T 3442《畜禽粪便堆肥技术规范》、NY/T 4159《生物炭》等现行标准，系统梳理了我国《固体废物污染环境防治法》、《循环经济促进法》以及《固体废物综合治理行动计划》、“无废城市”建设等法律法规和政策文件，为技术规范的编制提供有力的法律支撑和技术依据。在此基础上，编制组形成了具有科学性、实用性和可操作性的标准编制实施方案，并邀请行业专家组织召开了实施方案论证会，专家们从不同专业角度提出了宝贵意见，为后续工作指明了方向</w:t>
      </w:r>
      <w:r>
        <w:rPr>
          <w:rFonts w:ascii="Times New Roman" w:hAnsi="Times New Roman" w:eastAsia="宋体" w:cs="Times New Roman"/>
          <w:sz w:val="21"/>
          <w:szCs w:val="21"/>
          <w14:ligatures w14:val="none"/>
        </w:rPr>
        <w:t>。</w:t>
      </w:r>
    </w:p>
    <w:p w14:paraId="2A3A9760">
      <w:pPr>
        <w:snapToGrid w:val="0"/>
        <w:spacing w:after="0" w:line="400" w:lineRule="exact"/>
        <w:ind w:firstLine="482"/>
        <w:jc w:val="both"/>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（三）实地调研与初稿形成阶段（202</w:t>
      </w:r>
      <w:r>
        <w:rPr>
          <w:rFonts w:hint="eastAsia" w:ascii="Times New Roman" w:hAnsi="Times New Roman" w:cs="Times New Roman"/>
          <w:b/>
          <w:bCs/>
          <w:sz w:val="21"/>
          <w:szCs w:val="21"/>
          <w14:ligatures w14:val="none"/>
        </w:rPr>
        <w:t>5</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11</w:t>
      </w:r>
      <w:r>
        <w:rPr>
          <w:rFonts w:ascii="Times New Roman" w:hAnsi="Times New Roman" w:cs="Times New Roman"/>
          <w:b/>
          <w:bCs/>
          <w:sz w:val="21"/>
          <w:szCs w:val="21"/>
          <w14:ligatures w14:val="none"/>
        </w:rPr>
        <w:t>月~202</w:t>
      </w:r>
      <w:r>
        <w:rPr>
          <w:rFonts w:hint="eastAsia" w:ascii="Times New Roman" w:hAnsi="Times New Roman" w:cs="Times New Roman"/>
          <w:b/>
          <w:bCs/>
          <w:sz w:val="21"/>
          <w:szCs w:val="21"/>
          <w14:ligatures w14:val="none"/>
        </w:rPr>
        <w:t>6</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4</w:t>
      </w:r>
      <w:r>
        <w:rPr>
          <w:rFonts w:ascii="Times New Roman" w:hAnsi="Times New Roman" w:cs="Times New Roman"/>
          <w:b/>
          <w:bCs/>
          <w:sz w:val="21"/>
          <w:szCs w:val="21"/>
          <w14:ligatures w14:val="none"/>
        </w:rPr>
        <w:t>月）</w:t>
      </w:r>
    </w:p>
    <w:p w14:paraId="0DC4A372">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在前期资料收集的基础上，编制组对国内外厨余垃圾厌氧发酵残余物处理及生物炭强化堆肥技术领域的学术文献、技术报告、工程案例及政策标准资料进行了系统分析与归纳提炼。重点剖析了我国不同区域厨余垃圾沼渣的理化特性、生物炭的制备与应用参数、好氧堆肥工艺控制要点以及臭气控制技术路线等关键内容。在此基础上，编制组多次邀请行业内专家召开线上咨询和研讨会议，就生物炭添加比例、堆肥工艺参数设定、产品质量指标选取等技术难点进行了深入论证。通过文献分析与专家咨询相结合的方式，编制组积累了充分的技术依据，结合实施方案论证会专家提出的意见，经过反复研讨与修改，最终形成了《生物炭强化厨余垃圾厌氧发酵残余物制肥技术规范（初稿）》，为后续标准的进一步完善奠定了坚实基础。</w:t>
      </w:r>
    </w:p>
    <w:p w14:paraId="4BBF044F">
      <w:pPr>
        <w:snapToGrid w:val="0"/>
        <w:spacing w:after="0" w:line="400" w:lineRule="exact"/>
        <w:ind w:firstLine="482"/>
        <w:jc w:val="both"/>
        <w:rPr>
          <w:rFonts w:ascii="Times New Roman" w:hAnsi="Times New Roman" w:cs="Times New Roman"/>
          <w:b/>
          <w:bCs/>
          <w:sz w:val="21"/>
          <w:szCs w:val="21"/>
          <w14:ligatures w14:val="none"/>
        </w:rPr>
      </w:pPr>
      <w:r>
        <w:rPr>
          <w:rFonts w:ascii="Times New Roman" w:hAnsi="Times New Roman" w:cs="Times New Roman"/>
          <w:b/>
          <w:bCs/>
          <w:sz w:val="21"/>
          <w:szCs w:val="21"/>
          <w14:ligatures w14:val="none"/>
        </w:rPr>
        <w:t>（四）</w:t>
      </w:r>
      <w:r>
        <w:rPr>
          <w:rFonts w:hint="eastAsia" w:ascii="Times New Roman" w:hAnsi="Times New Roman" w:cs="Times New Roman"/>
          <w:b/>
          <w:bCs/>
          <w:sz w:val="21"/>
          <w:szCs w:val="21"/>
          <w14:ligatures w14:val="none"/>
        </w:rPr>
        <w:t>征求意见</w:t>
      </w:r>
      <w:r>
        <w:rPr>
          <w:rFonts w:ascii="Times New Roman" w:hAnsi="Times New Roman" w:cs="Times New Roman"/>
          <w:b/>
          <w:bCs/>
          <w:sz w:val="21"/>
          <w:szCs w:val="21"/>
          <w14:ligatures w14:val="none"/>
        </w:rPr>
        <w:t>与</w:t>
      </w:r>
      <w:r>
        <w:rPr>
          <w:rFonts w:hint="eastAsia" w:ascii="Times New Roman" w:hAnsi="Times New Roman" w:cs="Times New Roman"/>
          <w:b/>
          <w:bCs/>
          <w:sz w:val="21"/>
          <w:szCs w:val="21"/>
          <w14:ligatures w14:val="none"/>
        </w:rPr>
        <w:t>发布</w:t>
      </w:r>
      <w:r>
        <w:rPr>
          <w:rFonts w:ascii="Times New Roman" w:hAnsi="Times New Roman" w:cs="Times New Roman"/>
          <w:b/>
          <w:bCs/>
          <w:sz w:val="21"/>
          <w:szCs w:val="21"/>
          <w14:ligatures w14:val="none"/>
        </w:rPr>
        <w:t>阶段（202</w:t>
      </w:r>
      <w:r>
        <w:rPr>
          <w:rFonts w:hint="eastAsia" w:ascii="Times New Roman" w:hAnsi="Times New Roman" w:cs="Times New Roman"/>
          <w:b/>
          <w:bCs/>
          <w:sz w:val="21"/>
          <w:szCs w:val="21"/>
          <w14:ligatures w14:val="none"/>
        </w:rPr>
        <w:t>6</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5</w:t>
      </w:r>
      <w:r>
        <w:rPr>
          <w:rFonts w:ascii="Times New Roman" w:hAnsi="Times New Roman" w:cs="Times New Roman"/>
          <w:b/>
          <w:bCs/>
          <w:sz w:val="21"/>
          <w:szCs w:val="21"/>
          <w14:ligatures w14:val="none"/>
        </w:rPr>
        <w:t>月~202</w:t>
      </w:r>
      <w:r>
        <w:rPr>
          <w:rFonts w:hint="eastAsia" w:ascii="Times New Roman" w:hAnsi="Times New Roman" w:cs="Times New Roman"/>
          <w:b/>
          <w:bCs/>
          <w:sz w:val="21"/>
          <w:szCs w:val="21"/>
          <w14:ligatures w14:val="none"/>
        </w:rPr>
        <w:t>6</w:t>
      </w:r>
      <w:r>
        <w:rPr>
          <w:rFonts w:ascii="Times New Roman" w:hAnsi="Times New Roman" w:cs="Times New Roman"/>
          <w:b/>
          <w:bCs/>
          <w:sz w:val="21"/>
          <w:szCs w:val="21"/>
          <w14:ligatures w14:val="none"/>
        </w:rPr>
        <w:t>年</w:t>
      </w:r>
      <w:r>
        <w:rPr>
          <w:rFonts w:hint="eastAsia" w:ascii="Times New Roman" w:hAnsi="Times New Roman" w:cs="Times New Roman"/>
          <w:b/>
          <w:bCs/>
          <w:sz w:val="21"/>
          <w:szCs w:val="21"/>
          <w14:ligatures w14:val="none"/>
        </w:rPr>
        <w:t>9</w:t>
      </w:r>
      <w:r>
        <w:rPr>
          <w:rFonts w:ascii="Times New Roman" w:hAnsi="Times New Roman" w:cs="Times New Roman"/>
          <w:b/>
          <w:bCs/>
          <w:sz w:val="21"/>
          <w:szCs w:val="21"/>
          <w14:ligatures w14:val="none"/>
        </w:rPr>
        <w:t>月）</w:t>
      </w:r>
    </w:p>
    <w:p w14:paraId="0D318E4E">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2026年5月起，编制组将对标准草案进行全面的内部审查和修改完善，形成征求意见稿。按照中华环保联合会的标准制定程序，拟向全国范围内的厨余垃圾处理企业、生物炭生产企业、有机肥生产企业、科研院所、检测机构及行业管理部门广泛征求意见。通过多轮次的沟通交流，对收集到的意见和建议进行认真梳理和分析，并融入到标准的修改完善工作中。在完善标准文本的同时，编制组同步开展编制说明的撰写工作。编制说明详细阐述了标准的编制背景、目的意义、编制原则、主要内容以及关键技术要点等，为标准的理解、应用和实施提供全面、深入的解读。</w:t>
      </w:r>
    </w:p>
    <w:p w14:paraId="25C9969C">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征求意见阶段结束后，编制组将根据反馈意见修改形成送审稿，组织专家审查会进行技术审查，根据审查意见修改形成报批稿，报送中华环保联合会审批发布</w:t>
      </w:r>
      <w:r>
        <w:rPr>
          <w:rFonts w:ascii="Times New Roman" w:hAnsi="Times New Roman" w:eastAsia="宋体" w:cs="Times New Roman"/>
          <w:sz w:val="21"/>
          <w:szCs w:val="21"/>
          <w14:ligatures w14:val="none"/>
        </w:rPr>
        <w:t>。</w:t>
      </w:r>
    </w:p>
    <w:p w14:paraId="409F8EA0">
      <w:pPr>
        <w:widowControl/>
        <w:spacing w:before="156" w:beforeLines="50" w:after="156" w:afterLines="50" w:line="360" w:lineRule="auto"/>
        <w:jc w:val="both"/>
        <w:outlineLvl w:val="1"/>
        <w:rPr>
          <w:rFonts w:ascii="Times New Roman" w:hAnsi="Times New Roman" w:eastAsia="黑体" w:cs="Times New Roman"/>
          <w:kern w:val="0"/>
          <w:sz w:val="21"/>
          <w:szCs w:val="20"/>
          <w14:ligatures w14:val="none"/>
        </w:rPr>
      </w:pPr>
      <w:bookmarkStart w:id="6" w:name="_Toc230854773"/>
      <w:bookmarkStart w:id="7" w:name="_Toc17916"/>
      <w:r>
        <w:rPr>
          <w:rFonts w:ascii="Times New Roman" w:hAnsi="Times New Roman" w:eastAsia="黑体" w:cs="Times New Roman"/>
          <w:kern w:val="0"/>
          <w:sz w:val="21"/>
          <w:szCs w:val="20"/>
          <w14:ligatures w14:val="none"/>
        </w:rPr>
        <w:t xml:space="preserve">2 </w:t>
      </w:r>
      <w:r>
        <w:rPr>
          <w:rFonts w:hint="eastAsia" w:ascii="Times New Roman" w:hAnsi="Times New Roman" w:eastAsia="黑体" w:cs="Times New Roman"/>
          <w:kern w:val="0"/>
          <w:sz w:val="21"/>
          <w:szCs w:val="20"/>
          <w14:ligatures w14:val="none"/>
        </w:rPr>
        <w:t>指南制订必要性</w:t>
      </w:r>
      <w:bookmarkEnd w:id="6"/>
      <w:bookmarkEnd w:id="7"/>
    </w:p>
    <w:p w14:paraId="442F6192">
      <w:pPr>
        <w:spacing w:before="156" w:beforeLines="50" w:after="156" w:afterLines="50" w:line="360" w:lineRule="auto"/>
        <w:jc w:val="both"/>
        <w:outlineLvl w:val="2"/>
        <w:rPr>
          <w:rFonts w:ascii="Times New Roman" w:hAnsi="Times New Roman" w:eastAsia="黑体" w:cs="Times New Roman"/>
          <w:kern w:val="0"/>
          <w:sz w:val="21"/>
          <w:szCs w:val="20"/>
          <w14:ligatures w14:val="none"/>
        </w:rPr>
      </w:pPr>
      <w:bookmarkStart w:id="8" w:name="_Toc23769"/>
      <w:bookmarkStart w:id="9" w:name="_Toc230854774"/>
      <w:bookmarkStart w:id="10" w:name="OLE_LINK22"/>
      <w:r>
        <w:rPr>
          <w:rFonts w:ascii="Times New Roman" w:hAnsi="Times New Roman" w:eastAsia="黑体" w:cs="Times New Roman"/>
          <w:kern w:val="0"/>
          <w:sz w:val="21"/>
          <w:szCs w:val="20"/>
          <w14:ligatures w14:val="none"/>
        </w:rPr>
        <w:t xml:space="preserve">2.1 </w:t>
      </w:r>
      <w:bookmarkEnd w:id="8"/>
      <w:r>
        <w:rPr>
          <w:rFonts w:hint="eastAsia" w:ascii="Times New Roman" w:hAnsi="Times New Roman" w:eastAsia="黑体" w:cs="Times New Roman"/>
          <w:kern w:val="0"/>
          <w:sz w:val="21"/>
          <w:szCs w:val="20"/>
          <w14:ligatures w14:val="none"/>
        </w:rPr>
        <w:t>落实国家绿色低碳循环发展政策的需要</w:t>
      </w:r>
      <w:bookmarkEnd w:id="9"/>
    </w:p>
    <w:p w14:paraId="2F152EB7">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在碳达峰、碳中和目标引领下，绿色低碳循环发展已成为推动经济社会高质量发展的关键路径。2026年1月，国务院印发《固体废物综合治理行动计划》，明确提出遵循“减量化、资源化、无害化”原则，推动固体废物末端治理向全过程防控转变，加快构建废弃物循环利用体系。“十五五”规划建议进一步强调积极稳妥推进碳达峰碳中和，完善适应气候变化工作体系，国家发展改革委也将牵头制定循环经济发展“十五五”规划，部署传统再生资源、“新三样”固废等回收利用重点举措。《“无废城市”建设试点工作方案》明确提出提升有机废弃物资源化利用水平，《关于“十四五”大宗固体废弃物综合利用的指导意见》要求推动大宗固废综合利用产业高质量发展。厨余垃圾作为城市有机废弃物的主要组成部分，其资源化利用水平直接影响“无废城市”建设成效和碳减排目标的实现。厨余垃圾厌氧发酵残余物的资源化利用，是打通厨余垃圾处理“最后一公里”的关键环节，制定本标准是落实国家相关政策部署的重要举措。</w:t>
      </w:r>
    </w:p>
    <w:bookmarkEnd w:id="10"/>
    <w:p w14:paraId="5AADF905">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11" w:name="_Toc21922"/>
      <w:bookmarkStart w:id="12" w:name="_Toc230854775"/>
      <w:r>
        <w:rPr>
          <w:rFonts w:ascii="Times New Roman" w:hAnsi="Times New Roman" w:eastAsia="黑体" w:cs="Times New Roman"/>
          <w:kern w:val="0"/>
          <w:sz w:val="21"/>
          <w:szCs w:val="20"/>
          <w14:ligatures w14:val="none"/>
        </w:rPr>
        <w:t xml:space="preserve">2.2 </w:t>
      </w:r>
      <w:bookmarkEnd w:id="11"/>
      <w:r>
        <w:rPr>
          <w:rFonts w:hint="eastAsia" w:ascii="Times New Roman" w:hAnsi="Times New Roman" w:eastAsia="黑体" w:cs="Times New Roman"/>
          <w:kern w:val="0"/>
          <w:sz w:val="21"/>
          <w:szCs w:val="20"/>
          <w14:ligatures w14:val="none"/>
        </w:rPr>
        <w:t>填补生物炭强化沼渣堆肥技术标准空白的需要</w:t>
      </w:r>
      <w:bookmarkEnd w:id="12"/>
    </w:p>
    <w:p w14:paraId="02DE91D1">
      <w:pPr>
        <w:snapToGrid w:val="0"/>
        <w:spacing w:after="0" w:line="400" w:lineRule="exact"/>
        <w:ind w:firstLine="482"/>
        <w:jc w:val="both"/>
        <w:rPr>
          <w:rFonts w:ascii="Times New Roman" w:hAnsi="Times New Roman" w:eastAsia="宋体" w:cs="Times New Roman"/>
          <w:sz w:val="21"/>
          <w:szCs w:val="21"/>
          <w14:ligatures w14:val="none"/>
        </w:rPr>
      </w:pPr>
      <w:bookmarkStart w:id="13" w:name="OLE_LINK25"/>
      <w:r>
        <w:rPr>
          <w:rFonts w:hint="eastAsia" w:ascii="Times New Roman" w:hAnsi="Times New Roman" w:eastAsia="宋体" w:cs="Times New Roman"/>
          <w:sz w:val="21"/>
          <w:szCs w:val="21"/>
          <w14:ligatures w14:val="none"/>
        </w:rPr>
        <w:t>现阶段，我国已相继出台《有机肥料》（NY/T 525）、《畜禽粪便堆肥技术规范》（NY/T 3442）、《生物质废物堆肥污染控制技术规范》（HJ 1266）及《生物炭》（NY/T 4159）等多项行业标准，但尚未有专门针对厨余垃圾厌氧发酵残余物与生物炭协同堆肥的技术规范。厨余垃圾厌氧发酵残余物具备含水率高、碳氮比低、易发生酸化等特性，与畜禽粪便等传统堆肥原料差异显著，直接沿用现有标准无法适配其处理需求。</w:t>
      </w:r>
    </w:p>
    <w:p w14:paraId="5DF64152">
      <w:pPr>
        <w:snapToGrid w:val="0"/>
        <w:spacing w:after="0" w:line="400" w:lineRule="exact"/>
        <w:ind w:firstLine="482"/>
        <w:jc w:val="both"/>
        <w:rPr>
          <w:rFonts w:hint="eastAsia"/>
        </w:rPr>
      </w:pPr>
      <w:r>
        <w:rPr>
          <w:rFonts w:hint="eastAsia" w:ascii="Times New Roman" w:hAnsi="Times New Roman" w:eastAsia="宋体" w:cs="Times New Roman"/>
          <w:sz w:val="21"/>
          <w:szCs w:val="21"/>
          <w14:ligatures w14:val="none"/>
        </w:rPr>
        <w:t>生物炭作为一种新型环境功能材料，具有比表面积大、吸附能力强、孔隙结构发达等特点，在改善堆肥微环境、减少氮素损失、钝化重金属等方面具有独特优势。然而，目前缺乏针对厨余垃圾厌氧发酵残余物与生物炭协同堆肥的统一技术规范，各企业在生物炭添加比例、粒径要求、理化指标、安全卫生指标及工艺控制参数等方面标准不一，导致产品质量参差不齐，制约了该技术的推广应用。制定本标准有助于统一技术要求，推动行业规范有序发展。</w:t>
      </w:r>
    </w:p>
    <w:bookmarkEnd w:id="13"/>
    <w:p w14:paraId="687F4768">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14" w:name="_Toc30486"/>
      <w:bookmarkStart w:id="15" w:name="_Toc230854776"/>
      <w:r>
        <w:rPr>
          <w:rFonts w:ascii="Times New Roman" w:hAnsi="Times New Roman" w:eastAsia="黑体" w:cs="Times New Roman"/>
          <w:kern w:val="0"/>
          <w:sz w:val="21"/>
          <w:szCs w:val="20"/>
          <w14:ligatures w14:val="none"/>
        </w:rPr>
        <w:t xml:space="preserve">2.3 </w:t>
      </w:r>
      <w:bookmarkEnd w:id="14"/>
      <w:r>
        <w:rPr>
          <w:rFonts w:hint="eastAsia" w:ascii="Times New Roman" w:hAnsi="Times New Roman" w:eastAsia="黑体" w:cs="Times New Roman"/>
          <w:kern w:val="0"/>
          <w:sz w:val="21"/>
          <w:szCs w:val="20"/>
          <w14:ligatures w14:val="none"/>
        </w:rPr>
        <w:t>解决行业发展痛点和提升产品质量安全的需要</w:t>
      </w:r>
      <w:bookmarkEnd w:id="15"/>
    </w:p>
    <w:p w14:paraId="055EE3D0">
      <w:pPr>
        <w:snapToGrid w:val="0"/>
        <w:spacing w:after="0" w:line="400" w:lineRule="exact"/>
        <w:ind w:firstLine="482"/>
        <w:jc w:val="both"/>
        <w:rPr>
          <w:rFonts w:ascii="Times New Roman" w:hAnsi="Times New Roman" w:eastAsia="宋体" w:cs="Times New Roman"/>
          <w:sz w:val="21"/>
          <w:szCs w:val="21"/>
          <w14:ligatures w14:val="none"/>
        </w:rPr>
      </w:pPr>
      <w:bookmarkStart w:id="16" w:name="OLE_LINK26"/>
      <w:r>
        <w:rPr>
          <w:rFonts w:hint="eastAsia" w:ascii="Times New Roman" w:hAnsi="Times New Roman" w:eastAsia="宋体" w:cs="Times New Roman"/>
          <w:sz w:val="21"/>
          <w:szCs w:val="21"/>
          <w14:ligatures w14:val="none"/>
        </w:rPr>
        <w:t>当前，厨余垃圾厌氧发酵残余物的处理处置是制约厨余垃圾资源化利用的瓶颈环节。传统处理方式以填埋、焚烧为主，不仅占用土地资源，还造成有机质和营养元素的浪费。堆肥化利用是沼渣资源化的重要途径，但传统沼渣堆肥存在发酵周期长、氮素损失严重、臭气控制难度大、产品附加值低等问题，影响了企业的经济效益和参与积极性。</w:t>
      </w:r>
    </w:p>
    <w:p w14:paraId="7A581590">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生物炭强化堆肥技术能够有效缩短发酵周期、减少温室气体和恶臭气体排放、提升肥料产品的有机质含量和养分水平，同时依托生物炭固碳特性，还可实现土壤碳封存，兼具多重环境效益。然而，由于缺乏统一的技术规范和产品质量标准，部分企业存在生物炭原料品质不合格、添加比例缺乏依据、堆肥工艺控制不当等问题，导致产品重金属超标、病原菌杀灭不彻底、腐熟度不达标等安全隐患，对土壤生态及农产品质量形成潜在威胁。</w:t>
      </w:r>
    </w:p>
    <w:p w14:paraId="5F617597">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本标准将围绕原料溯源、工艺参数、污染防控、产品质量等维度明确技术指标，有助于规范企业生产行为，保障有机肥产品质量安全，提升市场认可度，引领厨余垃圾资源化产业向绿色化、高值化升级。与此同时，本标准可为行业监管提供技术支撑，推动厨余垃圾处理企业与有机肥生产主体的协同合作，构建产业链上下游良性发展格局，助力“无废城市”建设与农业绿色发展协同落地。</w:t>
      </w:r>
    </w:p>
    <w:bookmarkEnd w:id="16"/>
    <w:p w14:paraId="38E904C3">
      <w:pPr>
        <w:widowControl/>
        <w:spacing w:before="156" w:beforeLines="50" w:after="156" w:afterLines="50" w:line="240" w:lineRule="auto"/>
        <w:jc w:val="both"/>
        <w:outlineLvl w:val="1"/>
        <w:rPr>
          <w:rFonts w:ascii="Times New Roman" w:hAnsi="Times New Roman" w:eastAsia="黑体" w:cs="Times New Roman"/>
          <w:kern w:val="0"/>
          <w:sz w:val="21"/>
          <w:szCs w:val="20"/>
          <w14:ligatures w14:val="none"/>
        </w:rPr>
      </w:pPr>
      <w:bookmarkStart w:id="17" w:name="_Toc230854777"/>
      <w:bookmarkStart w:id="18" w:name="_Toc25469"/>
      <w:r>
        <w:rPr>
          <w:rFonts w:ascii="Times New Roman" w:hAnsi="Times New Roman" w:eastAsia="黑体" w:cs="Times New Roman"/>
          <w:kern w:val="0"/>
          <w:sz w:val="21"/>
          <w:szCs w:val="20"/>
          <w14:ligatures w14:val="none"/>
        </w:rPr>
        <w:t>3 国内外研究进展</w:t>
      </w:r>
      <w:bookmarkEnd w:id="17"/>
      <w:bookmarkEnd w:id="18"/>
    </w:p>
    <w:p w14:paraId="5E687DB0">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19" w:name="_Toc230854778"/>
      <w:bookmarkStart w:id="20" w:name="_Toc3954"/>
      <w:r>
        <w:rPr>
          <w:rFonts w:ascii="Times New Roman" w:hAnsi="Times New Roman" w:eastAsia="黑体" w:cs="Times New Roman"/>
          <w:kern w:val="0"/>
          <w:sz w:val="21"/>
          <w:szCs w:val="20"/>
          <w14:ligatures w14:val="none"/>
        </w:rPr>
        <w:t>3.</w:t>
      </w:r>
      <w:r>
        <w:rPr>
          <w:rFonts w:hint="eastAsia" w:ascii="Times New Roman" w:hAnsi="Times New Roman" w:eastAsia="黑体" w:cs="Times New Roman"/>
          <w:kern w:val="0"/>
          <w:sz w:val="21"/>
          <w:szCs w:val="20"/>
          <w14:ligatures w14:val="none"/>
        </w:rPr>
        <w:t>1</w:t>
      </w:r>
      <w:r>
        <w:rPr>
          <w:rFonts w:ascii="Times New Roman" w:hAnsi="Times New Roman" w:eastAsia="黑体" w:cs="Times New Roman"/>
          <w:kern w:val="0"/>
          <w:sz w:val="21"/>
          <w:szCs w:val="20"/>
          <w14:ligatures w14:val="none"/>
        </w:rPr>
        <w:t xml:space="preserve"> 国内研究</w:t>
      </w:r>
      <w:r>
        <w:rPr>
          <w:rFonts w:hint="eastAsia" w:ascii="Times New Roman" w:hAnsi="Times New Roman" w:eastAsia="黑体" w:cs="Times New Roman"/>
          <w:kern w:val="0"/>
          <w:sz w:val="21"/>
          <w:szCs w:val="20"/>
          <w14:ligatures w14:val="none"/>
        </w:rPr>
        <w:t>进展</w:t>
      </w:r>
      <w:bookmarkEnd w:id="19"/>
      <w:bookmarkEnd w:id="20"/>
    </w:p>
    <w:p w14:paraId="4E99EC7D">
      <w:pPr>
        <w:snapToGrid w:val="0"/>
        <w:spacing w:after="0" w:line="400" w:lineRule="exact"/>
        <w:ind w:firstLine="482"/>
        <w:jc w:val="both"/>
        <w:rPr>
          <w:rFonts w:ascii="Times New Roman" w:hAnsi="Times New Roman" w:eastAsia="宋体" w:cs="Times New Roman"/>
          <w:sz w:val="21"/>
          <w:szCs w:val="21"/>
          <w14:ligatures w14:val="none"/>
        </w:rPr>
      </w:pPr>
      <w:bookmarkStart w:id="21" w:name="OLE_LINK9"/>
      <w:r>
        <w:rPr>
          <w:rFonts w:hint="eastAsia" w:ascii="Times New Roman" w:hAnsi="Times New Roman" w:eastAsia="宋体" w:cs="Times New Roman"/>
          <w:sz w:val="21"/>
          <w:szCs w:val="21"/>
          <w14:ligatures w14:val="none"/>
        </w:rPr>
        <w:t>国内学界与产业界已针对厨余垃圾厌氧发酵残余物资源化、生物炭应用技术开展广泛研究，并配套发布系列技术标准，然而现阶段仍缺乏专门针对生物炭协同厨余垃圾沼渣制肥的综合性技术规范。</w:t>
      </w:r>
    </w:p>
    <w:p w14:paraId="02124A96">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从政策导向来看，厨余垃圾资源化利用已成为固体废物治理的重点方向。2026年1月国务院印发《固体废物综合治理行动计划》，依照 “减量化、资源化、无害化”总体要求，部署废弃物循环利用体系建设，大力推进厨余垃圾资源化处置工作。生态环境部发布的2025版《“无废城市”建设项目指导目录》，将厨余垃圾资源化利用列为重点建设内容，为本项技术规范的研究与编制提供了重要的政策环境。</w:t>
      </w:r>
    </w:p>
    <w:p w14:paraId="12C4016F">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基础研究方面，国内科研人员针对生物炭强化好氧堆肥体系开展了系列试验与机理探究，在堆肥进程调控、温室气体减排、氮素留存、重金属稳定化等关键技术方向取得突破性进展，为本次标准编制提供了核心科学理论与试验数据支撑。</w:t>
      </w:r>
    </w:p>
    <w:p w14:paraId="0477C7DC">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针对生物炭对沼渣堆肥过程的调控作用，张海滨等以鸡粪沼渣为原料开展梯度添加试验，结果显示各试验组均满足堆肥无害化要求；适量生物炭可有效延长高温持续时间、提升成品养分指标，堆肥腐熟度达标。相关对照试验也证实，生物炭可缩短沼渣堆肥启动周期、提升堆体温度与种子发芽指数，减少碳氮养分流失，优化堆体微生物群落结构。</w:t>
      </w:r>
    </w:p>
    <w:p w14:paraId="023B06D0">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温室气体减排效应方面，杨佳等研究证实羊粪堆肥体系中投加生物炭，可显著抑制氨气、甲烷、氧化亚氮释放，综合温室效应降低31.11%，同时延长高温发酵阶段。姜志翔课题组基于84项国内外研究开展的荟萃分析表明生物炭可使堆肥发芽指数平均提升26.6%，总氮、总钾含量分别提升9.5%、10.1%；氨气、氧化亚氮、甲烷排放量分别下降44.2%、68.4%、61.7%，其中含10%~15%的秸秆生物炭在改良堆肥品质、控制环境风险方面优势突出。</w:t>
      </w:r>
    </w:p>
    <w:p w14:paraId="2D80FC68">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臭气污染控制方面，李银超等人的</w:t>
      </w:r>
      <w:r>
        <w:rPr>
          <w:rFonts w:ascii="Times New Roman" w:hAnsi="Times New Roman" w:eastAsia="宋体" w:cs="Times New Roman"/>
          <w:sz w:val="21"/>
          <w:szCs w:val="21"/>
          <w14:ligatures w14:val="none"/>
        </w:rPr>
        <w:t>研究表明</w:t>
      </w:r>
      <w:r>
        <w:rPr>
          <w:rFonts w:hint="eastAsia" w:ascii="Times New Roman" w:hAnsi="Times New Roman" w:eastAsia="宋体" w:cs="Times New Roman"/>
          <w:sz w:val="21"/>
          <w:szCs w:val="21"/>
          <w14:ligatures w14:val="none"/>
        </w:rPr>
        <w:t>生物炭与生物滴滤耦合工艺可显著削减鸡粪堆肥中氨气、硫化氢及挥发性有机物浓度，降低氮素损失并改善腐熟效果。李太魁等人的研究也验证了生物炭对猪粪堆肥氨挥发与氮流失的抑制作用。北京大学深圳研究生院以餐厨垃圾沼渣为对象开展试验，阐明生物炭凭借多孔吸附特性，推动铵态氮向硝态氮转化，在提升堆肥效率的同时，从源头削减臭气污染物排放。</w:t>
      </w:r>
    </w:p>
    <w:p w14:paraId="648BDD19">
      <w:pPr>
        <w:snapToGrid w:val="0"/>
        <w:spacing w:after="0" w:line="400" w:lineRule="exact"/>
        <w:ind w:firstLine="482"/>
        <w:jc w:val="both"/>
        <w:rPr>
          <w:rFonts w:ascii="Times New Roman" w:hAnsi="Times New Roman" w:eastAsia="宋体" w:cs="Times New Roman"/>
          <w:color w:val="EE0000"/>
          <w:sz w:val="21"/>
          <w:szCs w:val="21"/>
          <w14:ligatures w14:val="none"/>
        </w:rPr>
      </w:pPr>
      <w:r>
        <w:rPr>
          <w:rFonts w:hint="eastAsia" w:ascii="Times New Roman" w:hAnsi="Times New Roman" w:eastAsia="宋体" w:cs="Times New Roman"/>
          <w:sz w:val="21"/>
          <w:szCs w:val="21"/>
          <w14:ligatures w14:val="none"/>
        </w:rPr>
        <w:t>重金属钝化与土壤改良方面，</w:t>
      </w:r>
      <w:r>
        <w:rPr>
          <w:rFonts w:ascii="Times New Roman" w:hAnsi="Times New Roman" w:eastAsia="宋体" w:cs="Times New Roman"/>
          <w:sz w:val="21"/>
          <w:szCs w:val="21"/>
          <w14:ligatures w14:val="none"/>
        </w:rPr>
        <w:t>生物炭凭借发达的孔隙结构和丰富的表面官能团，可吸附固定重金属离子，促使其从可交换态向稳定的残渣态转化，从而降低重金属生物有效性。西北农林科技大学研究发现，在沼渣好氧堆肥中添加生物炭，可使Cu、Zn、Cd、Pb的可交换态钝化率达7.41%~11.12%；中国科学院城市环境研究所研究表明，热解温度升高（400~800°C）有利于沼渣生物炭中重金属向稳定态转化，其中700°C制备的生物炭官能团丰富、孔隙优异，生态安全风险低。</w:t>
      </w:r>
      <w:r>
        <w:rPr>
          <w:rFonts w:hint="eastAsia" w:ascii="Times New Roman" w:hAnsi="Times New Roman" w:eastAsia="宋体" w:cs="Times New Roman"/>
          <w:sz w:val="21"/>
          <w:szCs w:val="21"/>
          <w14:ligatures w14:val="none"/>
        </w:rPr>
        <w:t>同时</w:t>
      </w:r>
      <w:r>
        <w:rPr>
          <w:rFonts w:ascii="Times New Roman" w:hAnsi="Times New Roman" w:eastAsia="宋体" w:cs="Times New Roman"/>
          <w:sz w:val="21"/>
          <w:szCs w:val="21"/>
          <w14:ligatures w14:val="none"/>
        </w:rPr>
        <w:t>，陈温福院士指出，生物炭可增加黑土有机碳、改善中低产田通气透水性，多年多点田间试验证实，生物炭基肥料可实现化肥减量5%~30%、农作物平均增产8.6%。</w:t>
      </w:r>
    </w:p>
    <w:p w14:paraId="222E6F01">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工程应用层面，国内多地已建成厨余垃圾堆肥资源化示范工程。广州市城市管理技术研究中心开发农村厨余与农业有机废弃物就地协同好氧堆肥技术，工艺运行稳定，发酵周期15~20天。环太湖地区示范项目运行数据显示，厨余垃圾经生物干化后含水率降至58.69%，再经筒仓堆肥与长期陈化处理，堆肥种子发芽指数可达89.59%。</w:t>
      </w:r>
    </w:p>
    <w:p w14:paraId="2335507A">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标准体系层面，我国现已出台《有机肥料》、《畜禽粪便堆肥技术规范》、《生物炭》、《生物质废物堆肥污染控制技术规范》等多项国家、行业标准，为相关技术落地应用提供了规范依据。2026年3月，我国正式承接 ISO/TC 238 国内对口工作，全面参与生物炭领域国际标准制定。但现有标准多针对通用有机肥或畜禽粪便等传统原料，未覆盖厨余垃圾沼渣与生物炭协同堆肥这一细分领域，编制本专项技术规范，可有效填补现有标准体系的空白。</w:t>
      </w:r>
    </w:p>
    <w:p w14:paraId="4F5D0F64">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22" w:name="_Toc230854779"/>
      <w:bookmarkStart w:id="23" w:name="_Toc19911"/>
      <w:r>
        <w:rPr>
          <w:rFonts w:ascii="Times New Roman" w:hAnsi="Times New Roman" w:eastAsia="黑体" w:cs="Times New Roman"/>
          <w:kern w:val="0"/>
          <w:sz w:val="21"/>
          <w:szCs w:val="20"/>
          <w14:ligatures w14:val="none"/>
        </w:rPr>
        <w:t>3.</w:t>
      </w:r>
      <w:r>
        <w:rPr>
          <w:rFonts w:hint="eastAsia" w:ascii="Times New Roman" w:hAnsi="Times New Roman" w:eastAsia="黑体" w:cs="Times New Roman"/>
          <w:kern w:val="0"/>
          <w:sz w:val="21"/>
          <w:szCs w:val="20"/>
          <w14:ligatures w14:val="none"/>
        </w:rPr>
        <w:t>2</w:t>
      </w:r>
      <w:r>
        <w:rPr>
          <w:rFonts w:ascii="Times New Roman" w:hAnsi="Times New Roman" w:eastAsia="黑体" w:cs="Times New Roman"/>
          <w:kern w:val="0"/>
          <w:sz w:val="21"/>
          <w:szCs w:val="20"/>
          <w14:ligatures w14:val="none"/>
        </w:rPr>
        <w:t xml:space="preserve"> 国外研究</w:t>
      </w:r>
      <w:r>
        <w:rPr>
          <w:rFonts w:hint="eastAsia" w:ascii="Times New Roman" w:hAnsi="Times New Roman" w:eastAsia="黑体" w:cs="Times New Roman"/>
          <w:kern w:val="0"/>
          <w:sz w:val="21"/>
          <w:szCs w:val="20"/>
          <w14:ligatures w14:val="none"/>
        </w:rPr>
        <w:t>进展</w:t>
      </w:r>
      <w:bookmarkEnd w:id="22"/>
      <w:bookmarkEnd w:id="23"/>
    </w:p>
    <w:p w14:paraId="05C8C972">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从科学研究层面来看，生物炭作为好氧堆肥改良添加剂已成为国际环境领域的研究热点，国内外学者围绕其调控机理与应用效果开展了大量系统性研究，相关成果陆续发表于Bioresource Technology、Environmental Research、Journal of Environmental Quality等国际权威期刊，为技术应用提供了坚实的理论支撑。</w:t>
      </w:r>
    </w:p>
    <w:p w14:paraId="1F1752C1">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在氮素固持与温室气体减排领域，Busch等（2024）以厨余垃圾、马粪与麦秸混合物料为研究对象，开展为期148天的堆肥对照试验，设置15%生物炭添加处理组，研究结果表明，生物炭可有效吸附固定堆肥体系内的铵态氮与硝态氮，且该部分矿质氮以稳定形式存在，不会诱发温室气体增量排放，为生物炭的氮素保蓄核心功能提供了直接试验佐证。Elena等（2025）针对城市有机固体废物堆肥体系开展研究，结果显示，添加10%比例生物炭并经过80天堆肥处理后，体系甲烷减排率达67%、氨气减排率达41%，同时可显著降低堆肥臭气排放水平。Daskaloudis等（2024）进一步证实，生物炭可最高实现80%的堆肥甲烷减排效果，其核心机理为生物炭能够优化堆体孔隙结构、提升通气性能，有效削减堆体厌氧区域范围，从源头抑制甲烷生成。</w:t>
      </w:r>
    </w:p>
    <w:p w14:paraId="1916E9E2">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在重金属钝化与污染物管控方面，现有国际研究系统探究了改性生物炭在有机固废堆肥中的应用效能，明确功能化生物炭可通过物理活化、化学掺杂、微生物定殖等多元改性机制，优化堆肥理化参数、促进堆体腐殖化进程，同时实现重金属稳定固化与抗生素降解去除，大幅提升堆肥环境安全性。</w:t>
      </w:r>
    </w:p>
    <w:p w14:paraId="7E97D9FE">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在堆肥腐熟度提升与产品品质优化方面，多项国际研究验证了生物炭对堆肥农艺品质的改良作用。Olivera-Begué等（2025）研究表明，堆肥体系中投加生物炭，可有效提升成品养分含量、固化重金属污染物、削减病原微生物数量，显著提升堆肥腐熟度与产品品质。Li等（2026）系统剖析了生物炭在“厌氧消化-好氧堆肥”耦合体系中的跨阶段功能传递与协同增效机制，证实生物炭在厌氧消化阶段可提升甲烷产率、增强系统运行稳定性，在后续好氧堆肥阶段可显著降低氨气、氧化亚氮、甲烷等污染物排放，减少氮素养分流失，最终产出高值土壤改良产品。该研究同时构建了以生物炭可循环利用为核心的技术经济分析框架，为技术产业化应用提供了理论支撑。Pokharel等（2025）研究证实，生物炭与堆肥复配应用，可使有机肥产能提升1.55倍，展现出优异的工程应用价值。</w:t>
      </w:r>
    </w:p>
    <w:p w14:paraId="6728061C">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在标准规范层面，国际标准化组织固体生物燃料和热解生物炭技术委员会ISO/TC 238发挥着重要的引领作用。2024年，ISO/TC 238正式将热解生物炭纳入其标准化工作范围，将生物炭、生物碳和生物煤统一纳入“热解生物炭”这一全球标准框架下，旨在建立统一的术语定义、规格分类和测试方法。ISO/AWI TS 17222-1《热解生物炭-规范与分类》正处于研制阶段，该标准将规定热解生物炭的可接受原料、测试方法及基本规格要求，涵盖固定碳含量、挥发分和吸水耐久性等关键特性。ISO/TC 238/WG 7已启动生物炭安全性标准化新工作流程，涵盖生物炭的储存、运输和职业防护等安全要求。现阶段已有14个国家的57名行业专家参与相关标准研制工作，国际标准化体系持续完善。</w:t>
      </w:r>
    </w:p>
    <w:p w14:paraId="7E4CCB17">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区域政策与标准体系方面，欧盟2024年正式颁布《永久碳移除认证框架法规》（Regulation (EU) 2024/3012），将生物炭应用纳入永久碳移除官方范畴。同时，欧盟《肥料产品法规》（Regulation (EU) 2019/1009）统一规范了有机肥及土壤改良剂的产品质量要求，明确了有机质、养分含量、重金属限值、病原菌灭活率等核心控制指标，实现了堆肥产品市场监管的标准化与规范化。</w:t>
      </w:r>
    </w:p>
    <w:p w14:paraId="0EFE3C74">
      <w:pPr>
        <w:snapToGrid w:val="0"/>
        <w:spacing w:after="0" w:line="400" w:lineRule="exact"/>
        <w:ind w:firstLine="482"/>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美国材料与试验协会（ASTM International）已发布ASTM D1762《木炭化学分析标准试验方法》等与木炭/生物炭理化分析相关的基础标准。目前ASTM尚未发布以‘生物炭（biochar）’命名的专属标准，但国际生物炭倡议（IBI）等生物炭质量标准体系中，大量检测方法引用了ASTM相关标准（如ASTM D1762用于水分、挥发分、灰分测定，ASTM D4373用于碳酸盐含量测定，ASTM D2862用于粒径分析等），为生物炭的理化性能检测提供了方法依据。</w:t>
      </w:r>
      <w:r>
        <w:rPr>
          <w:rFonts w:hint="eastAsia" w:ascii="Times New Roman" w:hAnsi="Times New Roman" w:eastAsia="宋体" w:cs="Times New Roman"/>
          <w:sz w:val="21"/>
          <w:szCs w:val="21"/>
          <w14:ligatures w14:val="none"/>
        </w:rPr>
        <w:t>与此同时，ASTM正在推进《生物炭原料标准规范》和《生物炭产品标准规范》等新标准研制，拟从原料来源、生产工艺、质量等级、应用分类等维度，构建完善的生物炭全链条标准体系。上述国际研究成果与标准化建设经验，为本规范的编制提供了重要的国际参考和技术借鉴。</w:t>
      </w:r>
    </w:p>
    <w:bookmarkEnd w:id="21"/>
    <w:p w14:paraId="4A61D674">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24" w:name="_Toc19230"/>
      <w:bookmarkStart w:id="25" w:name="_Toc230854780"/>
      <w:r>
        <w:rPr>
          <w:rFonts w:ascii="Times New Roman" w:hAnsi="Times New Roman" w:eastAsia="黑体" w:cs="Times New Roman"/>
          <w:kern w:val="0"/>
          <w:sz w:val="21"/>
          <w:szCs w:val="20"/>
          <w14:ligatures w14:val="none"/>
        </w:rPr>
        <w:t>3.3 本标准与国内外相关标准规范的关系</w:t>
      </w:r>
      <w:bookmarkEnd w:id="24"/>
      <w:bookmarkEnd w:id="25"/>
    </w:p>
    <w:p w14:paraId="7137305B">
      <w:pPr>
        <w:snapToGrid w:val="0"/>
        <w:spacing w:after="0" w:line="400" w:lineRule="exact"/>
        <w:ind w:firstLine="482"/>
        <w:jc w:val="both"/>
        <w:rPr>
          <w:rFonts w:ascii="Times New Roman" w:hAnsi="Times New Roman" w:eastAsia="宋体" w:cs="Times New Roman"/>
          <w:sz w:val="21"/>
          <w:szCs w:val="21"/>
          <w14:ligatures w14:val="none"/>
        </w:rPr>
      </w:pPr>
      <w:bookmarkStart w:id="26" w:name="OLE_LINK17"/>
      <w:r>
        <w:rPr>
          <w:rFonts w:hint="eastAsia" w:ascii="Times New Roman" w:hAnsi="Times New Roman" w:eastAsia="宋体" w:cs="Times New Roman"/>
          <w:sz w:val="21"/>
          <w:szCs w:val="21"/>
          <w14:ligatures w14:val="none"/>
        </w:rPr>
        <w:t>国外在生物炭强化堆肥及有机废弃物资源化利用领域起步较早，经过长期的探索与积累，已构建起一套相对成熟的理论体系、技术方法和标准规范，为相关研究与实践提供了坚实的理论支撑和规范指导。ISO/TC 238在生物炭国际标准化方面的推进，以及欧盟EBC认证体系和肥料产品法规的建立，为本标准的编制提供了重要的国际参考和借鉴范例。同时，国外在生物炭与沼渣协同堆肥方面的丰富研究成果，为本标准中工艺参数的确定提供了科学依据。</w:t>
      </w:r>
    </w:p>
    <w:p w14:paraId="3776C13B">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相比之下，国内在生物炭强化厨余垃圾厌氧发酵残余物制肥领域的研究尚处于发展阶段，标准体系</w:t>
      </w:r>
      <w:r>
        <w:rPr>
          <w:rFonts w:ascii="Times New Roman" w:hAnsi="Times New Roman" w:eastAsia="宋体" w:cs="Times New Roman"/>
          <w:sz w:val="21"/>
          <w:szCs w:val="21"/>
          <w14:ligatures w14:val="none"/>
        </w:rPr>
        <w:t>亦在持续完善</w:t>
      </w:r>
      <w:r>
        <w:rPr>
          <w:rFonts w:hint="eastAsia" w:ascii="Times New Roman" w:hAnsi="Times New Roman" w:eastAsia="宋体" w:cs="Times New Roman"/>
          <w:sz w:val="21"/>
          <w:szCs w:val="21"/>
          <w14:ligatures w14:val="none"/>
        </w:rPr>
        <w:t>。我国已发布的NY/T 525《有机肥料》、NY/T 3442《畜禽粪便堆肥技术规范》、NY/T 4159《生物炭》、HJ 1266《生物质废物堆肥污染控制技术规范》等标准，为本标准的编制提供了重要的技术基础和法律依据。然而，现有标准存在明显不足：一是缺乏针对厨余垃圾厌氧发酵残余物这一特定原料的专项标准，现有堆肥技术标准主要针对畜禽粪便等原料设计，未充分考虑沼渣含水率高、碳氮比偏低、易酸化等特性；二是</w:t>
      </w:r>
      <w:r>
        <w:rPr>
          <w:rFonts w:ascii="Times New Roman" w:hAnsi="Times New Roman" w:eastAsia="宋体" w:cs="Times New Roman"/>
          <w:sz w:val="21"/>
          <w:szCs w:val="21"/>
          <w14:ligatures w14:val="none"/>
        </w:rPr>
        <w:t>生物炭在堆肥场景下的应用要求尚未明确，现有生物炭标准未覆盖其堆肥施用相关内容</w:t>
      </w:r>
      <w:r>
        <w:rPr>
          <w:rFonts w:hint="eastAsia" w:ascii="Times New Roman" w:hAnsi="Times New Roman" w:eastAsia="宋体" w:cs="Times New Roman"/>
          <w:sz w:val="21"/>
          <w:szCs w:val="21"/>
          <w14:ligatures w14:val="none"/>
        </w:rPr>
        <w:t>；三是</w:t>
      </w:r>
      <w:r>
        <w:rPr>
          <w:rFonts w:ascii="Times New Roman" w:hAnsi="Times New Roman" w:eastAsia="宋体" w:cs="Times New Roman"/>
          <w:sz w:val="21"/>
          <w:szCs w:val="21"/>
          <w14:ligatures w14:val="none"/>
        </w:rPr>
        <w:t>专门面向生物炭与沼渣协同堆肥的综合性技术标准仍处于空白状态。</w:t>
      </w:r>
    </w:p>
    <w:p w14:paraId="5B479CAC">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本标准充分借鉴了国外成熟的标准规范和技术指南的先进经验，同时紧密结合我国厨余垃圾处理</w:t>
      </w:r>
      <w:r>
        <w:rPr>
          <w:rFonts w:ascii="Times New Roman" w:hAnsi="Times New Roman" w:eastAsia="宋体" w:cs="Times New Roman"/>
          <w:sz w:val="21"/>
          <w:szCs w:val="21"/>
          <w14:ligatures w14:val="none"/>
        </w:rPr>
        <w:t>行业发展现状与现有标准体系</w:t>
      </w:r>
      <w:r>
        <w:rPr>
          <w:rFonts w:hint="eastAsia" w:ascii="Times New Roman" w:hAnsi="Times New Roman" w:eastAsia="宋体" w:cs="Times New Roman"/>
          <w:sz w:val="21"/>
          <w:szCs w:val="21"/>
          <w14:ligatures w14:val="none"/>
        </w:rPr>
        <w:t>，构建了科学合理的框架体系。本标准汲取了国内已有标准中的精华内容，特别是NY/T 525的产品质量要求、NY/T 3442的堆肥工艺控制、NY/T 4159的生物炭质量要求、HJ 1266的污染控制要求，并结合近年来国内在生物炭强化堆肥领域的研究成果和工程实践经验，形成了具有针对性和可操作性的技术规范。</w:t>
      </w:r>
    </w:p>
    <w:p w14:paraId="65526832">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本标准具备以下突出特点：</w:t>
      </w:r>
    </w:p>
    <w:p w14:paraId="25742DB8">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1）综合系统性：本标准突破了单一环节的局限，不仅全面覆盖了厨余垃圾厌氧发酵残余物的原料来源和质量控制、生物炭的质量要求、功能性菌剂和辅助原料的选用，还深度融入了堆肥工艺控制（包括预处理、物料调节、堆体规格、温度控制、曝气控制、翻堆控制、渗滤液控制与处置）、陈化控制、臭气控制等全过程环节，进一步将产品质量与检测、产品包装与贮存等关键环节有机整合，构建起一个涵盖原料到产品的完整闭环的技术规范体系，实现了对生物炭强化沼渣制肥全过程的技术把控。</w:t>
      </w:r>
    </w:p>
    <w:p w14:paraId="750AA05E">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（2）创新协同性：本标准首次将生物炭的应用技术系统性地纳入厨余垃圾沼渣制肥的技术规范，明确了生物炭的添加比例（干基重量比10%~20%）、粒径要求（不小于30目）、理化指标和安全卫生指标（符合NY/T 4159Ⅰ级或Ⅱ级别标准），并根据不同应用场景（重金属钝化、臭气减排、高湿地区防酸败）给出了差异化的添加比例建议，体现了标准的创新性和实用性。同时，本标准强调了生物炭与沼渣的协同增效，通过规范工艺参数实现固碳增汇与有机肥品质提升的双重目标。</w:t>
      </w:r>
    </w:p>
    <w:p w14:paraId="33B71CA7">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（3）环保导向性：本标准将污染控制贯穿始终，在渗滤液收集处置、臭气收集处理、无组织排放控制等方面提出了明确要求，与HJ 1266等环保标准保持协调一致，充分体现了绿色低碳循环发展的理念。本标准规定的臭气收集效率不低于90%，厂界恶臭污染物浓度满足GB 14554要求，渗滤液收集池应设置强制排风系统和防爆电器设备，这些要求为行业环保管理提供了明确的技术依据。</w:t>
      </w:r>
    </w:p>
    <w:p w14:paraId="6F88EB37">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综上所述，本标准的编制将有效填补国内外在生物炭强化厨余垃圾厌氧发酵残余物制肥领域的技术标准空白，为厨余垃圾资源化利用行业的规范化、高质量发展提供重要技术支撑，推动我国在该领域的技术创新和产业升级</w:t>
      </w:r>
      <w:r>
        <w:rPr>
          <w:rFonts w:ascii="Times New Roman" w:hAnsi="Times New Roman" w:eastAsia="宋体" w:cs="Times New Roman"/>
          <w:sz w:val="21"/>
          <w:szCs w:val="21"/>
          <w14:ligatures w14:val="none"/>
        </w:rPr>
        <w:t>。</w:t>
      </w:r>
    </w:p>
    <w:bookmarkEnd w:id="26"/>
    <w:p w14:paraId="72B499A9">
      <w:pPr>
        <w:widowControl/>
        <w:spacing w:before="156" w:beforeLines="50" w:after="156" w:afterLines="50" w:line="240" w:lineRule="auto"/>
        <w:jc w:val="both"/>
        <w:outlineLvl w:val="1"/>
        <w:rPr>
          <w:rFonts w:ascii="Times New Roman" w:hAnsi="Times New Roman" w:eastAsia="黑体" w:cs="Times New Roman"/>
          <w:kern w:val="0"/>
          <w:sz w:val="21"/>
          <w:szCs w:val="20"/>
          <w14:ligatures w14:val="none"/>
        </w:rPr>
      </w:pPr>
      <w:bookmarkStart w:id="27" w:name="_Toc27971"/>
      <w:bookmarkStart w:id="28" w:name="_Toc230854781"/>
      <w:r>
        <w:rPr>
          <w:rFonts w:ascii="Times New Roman" w:hAnsi="Times New Roman" w:eastAsia="黑体" w:cs="Times New Roman"/>
          <w:kern w:val="0"/>
          <w:sz w:val="21"/>
          <w:szCs w:val="20"/>
          <w14:ligatures w14:val="none"/>
        </w:rPr>
        <w:t xml:space="preserve">4 </w:t>
      </w:r>
      <w:r>
        <w:rPr>
          <w:rFonts w:hint="eastAsia" w:ascii="Times New Roman" w:hAnsi="Times New Roman" w:eastAsia="黑体" w:cs="Times New Roman"/>
          <w:kern w:val="0"/>
          <w:sz w:val="21"/>
          <w:szCs w:val="20"/>
          <w14:ligatures w14:val="none"/>
        </w:rPr>
        <w:t>指南</w:t>
      </w:r>
      <w:r>
        <w:rPr>
          <w:rFonts w:ascii="Times New Roman" w:hAnsi="Times New Roman" w:eastAsia="黑体" w:cs="Times New Roman"/>
          <w:kern w:val="0"/>
          <w:sz w:val="21"/>
          <w:szCs w:val="20"/>
          <w14:ligatures w14:val="none"/>
        </w:rPr>
        <w:t>编制总体</w:t>
      </w:r>
      <w:r>
        <w:rPr>
          <w:rFonts w:hint="eastAsia" w:ascii="Times New Roman" w:hAnsi="Times New Roman" w:eastAsia="黑体" w:cs="Times New Roman"/>
          <w:kern w:val="0"/>
          <w:sz w:val="21"/>
          <w:szCs w:val="20"/>
          <w14:ligatures w14:val="none"/>
        </w:rPr>
        <w:t>思路</w:t>
      </w:r>
      <w:r>
        <w:rPr>
          <w:rFonts w:ascii="Times New Roman" w:hAnsi="Times New Roman" w:eastAsia="黑体" w:cs="Times New Roman"/>
          <w:kern w:val="0"/>
          <w:sz w:val="21"/>
          <w:szCs w:val="20"/>
          <w14:ligatures w14:val="none"/>
        </w:rPr>
        <w:t>和</w:t>
      </w:r>
      <w:r>
        <w:rPr>
          <w:rFonts w:hint="eastAsia" w:ascii="Times New Roman" w:hAnsi="Times New Roman" w:eastAsia="黑体" w:cs="Times New Roman"/>
          <w:kern w:val="0"/>
          <w:sz w:val="21"/>
          <w:szCs w:val="20"/>
          <w14:ligatures w14:val="none"/>
        </w:rPr>
        <w:t>要求</w:t>
      </w:r>
      <w:bookmarkEnd w:id="27"/>
      <w:bookmarkEnd w:id="28"/>
    </w:p>
    <w:p w14:paraId="1577CBD4">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29" w:name="_Toc230854782"/>
      <w:bookmarkStart w:id="30" w:name="_Toc11973"/>
      <w:r>
        <w:rPr>
          <w:rFonts w:ascii="Times New Roman" w:hAnsi="Times New Roman" w:eastAsia="黑体" w:cs="Times New Roman"/>
          <w:kern w:val="0"/>
          <w:sz w:val="21"/>
          <w:szCs w:val="20"/>
          <w14:ligatures w14:val="none"/>
        </w:rPr>
        <w:t>4.1 总体思路</w:t>
      </w:r>
      <w:bookmarkEnd w:id="29"/>
      <w:bookmarkEnd w:id="30"/>
    </w:p>
    <w:p w14:paraId="2FD338FE">
      <w:pPr>
        <w:snapToGrid w:val="0"/>
        <w:spacing w:after="0" w:line="400" w:lineRule="exact"/>
        <w:ind w:firstLine="482"/>
        <w:jc w:val="both"/>
        <w:rPr>
          <w:rFonts w:ascii="Times New Roman" w:hAnsi="Times New Roman" w:eastAsia="宋体" w:cs="Times New Roman"/>
          <w:sz w:val="21"/>
          <w:szCs w:val="21"/>
          <w14:ligatures w14:val="none"/>
        </w:rPr>
      </w:pPr>
      <w:bookmarkStart w:id="31" w:name="OLE_LINK10"/>
      <w:r>
        <w:rPr>
          <w:rFonts w:ascii="Times New Roman" w:hAnsi="Times New Roman" w:eastAsia="宋体" w:cs="Times New Roman"/>
          <w:sz w:val="21"/>
          <w:szCs w:val="21"/>
          <w14:ligatures w14:val="none"/>
        </w:rPr>
        <w:t>为贯彻《中华人民共和国固体废物污染环境防治法》</w:t>
      </w:r>
      <w:r>
        <w:rPr>
          <w:rFonts w:hint="eastAsia" w:ascii="Times New Roman" w:hAnsi="Times New Roman" w:eastAsia="宋体" w:cs="Times New Roman"/>
          <w:sz w:val="21"/>
          <w:szCs w:val="21"/>
          <w14:ligatures w14:val="none"/>
        </w:rPr>
        <w:t>和</w:t>
      </w:r>
      <w:r>
        <w:rPr>
          <w:rFonts w:ascii="Times New Roman" w:hAnsi="Times New Roman" w:eastAsia="宋体" w:cs="Times New Roman"/>
          <w:sz w:val="21"/>
          <w:szCs w:val="21"/>
          <w14:ligatures w14:val="none"/>
        </w:rPr>
        <w:t>《中华人民共和国环境保护法》，紧密围绕《固体废物综合治理行动计划》、“十五五”规划建议中关于构建废弃物循环利用体系的总体部署，以及《“无废城市”建设试点工作方案》</w:t>
      </w:r>
      <w:r>
        <w:rPr>
          <w:rFonts w:hint="eastAsia" w:ascii="Times New Roman" w:hAnsi="Times New Roman" w:eastAsia="宋体" w:cs="Times New Roman"/>
          <w:sz w:val="21"/>
          <w:szCs w:val="21"/>
          <w14:ligatures w14:val="none"/>
        </w:rPr>
        <w:t>、</w:t>
      </w:r>
      <w:r>
        <w:rPr>
          <w:rFonts w:ascii="Times New Roman" w:hAnsi="Times New Roman" w:eastAsia="宋体" w:cs="Times New Roman"/>
          <w:sz w:val="21"/>
          <w:szCs w:val="21"/>
          <w14:ligatures w14:val="none"/>
        </w:rPr>
        <w:t>《关于“十四五”大宗固体废弃物综合利用的指导意见》等文件中对厨余垃圾资源化利用和有机废弃物污染控制所提的科技需求，本指南基于“依法合规、源头管控、技术适用、系统协调”的编制原则，按照“原料溯源→物料调节→工艺优化→污染控制→产品检测→应用反馈”的实施路径有序推进，构建从原料进厂到产品出厂的全过程技术规范体系，旨在为厨余垃圾处理企业和有机肥生产企业开展生物炭强化厌氧发酵残余物制肥提供技术依据，确保工艺环保安全、产品质量稳定，助力厨余垃圾资源化利用行业绿色低碳高质量发展。</w:t>
      </w:r>
    </w:p>
    <w:bookmarkEnd w:id="31"/>
    <w:p w14:paraId="553E2BDC">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32" w:name="_Toc230854783"/>
      <w:bookmarkStart w:id="33" w:name="_Toc20257"/>
      <w:r>
        <w:rPr>
          <w:rFonts w:ascii="Times New Roman" w:hAnsi="Times New Roman" w:eastAsia="黑体" w:cs="Times New Roman"/>
          <w:kern w:val="0"/>
          <w:sz w:val="21"/>
          <w:szCs w:val="20"/>
          <w14:ligatures w14:val="none"/>
        </w:rPr>
        <w:t xml:space="preserve">4.2 </w:t>
      </w:r>
      <w:r>
        <w:rPr>
          <w:rFonts w:hint="eastAsia" w:ascii="Times New Roman" w:hAnsi="Times New Roman" w:eastAsia="黑体" w:cs="Times New Roman"/>
          <w:kern w:val="0"/>
          <w:sz w:val="21"/>
          <w:szCs w:val="20"/>
          <w14:ligatures w14:val="none"/>
        </w:rPr>
        <w:t>编制要求</w:t>
      </w:r>
      <w:bookmarkEnd w:id="32"/>
      <w:bookmarkEnd w:id="33"/>
    </w:p>
    <w:p w14:paraId="3795025E">
      <w:pPr>
        <w:snapToGrid w:val="0"/>
        <w:spacing w:after="0" w:line="400" w:lineRule="exact"/>
        <w:ind w:firstLine="482"/>
        <w:jc w:val="both"/>
        <w:rPr>
          <w:rFonts w:ascii="Times New Roman" w:hAnsi="Times New Roman" w:eastAsia="宋体" w:cs="Times New Roman"/>
          <w:sz w:val="21"/>
          <w:szCs w:val="21"/>
          <w14:ligatures w14:val="none"/>
        </w:rPr>
      </w:pPr>
      <w:bookmarkStart w:id="34" w:name="OLE_LINK4"/>
      <w:r>
        <w:rPr>
          <w:rFonts w:ascii="Times New Roman" w:hAnsi="Times New Roman" w:eastAsia="宋体" w:cs="Times New Roman"/>
          <w:sz w:val="21"/>
          <w:szCs w:val="21"/>
          <w14:ligatures w14:val="none"/>
        </w:rPr>
        <w:t>（1）依法合规。</w:t>
      </w:r>
      <w:bookmarkStart w:id="35" w:name="OLE_LINK14"/>
      <w:r>
        <w:rPr>
          <w:rFonts w:hint="eastAsia" w:ascii="Times New Roman" w:hAnsi="Times New Roman" w:eastAsia="宋体" w:cs="Times New Roman"/>
          <w:sz w:val="21"/>
          <w:szCs w:val="21"/>
          <w14:ligatures w14:val="none"/>
        </w:rPr>
        <w:t>本指南严格遵循我国现行法律法规关于固体废物污染防治、肥料管理、环境保护等要求，确保技术实施的合法性和规范性。在原料来源方面，要求厨余垃圾厌氧发酵残余物来源于具备合规环保手续的处理设施，不得混入危险废物及其他非有机杂质；生物炭由合规生物质原料制备，来源清晰可追溯。在污染控制方面，对臭气收集处理、渗滤液处置、场地防渗等提出明确要求，确保制肥全过程符合《中华人民共和国环境保护法》、《中华人民共和国固体废物污染环境防治法》及《恶臭污染物排放标准》（GB 14554）等规定。在产品方面，要求产品质量符合《有机肥料》（NY/T 525）等标准，包装标识执行《肥料标识 内容和要求》（GB 18382）。通过明确技术要求，为行业奠定坚实的标准基础，推动厨余垃圾资源化利用工作的合法化、规范化。</w:t>
      </w:r>
    </w:p>
    <w:p w14:paraId="6A88ABC9">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2）源头管控。本指南突出源头管控理念，将质量控制前移至原料环节。要求厨余垃圾厌氧发酵残余物应经稳定化、无害化处理后使用，并对其水分（≤80%）、有机质（≥30%）、杂质（≤0.5%）等关键指标进行检测；要求生物炭符合《生物炭》（NY/T 4159）Ⅰ级或Ⅱ级标准，并对粒径（不小于30目）、重金属等安全卫生指标作出规定；要求功能性菌剂来源明确、活性稳定，不得含有病原微生物；要求辅助原料清洁无污染。通过严格的原料准入，从源头保障工艺稳定和产品质量，降低后续处理的环境风险，实现对制肥全流程的初始控制，提高管理效能与精准度。</w:t>
      </w:r>
    </w:p>
    <w:p w14:paraId="1833347C">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3）技术适用。本指南充分考量我国不同地区厨余垃圾处理设施的技术水平、规模大小、气候条件和经济可行性差异，坚持因地制宜、经济合理的原则。在生物炭添加比例方面，给出干基重量比10%~20%的参考范围，并针对重金属钝化、臭气减排、高湿地区防酸败等不同应用场景提供差异化建议（10%~20%、5%~15%、8%~12%），企业可根据原料特性和处理目标灵活选择。在堆肥工艺方面，涵盖条垛式、槽式、反应器式等多种发酵设备类型，企业可根据处理规模和场地条件选择适宜技术路线。在臭气处理方面，推荐生物滤池、活性炭吸附、化学洗涤等多种技术方案，企业可根据实际情况合理选择。在参数设定上（如碳氮比25:1~35:1、含水率55%~65%、高温期不低于7天等），既保证技术有效性，又兼顾操作便捷和经济性，避免不切实际的要求加重企业负担，切实指导各地规范开展制肥工作。</w:t>
      </w:r>
    </w:p>
    <w:p w14:paraId="1E4816C9">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（4）系统协调。本指南高度重视与国内外现行相关技术标准、规范和指导文件的协调统一，构建从原料到产品的全链条技术规范体系。在产品质量方面，全面参照《有机肥料》（NY/T 525），确保产品符合国家标准；在堆肥工艺方面，充分参照《畜禽粪便堆肥技术规范》（NY/T 3442）和《生物质废物堆肥污染控制技术规范》（HJ 1266）；在生物炭质量方面，直接引用《生物炭》（NY/T 4159）的Ⅰ级或Ⅱ级标准；在恶臭排放方面，引用《恶臭污染物排放标准》（GB 14554）和《大气污染物综合排放标准》（GB 16297）；在肥料标识方面，执行《肥料标识 内容和要求》（GB 18382）。同时，借鉴ISO/TC 238生物炭国际标准化和欧盟EBC认证等国外先进经验，结合我国厨余垃圾处理行业实际，形成与现有标准体系兼容互补、具有前瞻性和可操作性的技术规范，有效避免技术冲突和重复投入，为行业提供系统性技术指引。</w:t>
      </w:r>
      <w:bookmarkEnd w:id="35"/>
    </w:p>
    <w:bookmarkEnd w:id="34"/>
    <w:p w14:paraId="4E9ED6A4">
      <w:pPr>
        <w:widowControl/>
        <w:spacing w:before="156" w:beforeLines="50" w:after="156" w:afterLines="50" w:line="240" w:lineRule="auto"/>
        <w:jc w:val="both"/>
        <w:outlineLvl w:val="1"/>
        <w:rPr>
          <w:rFonts w:ascii="Times New Roman" w:hAnsi="Times New Roman" w:eastAsia="黑体" w:cs="Times New Roman"/>
          <w:kern w:val="0"/>
          <w:sz w:val="21"/>
          <w:szCs w:val="20"/>
          <w14:ligatures w14:val="none"/>
        </w:rPr>
      </w:pPr>
      <w:bookmarkStart w:id="36" w:name="_Toc230854784"/>
      <w:bookmarkStart w:id="37" w:name="_Toc26968"/>
      <w:r>
        <w:rPr>
          <w:rFonts w:ascii="Times New Roman" w:hAnsi="Times New Roman" w:eastAsia="黑体" w:cs="Times New Roman"/>
          <w:kern w:val="0"/>
          <w:sz w:val="21"/>
          <w:szCs w:val="20"/>
          <w14:ligatures w14:val="none"/>
        </w:rPr>
        <w:t>5 技术指南主要内容说明</w:t>
      </w:r>
      <w:bookmarkEnd w:id="36"/>
      <w:bookmarkEnd w:id="37"/>
    </w:p>
    <w:p w14:paraId="3E9D1F34">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38" w:name="_Toc27394"/>
      <w:bookmarkStart w:id="39" w:name="_Toc230854785"/>
      <w:r>
        <w:rPr>
          <w:rFonts w:ascii="Times New Roman" w:hAnsi="Times New Roman" w:eastAsia="黑体" w:cs="Times New Roman"/>
          <w:kern w:val="0"/>
          <w:sz w:val="21"/>
          <w:szCs w:val="20"/>
          <w14:ligatures w14:val="none"/>
        </w:rPr>
        <w:t>5.1 适用范围</w:t>
      </w:r>
      <w:bookmarkEnd w:id="38"/>
      <w:bookmarkEnd w:id="39"/>
    </w:p>
    <w:p w14:paraId="555D2150">
      <w:pPr>
        <w:snapToGrid w:val="0"/>
        <w:spacing w:after="0" w:line="400" w:lineRule="exact"/>
        <w:ind w:firstLine="482"/>
        <w:jc w:val="both"/>
        <w:rPr>
          <w:rFonts w:ascii="Times New Roman" w:hAnsi="Times New Roman" w:eastAsia="宋体" w:cs="Times New Roman"/>
          <w:sz w:val="21"/>
          <w:szCs w:val="21"/>
          <w14:ligatures w14:val="none"/>
        </w:rPr>
      </w:pPr>
      <w:bookmarkStart w:id="40" w:name="OLE_LINK188"/>
      <w:r>
        <w:rPr>
          <w:rFonts w:ascii="Times New Roman" w:hAnsi="Times New Roman" w:eastAsia="宋体" w:cs="Times New Roman"/>
          <w:sz w:val="21"/>
          <w:szCs w:val="21"/>
          <w14:ligatures w14:val="none"/>
        </w:rPr>
        <w:t>本指南</w:t>
      </w:r>
      <w:r>
        <w:rPr>
          <w:rFonts w:hint="eastAsia" w:ascii="Times New Roman" w:hAnsi="Times New Roman" w:eastAsia="宋体" w:cs="Times New Roman"/>
          <w:sz w:val="21"/>
          <w:szCs w:val="21"/>
          <w14:ligatures w14:val="none"/>
        </w:rPr>
        <w:t>规定了本标准的适用边界和核心内容。标准明确适用于以厨余垃圾厌氧发酵残余物（沼渣）为主要原料，采用生物炭强化好氧发酵工艺制肥的技术活动，涵盖从原料要求、工艺控制、污染治理到产品质量检测、包装与贮存的完整技术链条。在适用对象上，标准严格限定为“厨余垃圾经厌氧发酵后产生的残余物与生物炭混合堆肥”，排除了其他类型有机废弃物（如畜禽粪便、市政污泥、农作物秸秆单独堆肥）以及未经厌氧消化的厨余垃圾直接堆肥的情形。这样限定的原因在于：厨余垃圾厌氧发酵残余物具有含水率高（通常70%~80%）、碳氮比偏低（通常10:1~15:1）、易酸化、含有一定量沼液等特性，与原生厨余垃圾或其他有机废弃物存在显著差异，需要专门的技术规范来指导其资源化利用。通过明确适用范围，本标准为厨余垃圾处理企业和有机肥生产企业提供了清晰的技术遵循，避免了与其他堆肥标准的交叉和混淆。</w:t>
      </w:r>
    </w:p>
    <w:bookmarkEnd w:id="40"/>
    <w:p w14:paraId="70D3DC97">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41" w:name="_Toc28293"/>
      <w:bookmarkStart w:id="42" w:name="_Toc230854786"/>
      <w:r>
        <w:rPr>
          <w:rFonts w:ascii="Times New Roman" w:hAnsi="Times New Roman" w:eastAsia="黑体" w:cs="Times New Roman"/>
          <w:kern w:val="0"/>
          <w:sz w:val="21"/>
          <w:szCs w:val="20"/>
          <w14:ligatures w14:val="none"/>
        </w:rPr>
        <w:t xml:space="preserve">5.2 </w:t>
      </w:r>
      <w:bookmarkEnd w:id="41"/>
      <w:r>
        <w:rPr>
          <w:rFonts w:hint="eastAsia" w:ascii="Times New Roman" w:hAnsi="Times New Roman" w:eastAsia="黑体" w:cs="Times New Roman"/>
          <w:kern w:val="0"/>
          <w:sz w:val="21"/>
          <w:szCs w:val="20"/>
          <w14:ligatures w14:val="none"/>
        </w:rPr>
        <w:t>规范性引用文件</w:t>
      </w:r>
      <w:bookmarkEnd w:id="42"/>
    </w:p>
    <w:p w14:paraId="63D873B6">
      <w:pPr>
        <w:snapToGrid w:val="0"/>
        <w:spacing w:after="0" w:line="400" w:lineRule="exact"/>
        <w:ind w:firstLine="482"/>
        <w:jc w:val="both"/>
        <w:rPr>
          <w:rFonts w:hint="eastAsia"/>
        </w:rPr>
      </w:pPr>
      <w:bookmarkStart w:id="43" w:name="OLE_LINK16"/>
      <w:r>
        <w:rPr>
          <w:rFonts w:hint="eastAsia" w:ascii="Times New Roman" w:hAnsi="Times New Roman" w:eastAsia="宋体" w:cs="Times New Roman"/>
          <w:sz w:val="21"/>
          <w:szCs w:val="21"/>
          <w14:ligatures w14:val="none"/>
        </w:rPr>
        <w:t>列出了本标准实施所必需的引用标准文件，共计20项。这些文件分为三类：第一类是产品标准与方法标准，如NY/T 525《有机肥料》、GB/T 8576《复混肥料中游离水含量的测定 真空烘箱法》、GB/T 19524.1《肥料中粪大肠菌群的测定》等，用于规定产品质量要求和检测方法，确保本标准的产品指标与国家有机肥料标准保持一致；第二类是污染控制标准，如GB 14554《恶臭污染物排放标准》、GB 16297《大气污染物综合排放标准》、HJ 1266《生物质废物堆肥污染控制技术规范》等，用于规定臭气、渗滤液等污染物的排放限值和控制要求，体现环保优先的原则；第三类是相关技术规范，如NY/T 3442《畜禽粪便堆肥技术规范》、NY/T 4159《生物炭》、GB/T 36195《畜禽粪便无害化处理技术规范》等，用于借鉴或引用其中关于堆肥工艺、生物炭质量、场地要求等方面的成熟规定，避免重复制定。本标准通过引用这些现有标准，与现行标准体系形成了良好的衔接与互补，既保证了技术内容的科学性，又提高了标准的编制效率和实施便利性。</w:t>
      </w:r>
    </w:p>
    <w:p w14:paraId="70A87652">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44" w:name="_Toc230854787"/>
      <w:r>
        <w:rPr>
          <w:rFonts w:ascii="Times New Roman" w:hAnsi="Times New Roman" w:eastAsia="黑体" w:cs="Times New Roman"/>
          <w:kern w:val="0"/>
          <w:sz w:val="21"/>
          <w:szCs w:val="20"/>
          <w14:ligatures w14:val="none"/>
        </w:rPr>
        <w:t>5.</w:t>
      </w:r>
      <w:r>
        <w:rPr>
          <w:rFonts w:hint="eastAsia" w:ascii="Times New Roman" w:hAnsi="Times New Roman" w:eastAsia="黑体" w:cs="Times New Roman"/>
          <w:kern w:val="0"/>
          <w:sz w:val="21"/>
          <w:szCs w:val="20"/>
          <w14:ligatures w14:val="none"/>
        </w:rPr>
        <w:t>3</w:t>
      </w:r>
      <w:r>
        <w:rPr>
          <w:rFonts w:ascii="Times New Roman" w:hAnsi="Times New Roman" w:eastAsia="黑体" w:cs="Times New Roman"/>
          <w:kern w:val="0"/>
          <w:sz w:val="21"/>
          <w:szCs w:val="20"/>
          <w14:ligatures w14:val="none"/>
        </w:rPr>
        <w:t xml:space="preserve"> 术语和定义</w:t>
      </w:r>
      <w:bookmarkEnd w:id="44"/>
    </w:p>
    <w:p w14:paraId="514AD5E6">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对标准中使用的5个关键术语进行了界定，确保技术语言的一致性和准确性。“厨余垃圾厌氧发酵残余物”定义为厨余垃圾经过厌氧消化工艺处理后，除沼气外剩余的固相或半固相物质（沼渣），该定义参考了NY/T 2065中关于沼渣的界定，但进一步限定了原料为厨余垃圾，区别于畜禽粪污等其他来源的沼渣。“生物炭”定义为以作物秸秆等农林植物废弃生物质为原料，在绝氧或有限氧气供应条件下，400℃~700℃热裂解得到的稳定的固体富碳产物，温度范围参考了NY/T 4159并与国际生物炭倡议（IBI）和欧洲生物炭认证（EBC）的定义保持一致，同时未纳入污泥、畜禽粪便等其他原料制备的生物炭，因为此类生物炭可能含有较高浓度的重金属和有机污染物，不适用于农业土壤改良。“生物炭强化堆肥”定义为在好氧堆肥过程中向堆肥物料中添加一定比例和特定质量的生物炭，以改善堆肥进程、减少污染物排放、提升最终肥料产品质量的工艺过程，该定义突出了本标准的核心技术特征。“堆肥”采用了好氧堆肥的通用定义，强调了人工控制条件和微生物发酵两个核心要素。“腐熟度”定义为衡量堆肥产品稳定化程度和植物毒性大小的综合指标，以种子发芽指数（GI）≥70%作为判定指标，该定义直接引用了NY/T 525-2021的要求，确保了产品腐熟度判定的统一性和可操作性。</w:t>
      </w:r>
    </w:p>
    <w:bookmarkEnd w:id="43"/>
    <w:p w14:paraId="01DBEE61">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45" w:name="_Toc7720"/>
      <w:bookmarkStart w:id="46" w:name="_Toc230854788"/>
      <w:r>
        <w:rPr>
          <w:rFonts w:ascii="Times New Roman" w:hAnsi="Times New Roman" w:eastAsia="黑体" w:cs="Times New Roman"/>
          <w:kern w:val="0"/>
          <w:sz w:val="21"/>
          <w:szCs w:val="20"/>
          <w14:ligatures w14:val="none"/>
        </w:rPr>
        <w:t>5.</w:t>
      </w:r>
      <w:r>
        <w:rPr>
          <w:rFonts w:hint="eastAsia" w:ascii="Times New Roman" w:hAnsi="Times New Roman" w:eastAsia="黑体" w:cs="Times New Roman"/>
          <w:kern w:val="0"/>
          <w:sz w:val="21"/>
          <w:szCs w:val="20"/>
          <w14:ligatures w14:val="none"/>
        </w:rPr>
        <w:t>4</w:t>
      </w:r>
      <w:r>
        <w:rPr>
          <w:rFonts w:ascii="Times New Roman" w:hAnsi="Times New Roman" w:eastAsia="黑体" w:cs="Times New Roman"/>
          <w:kern w:val="0"/>
          <w:sz w:val="21"/>
          <w:szCs w:val="20"/>
          <w14:ligatures w14:val="none"/>
        </w:rPr>
        <w:t xml:space="preserve"> </w:t>
      </w:r>
      <w:bookmarkEnd w:id="45"/>
      <w:r>
        <w:rPr>
          <w:rFonts w:hint="eastAsia" w:ascii="Times New Roman" w:hAnsi="Times New Roman" w:eastAsia="黑体" w:cs="Times New Roman"/>
          <w:kern w:val="0"/>
          <w:sz w:val="21"/>
          <w:szCs w:val="20"/>
          <w14:ligatures w14:val="none"/>
        </w:rPr>
        <w:t>技术要求</w:t>
      </w:r>
      <w:bookmarkEnd w:id="46"/>
    </w:p>
    <w:p w14:paraId="68FF11B3">
      <w:pPr>
        <w:snapToGrid w:val="0"/>
        <w:spacing w:after="0" w:line="400" w:lineRule="exact"/>
        <w:ind w:firstLine="482"/>
        <w:jc w:val="both"/>
        <w:rPr>
          <w:rFonts w:hint="eastAsia"/>
        </w:rPr>
      </w:pPr>
      <w:bookmarkStart w:id="47" w:name="OLE_LINK189"/>
      <w:r>
        <w:rPr>
          <w:rFonts w:hint="eastAsia" w:ascii="Times New Roman" w:hAnsi="Times New Roman" w:eastAsia="宋体" w:cs="Times New Roman"/>
          <w:sz w:val="21"/>
          <w:szCs w:val="21"/>
          <w14:ligatures w14:val="none"/>
        </w:rPr>
        <w:t>技术要求是标准的核心，分为总体要求、原辅材料、制肥工艺及臭气控制、产品质量与检测四个部分。总体要求以一段话的形式提出了四项原则：原料来源合规可追溯、全过程环保控制、因地制宜优化工艺、保证产品质量并发挥生物炭功能，是对后续具体条款的方向性指引。原辅材料部分详细规定了四种物料的要求：厨余垃圾厌氧发酵残余物应来源于合规设施，经稳定化无害化处理，不得混入危险废物；生物炭应由农林废弃物在限氧条件下热解制备，符合NY/T 4159的Ⅰ级或Ⅱ级标准，粒度不小于30目；功能性菌剂应来源明确、活性稳定，符合GB/T 41727和GB/T 41728的安全要求；辅助原料如秸秆、木屑应清洁无污染，重金属不超标。制肥工艺及臭气控制部分是本标准技术含量最高的章节，涵盖了预处理（破碎粒径≤5cm，筛分效率≥90%）、物料调节（生物炭添加量干基10%~20%，针对重金属钝化、臭气减排、高湿防酸败等场景差异化推荐；碳氮比调至25:1~35:1，含水率55%~65%）、堆肥工艺（场地分区防渗，设备配置符合NY/T 3442；条垛式堆高1.0~1.5m、宽2.0~3.0m，槽式深1.5~2.0m；温度48h内升至55℃以上，高温55~65℃维持不少于7天，超过70℃降温；氧气浓度≥10%，强制通风0.05~0.20 m³/(min·m³物料)，间歇运行；翻堆遵循“时到不等温，温到不等时”；渗滤液防渗收集，可回用或处理达标排放，室内收集池需防爆）、陈化（周期15~20天，条垛式堆宽5~6m、高约2m，仓式40℃可缩短至8~10天）和臭气控制（源头密闭，负压收集效率≥90%，生物滤池等末端处理，氨、硫化氢、臭气浓度满足GB 14554，厂界无组织排放达标）。产品质量与检测部分规定了基本指标（种子发芽指数≥70%，有机质≥30%，总养分≥4.0%，pH 5.5~8.5，水分≤30%）和安全指标（粪大肠菌群数≤100个/g，蛔虫卵死亡率≥95%，重金属</w:t>
      </w:r>
      <w:r>
        <w:rPr>
          <w:rFonts w:ascii="Times New Roman" w:hAnsi="Times New Roman" w:eastAsia="宋体" w:cs="Times New Roman"/>
          <w:sz w:val="21"/>
          <w:szCs w:val="21"/>
          <w14:ligatures w14:val="none"/>
        </w:rPr>
        <w:t>总铬≤150 mg/kg、总铅≤50 mg/kg、总砷≤15 mg/kg、总汞≤2 mg/kg、总镉≤3 mg/kg</w:t>
      </w:r>
      <w:r>
        <w:rPr>
          <w:rFonts w:hint="eastAsia" w:ascii="Times New Roman" w:hAnsi="Times New Roman" w:eastAsia="宋体" w:cs="Times New Roman"/>
          <w:sz w:val="21"/>
          <w:szCs w:val="21"/>
          <w14:ligatures w14:val="none"/>
        </w:rPr>
        <w:t>），全部参照NY/T 525-2021，确保产品符合国家有机肥料标准。整个第4章从原料到产品构建了全链条的技术规范体系，体现了源头管控、过程优化、末端治理的完整思路。</w:t>
      </w:r>
    </w:p>
    <w:bookmarkEnd w:id="47"/>
    <w:p w14:paraId="0B2F49DE">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48" w:name="_Toc230854789"/>
      <w:r>
        <w:rPr>
          <w:rFonts w:hint="eastAsia" w:ascii="Times New Roman" w:hAnsi="Times New Roman" w:eastAsia="黑体" w:cs="Times New Roman"/>
          <w:kern w:val="0"/>
          <w:sz w:val="21"/>
          <w:szCs w:val="20"/>
          <w14:ligatures w14:val="none"/>
        </w:rPr>
        <w:t>5.5 检验方法</w:t>
      </w:r>
      <w:bookmarkEnd w:id="48"/>
    </w:p>
    <w:p w14:paraId="3031776E">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规定了取样规则和各项指标的检测方法，确保产品质量评价的科学性和可操作性。取样规则要求每50吨为一批次，不足50吨按一批次计；采用“五点法”（四角加中心）均匀取样，取样深度0.5~1.0 m，混合后按四分法缩分至2 kg（依据GB/T 6679），并在4℃条件下保存，原则上24 h内完成检测。这些规定保证了样品的代表性和检测结果的可靠性，避免了因取样不当导致的误判。各项指标的检测方法均引用了现行有效的国家标准或行业标准：种子发芽指数按NY/T 525附录F（1:10水浸提，25℃培养48h，计算发芽率和根长）；有机质按NY/T 525附录C（重铬酸钾容量法）；总养分按NY/T 525（总氮用GB/T 8572，总磷用NY/T 2541，总钾用NY/T 2540）；pH按NY/T 525（1:10水浸提，pH酸度计测定）；水分按GB/T 8576（真空烘箱法，50℃，真空度6.4×10⁴~7.1×10⁴ Pa）；粪大肠菌群按GB/T 19524.1；蛔虫卵死亡率按NY/T 3442；重金属按NY/T 1978（原子吸收分光光度法测镉、铬和铅，原子荧光光谱法测砷和汞）。所有引用的方法均为实验室常规检测技术，设备要求适中，操作流程成熟，检测结果具有跨实验室的可比性，便于企业和监管机构实施质量控制。</w:t>
      </w:r>
    </w:p>
    <w:p w14:paraId="74BF901F">
      <w:pPr>
        <w:spacing w:before="156" w:beforeLines="50" w:after="156" w:afterLines="50" w:line="240" w:lineRule="auto"/>
        <w:jc w:val="both"/>
        <w:outlineLvl w:val="2"/>
        <w:rPr>
          <w:rFonts w:ascii="Times New Roman" w:hAnsi="Times New Roman" w:eastAsia="黑体" w:cs="Times New Roman"/>
          <w:kern w:val="0"/>
          <w:sz w:val="21"/>
          <w:szCs w:val="20"/>
          <w14:ligatures w14:val="none"/>
        </w:rPr>
      </w:pPr>
      <w:bookmarkStart w:id="49" w:name="_Toc230854790"/>
      <w:r>
        <w:rPr>
          <w:rFonts w:hint="eastAsia" w:ascii="Times New Roman" w:hAnsi="Times New Roman" w:eastAsia="黑体" w:cs="Times New Roman"/>
          <w:kern w:val="0"/>
          <w:sz w:val="21"/>
          <w:szCs w:val="20"/>
          <w14:ligatures w14:val="none"/>
        </w:rPr>
        <w:t>5.6 产品包装与贮存</w:t>
      </w:r>
      <w:bookmarkEnd w:id="49"/>
    </w:p>
    <w:p w14:paraId="7408FB4E">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规定了成品包装和贮存的技术要求，保证产品在流通环节的质量稳定。包装要求选用覆膜编织袋或塑料编织袋衬聚乙烯内胆，材料应防潮、防晒、防破裂，确保产品在运输和贮存过程中质量稳定。包装标识必须符合GB 18382《肥料标识 内容和要求》的规定，包装袋上应注明产品通用名称、商标、净含量、有机质含量、总养分含量及单一养分含量、主要原料名称（质量分数≥5%）、企业名称、生产地址、联系方式、批号或生产日期、肥料登记证号、执行标准号等内容，且产品名称不得使用“高效”、“特效”、“肥王”、“全元素”等夸大性或绝对化宣传用语。贮存要求产品存放于阴凉、通风、干燥的库房内，防止日晒、雨淋及受潮；库房地面应用木板垫高0.3 m以上，同种产品不宜堆放过高；不得与碳酸氢铵、钙镁磷肥等碱性肥料及农药、有毒有害物质混存混放；库房应保持清洁，具备防晒、防雨、防潮、防火设施；产品出库应遵循先进先出原则。这些规定参照了NY/T 525中关于包装和贮存的要求，并补充了库房垫高、不与碱性肥料混存等具体细节，有效防止了产品在贮存期间吸潮结块、养分损失或交叉污染，保障了产品从出厂到施用前的质量稳定性。</w:t>
      </w:r>
    </w:p>
    <w:p w14:paraId="179DDDE5">
      <w:pPr>
        <w:widowControl/>
        <w:spacing w:before="156" w:beforeLines="50" w:after="156" w:afterLines="50" w:line="240" w:lineRule="auto"/>
        <w:jc w:val="both"/>
        <w:outlineLvl w:val="1"/>
        <w:rPr>
          <w:rFonts w:hint="eastAsia"/>
        </w:rPr>
      </w:pPr>
      <w:bookmarkStart w:id="50" w:name="_Toc230854791"/>
      <w:r>
        <w:rPr>
          <w:rFonts w:hint="eastAsia" w:ascii="Times New Roman" w:hAnsi="Times New Roman" w:eastAsia="黑体" w:cs="Times New Roman"/>
          <w:kern w:val="0"/>
          <w:sz w:val="21"/>
          <w:szCs w:val="20"/>
          <w14:ligatures w14:val="none"/>
        </w:rPr>
        <w:t>6 实施建议</w:t>
      </w:r>
      <w:bookmarkEnd w:id="50"/>
    </w:p>
    <w:p w14:paraId="1E5645BA">
      <w:pPr>
        <w:snapToGrid w:val="0"/>
        <w:spacing w:after="0" w:line="400" w:lineRule="exact"/>
        <w:ind w:firstLine="482"/>
        <w:jc w:val="both"/>
        <w:rPr>
          <w:rFonts w:ascii="Times New Roman" w:hAnsi="Times New Roman" w:eastAsia="宋体" w:cs="Times New Roman"/>
          <w:sz w:val="21"/>
          <w:szCs w:val="21"/>
          <w14:ligatures w14:val="none"/>
        </w:rPr>
      </w:pPr>
      <w:r>
        <w:rPr>
          <w:rFonts w:hint="eastAsia" w:ascii="Times New Roman" w:hAnsi="Times New Roman" w:eastAsia="宋体" w:cs="Times New Roman"/>
          <w:sz w:val="21"/>
          <w:szCs w:val="21"/>
          <w14:ligatures w14:val="none"/>
        </w:rPr>
        <w:t>本标准作为生物炭强化厨余垃圾厌氧发酵残余物制肥领域的技术规范文件，对推动我国厨余垃圾资源化利用的规范化管理具有重要的指导意义。通过构建原料要求、工艺控制、污染治理、产品质量等标准化技术框架，本标准能够有效解决不同企业在生物炭添加比例、堆肥工艺参数、产品质量控制等方面标准不一的问题，为厨余垃圾沼渣的安全高效制肥和产品质量监督提供统一的技术依据，促进厨余垃圾处理行业向绿色低碳、高质量发展转型。</w:t>
      </w:r>
    </w:p>
    <w:p w14:paraId="316DFB9A">
      <w:pPr>
        <w:snapToGrid w:val="0"/>
        <w:spacing w:after="0" w:line="400" w:lineRule="exact"/>
        <w:jc w:val="both"/>
        <w:rPr>
          <w:rFonts w:ascii="Times New Roman" w:hAnsi="Times New Roman" w:eastAsia="宋体" w:cs="Times New Roman"/>
          <w:sz w:val="21"/>
          <w:szCs w:val="21"/>
          <w14:ligatures w14:val="none"/>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7E15">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6F10">
    <w:pPr>
      <w:pStyle w:val="1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4174D">
                          <w:pPr>
                            <w:pStyle w:val="1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pt;mso-position-horizontal:center;mso-position-horizontal-relative:margin;z-index:251660288;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1P6D9IAAAAEAQAADwAAAAAAAAABACAAAAAiAAAAZHJzL2Rvd25yZXYueG1sUEsBAhQA&#10;FAAAAAgAh07iQN3daUIxAgAAVQQAAA4AAAAAAAAAAQAgAAAAIQEAAGRycy9lMm9Eb2MueG1sUEsF&#10;BgAAAAAGAAYAWQEAAMQFAAAAAA==&#10;">
              <v:fill on="f" focussize="0,0"/>
              <v:stroke on="f" weight="0.5pt"/>
              <v:imagedata o:title=""/>
              <o:lock v:ext="edit" aspectratio="f"/>
              <v:textbox inset="0mm,0mm,0mm,0mm" style="mso-fit-shape-to-text:t;">
                <w:txbxContent>
                  <w:p w14:paraId="3E44174D">
                    <w:pPr>
                      <w:pStyle w:val="1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DD1C">
    <w:pPr>
      <w:pStyle w:val="13"/>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652"/>
                          </w:sdtPr>
                          <w:sdtContent>
                            <w:p w14:paraId="639DFE0F">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F2879D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81652"/>
                    </w:sdtPr>
                    <w:sdtContent>
                      <w:p w14:paraId="639DFE0F">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F2879D0">
                    <w:pPr>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1D"/>
    <w:rsid w:val="00002927"/>
    <w:rsid w:val="00012996"/>
    <w:rsid w:val="00022A88"/>
    <w:rsid w:val="00027811"/>
    <w:rsid w:val="0003095E"/>
    <w:rsid w:val="00033E2F"/>
    <w:rsid w:val="00041A10"/>
    <w:rsid w:val="000634FB"/>
    <w:rsid w:val="00090AF4"/>
    <w:rsid w:val="000A7CF8"/>
    <w:rsid w:val="000F43BB"/>
    <w:rsid w:val="00126407"/>
    <w:rsid w:val="00130EFD"/>
    <w:rsid w:val="001334E7"/>
    <w:rsid w:val="00147563"/>
    <w:rsid w:val="00150493"/>
    <w:rsid w:val="00152602"/>
    <w:rsid w:val="00160F38"/>
    <w:rsid w:val="001730D8"/>
    <w:rsid w:val="001733E0"/>
    <w:rsid w:val="00183E67"/>
    <w:rsid w:val="00184F65"/>
    <w:rsid w:val="001968A0"/>
    <w:rsid w:val="00196CB8"/>
    <w:rsid w:val="001B05C1"/>
    <w:rsid w:val="001B458F"/>
    <w:rsid w:val="001B6F9E"/>
    <w:rsid w:val="001C256A"/>
    <w:rsid w:val="001D5697"/>
    <w:rsid w:val="001D5776"/>
    <w:rsid w:val="001E5A49"/>
    <w:rsid w:val="001F0B26"/>
    <w:rsid w:val="00205863"/>
    <w:rsid w:val="002104B7"/>
    <w:rsid w:val="00212536"/>
    <w:rsid w:val="0021261B"/>
    <w:rsid w:val="00223414"/>
    <w:rsid w:val="0022725C"/>
    <w:rsid w:val="00227EB8"/>
    <w:rsid w:val="00242D80"/>
    <w:rsid w:val="00247C90"/>
    <w:rsid w:val="00253C08"/>
    <w:rsid w:val="00265B51"/>
    <w:rsid w:val="00270342"/>
    <w:rsid w:val="00276E86"/>
    <w:rsid w:val="00291462"/>
    <w:rsid w:val="00293F66"/>
    <w:rsid w:val="002B25B6"/>
    <w:rsid w:val="002C2135"/>
    <w:rsid w:val="002C7DCB"/>
    <w:rsid w:val="002D5DB5"/>
    <w:rsid w:val="002E2A9B"/>
    <w:rsid w:val="003310F6"/>
    <w:rsid w:val="003330D0"/>
    <w:rsid w:val="00335943"/>
    <w:rsid w:val="00342A9E"/>
    <w:rsid w:val="00350A3F"/>
    <w:rsid w:val="00374DD2"/>
    <w:rsid w:val="003A6A13"/>
    <w:rsid w:val="003B1B4F"/>
    <w:rsid w:val="003B46A1"/>
    <w:rsid w:val="003C4A42"/>
    <w:rsid w:val="003D07F5"/>
    <w:rsid w:val="003E3EA5"/>
    <w:rsid w:val="003E61D9"/>
    <w:rsid w:val="003F3564"/>
    <w:rsid w:val="00403933"/>
    <w:rsid w:val="004150FE"/>
    <w:rsid w:val="00442A6B"/>
    <w:rsid w:val="0044631E"/>
    <w:rsid w:val="00457918"/>
    <w:rsid w:val="00472DA5"/>
    <w:rsid w:val="0047535B"/>
    <w:rsid w:val="00482935"/>
    <w:rsid w:val="00490AA3"/>
    <w:rsid w:val="00492F2E"/>
    <w:rsid w:val="004953E5"/>
    <w:rsid w:val="004C1EDC"/>
    <w:rsid w:val="004C2EBE"/>
    <w:rsid w:val="004C4318"/>
    <w:rsid w:val="004D2355"/>
    <w:rsid w:val="004E2AB7"/>
    <w:rsid w:val="004E38C6"/>
    <w:rsid w:val="004F6A0D"/>
    <w:rsid w:val="00503845"/>
    <w:rsid w:val="00505BDF"/>
    <w:rsid w:val="00514EA4"/>
    <w:rsid w:val="00526ACD"/>
    <w:rsid w:val="0053386F"/>
    <w:rsid w:val="005411A0"/>
    <w:rsid w:val="00547AB1"/>
    <w:rsid w:val="0055760D"/>
    <w:rsid w:val="00571C68"/>
    <w:rsid w:val="00583DF1"/>
    <w:rsid w:val="0058425D"/>
    <w:rsid w:val="005855F2"/>
    <w:rsid w:val="00586256"/>
    <w:rsid w:val="0059473A"/>
    <w:rsid w:val="005957A9"/>
    <w:rsid w:val="00597717"/>
    <w:rsid w:val="005A4D0F"/>
    <w:rsid w:val="005C17A1"/>
    <w:rsid w:val="005C34DD"/>
    <w:rsid w:val="005D024C"/>
    <w:rsid w:val="005D081B"/>
    <w:rsid w:val="005D7ACB"/>
    <w:rsid w:val="005E251D"/>
    <w:rsid w:val="005F78FA"/>
    <w:rsid w:val="005F7DC0"/>
    <w:rsid w:val="00623A66"/>
    <w:rsid w:val="00624A19"/>
    <w:rsid w:val="00635A09"/>
    <w:rsid w:val="00681EF2"/>
    <w:rsid w:val="00687615"/>
    <w:rsid w:val="006A2BC6"/>
    <w:rsid w:val="006A3285"/>
    <w:rsid w:val="006B4ACA"/>
    <w:rsid w:val="006B6343"/>
    <w:rsid w:val="006C50E0"/>
    <w:rsid w:val="006F2766"/>
    <w:rsid w:val="00707CDF"/>
    <w:rsid w:val="0071049E"/>
    <w:rsid w:val="0071105D"/>
    <w:rsid w:val="00721B59"/>
    <w:rsid w:val="00727BC9"/>
    <w:rsid w:val="00735C7C"/>
    <w:rsid w:val="00736003"/>
    <w:rsid w:val="0075005D"/>
    <w:rsid w:val="007554B5"/>
    <w:rsid w:val="007848B6"/>
    <w:rsid w:val="00785340"/>
    <w:rsid w:val="0079286A"/>
    <w:rsid w:val="00793EB1"/>
    <w:rsid w:val="007A74D3"/>
    <w:rsid w:val="007C3430"/>
    <w:rsid w:val="007D0908"/>
    <w:rsid w:val="007D0D6D"/>
    <w:rsid w:val="007F1632"/>
    <w:rsid w:val="008067E7"/>
    <w:rsid w:val="0081353F"/>
    <w:rsid w:val="00820D15"/>
    <w:rsid w:val="00826E91"/>
    <w:rsid w:val="00831E0A"/>
    <w:rsid w:val="00837885"/>
    <w:rsid w:val="00843E2E"/>
    <w:rsid w:val="00857EF1"/>
    <w:rsid w:val="008628F6"/>
    <w:rsid w:val="00874A86"/>
    <w:rsid w:val="008779F9"/>
    <w:rsid w:val="00884860"/>
    <w:rsid w:val="00886064"/>
    <w:rsid w:val="00897A03"/>
    <w:rsid w:val="008A1756"/>
    <w:rsid w:val="008A4F1F"/>
    <w:rsid w:val="008B0233"/>
    <w:rsid w:val="008B0C71"/>
    <w:rsid w:val="008B6398"/>
    <w:rsid w:val="008C5500"/>
    <w:rsid w:val="008D033F"/>
    <w:rsid w:val="008D0558"/>
    <w:rsid w:val="008F157C"/>
    <w:rsid w:val="008F6095"/>
    <w:rsid w:val="008F706B"/>
    <w:rsid w:val="00927A33"/>
    <w:rsid w:val="00932952"/>
    <w:rsid w:val="009437CE"/>
    <w:rsid w:val="0095605A"/>
    <w:rsid w:val="00956756"/>
    <w:rsid w:val="009721B9"/>
    <w:rsid w:val="00973A7D"/>
    <w:rsid w:val="00980D44"/>
    <w:rsid w:val="00981703"/>
    <w:rsid w:val="009828E5"/>
    <w:rsid w:val="00991AF7"/>
    <w:rsid w:val="009C64E6"/>
    <w:rsid w:val="009D6F01"/>
    <w:rsid w:val="009F1A38"/>
    <w:rsid w:val="009F2040"/>
    <w:rsid w:val="009F6093"/>
    <w:rsid w:val="00A111D6"/>
    <w:rsid w:val="00A40C14"/>
    <w:rsid w:val="00A54006"/>
    <w:rsid w:val="00A74D4B"/>
    <w:rsid w:val="00A9684E"/>
    <w:rsid w:val="00AA4819"/>
    <w:rsid w:val="00AC0275"/>
    <w:rsid w:val="00AD6E79"/>
    <w:rsid w:val="00AE27A6"/>
    <w:rsid w:val="00AE2BC0"/>
    <w:rsid w:val="00AE30C4"/>
    <w:rsid w:val="00AE5AF5"/>
    <w:rsid w:val="00AF123B"/>
    <w:rsid w:val="00AF7FE5"/>
    <w:rsid w:val="00B05ED8"/>
    <w:rsid w:val="00B14C7F"/>
    <w:rsid w:val="00B20076"/>
    <w:rsid w:val="00B20C70"/>
    <w:rsid w:val="00B222B2"/>
    <w:rsid w:val="00B56031"/>
    <w:rsid w:val="00B62616"/>
    <w:rsid w:val="00B66D47"/>
    <w:rsid w:val="00B72649"/>
    <w:rsid w:val="00B91305"/>
    <w:rsid w:val="00BA4466"/>
    <w:rsid w:val="00BA79B8"/>
    <w:rsid w:val="00BC3178"/>
    <w:rsid w:val="00BC5895"/>
    <w:rsid w:val="00BD0C9C"/>
    <w:rsid w:val="00BD5772"/>
    <w:rsid w:val="00BD74AC"/>
    <w:rsid w:val="00BE1538"/>
    <w:rsid w:val="00BE5A86"/>
    <w:rsid w:val="00C0788B"/>
    <w:rsid w:val="00C234B4"/>
    <w:rsid w:val="00C3166E"/>
    <w:rsid w:val="00C55832"/>
    <w:rsid w:val="00C57107"/>
    <w:rsid w:val="00C67505"/>
    <w:rsid w:val="00C77120"/>
    <w:rsid w:val="00C925EA"/>
    <w:rsid w:val="00CA15AD"/>
    <w:rsid w:val="00CA5C08"/>
    <w:rsid w:val="00CC1E61"/>
    <w:rsid w:val="00CC5EB7"/>
    <w:rsid w:val="00CD1687"/>
    <w:rsid w:val="00CD3809"/>
    <w:rsid w:val="00CE0134"/>
    <w:rsid w:val="00CE07EC"/>
    <w:rsid w:val="00CE519B"/>
    <w:rsid w:val="00CF483C"/>
    <w:rsid w:val="00D2763F"/>
    <w:rsid w:val="00D46DFA"/>
    <w:rsid w:val="00D52CCB"/>
    <w:rsid w:val="00D576F7"/>
    <w:rsid w:val="00D651D8"/>
    <w:rsid w:val="00D665EC"/>
    <w:rsid w:val="00D71C33"/>
    <w:rsid w:val="00D76333"/>
    <w:rsid w:val="00D934A4"/>
    <w:rsid w:val="00DA0414"/>
    <w:rsid w:val="00DE19DC"/>
    <w:rsid w:val="00DE2078"/>
    <w:rsid w:val="00DE2DE8"/>
    <w:rsid w:val="00DF4B0C"/>
    <w:rsid w:val="00E06F60"/>
    <w:rsid w:val="00E11858"/>
    <w:rsid w:val="00E16AEE"/>
    <w:rsid w:val="00E20687"/>
    <w:rsid w:val="00E451CA"/>
    <w:rsid w:val="00E602F0"/>
    <w:rsid w:val="00E60FB4"/>
    <w:rsid w:val="00E6351D"/>
    <w:rsid w:val="00E6495C"/>
    <w:rsid w:val="00E71DF1"/>
    <w:rsid w:val="00E72C01"/>
    <w:rsid w:val="00E7725B"/>
    <w:rsid w:val="00E77DC0"/>
    <w:rsid w:val="00EA55BE"/>
    <w:rsid w:val="00ED1089"/>
    <w:rsid w:val="00EF4097"/>
    <w:rsid w:val="00F0007A"/>
    <w:rsid w:val="00F0715F"/>
    <w:rsid w:val="00F166E2"/>
    <w:rsid w:val="00F21780"/>
    <w:rsid w:val="00F23AFA"/>
    <w:rsid w:val="00F24785"/>
    <w:rsid w:val="00F31481"/>
    <w:rsid w:val="00F529A1"/>
    <w:rsid w:val="00F575FD"/>
    <w:rsid w:val="00F6693F"/>
    <w:rsid w:val="00F82169"/>
    <w:rsid w:val="00F82BEB"/>
    <w:rsid w:val="00F856D7"/>
    <w:rsid w:val="00F922B2"/>
    <w:rsid w:val="00F9586E"/>
    <w:rsid w:val="00FE1024"/>
    <w:rsid w:val="00FE45BE"/>
    <w:rsid w:val="00FE7D91"/>
    <w:rsid w:val="00FF11C5"/>
    <w:rsid w:val="09246814"/>
    <w:rsid w:val="0A9D11A4"/>
    <w:rsid w:val="0FF318AC"/>
    <w:rsid w:val="10923E54"/>
    <w:rsid w:val="13D12EE6"/>
    <w:rsid w:val="16CE195E"/>
    <w:rsid w:val="17D42FA4"/>
    <w:rsid w:val="17E7717C"/>
    <w:rsid w:val="1BC423B8"/>
    <w:rsid w:val="1C0E2E03"/>
    <w:rsid w:val="1D1A7C7C"/>
    <w:rsid w:val="1DD50640"/>
    <w:rsid w:val="2A6132B8"/>
    <w:rsid w:val="33CB71E3"/>
    <w:rsid w:val="36DA625F"/>
    <w:rsid w:val="395739AB"/>
    <w:rsid w:val="3E6E11AD"/>
    <w:rsid w:val="3EAE5A2E"/>
    <w:rsid w:val="3EF25F5A"/>
    <w:rsid w:val="429C23D7"/>
    <w:rsid w:val="43A741FA"/>
    <w:rsid w:val="45997458"/>
    <w:rsid w:val="4B326A27"/>
    <w:rsid w:val="4C620435"/>
    <w:rsid w:val="4DA2109E"/>
    <w:rsid w:val="50A41FE5"/>
    <w:rsid w:val="511D6BD5"/>
    <w:rsid w:val="5844553D"/>
    <w:rsid w:val="5B361A1D"/>
    <w:rsid w:val="5DC23D1E"/>
    <w:rsid w:val="67AE06E9"/>
    <w:rsid w:val="7A14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unhideWhenUsed/>
    <w:qFormat/>
    <w:uiPriority w:val="99"/>
  </w:style>
  <w:style w:type="paragraph" w:styleId="12">
    <w:name w:val="toc 3"/>
    <w:basedOn w:val="1"/>
    <w:next w:val="1"/>
    <w:autoRedefine/>
    <w:unhideWhenUsed/>
    <w:qFormat/>
    <w:uiPriority w:val="39"/>
    <w:pPr>
      <w:ind w:left="840" w:leftChars="400"/>
    </w:p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ind w:left="420" w:leftChars="200"/>
    </w:p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4"/>
    <w:semiHidden/>
    <w:unhideWhenUsed/>
    <w:qFormat/>
    <w:uiPriority w:val="99"/>
    <w:rPr>
      <w:b/>
      <w:bCs/>
    </w:rPr>
  </w:style>
  <w:style w:type="character" w:styleId="21">
    <w:name w:val="Hyperlink"/>
    <w:basedOn w:val="20"/>
    <w:unhideWhenUsed/>
    <w:qFormat/>
    <w:uiPriority w:val="99"/>
    <w:rPr>
      <w:color w:val="467886"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0"/>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qFormat/>
    <w:uiPriority w:val="0"/>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明显参考1"/>
    <w:basedOn w:val="20"/>
    <w:qFormat/>
    <w:uiPriority w:val="32"/>
    <w:rPr>
      <w:b/>
      <w:bCs/>
      <w:smallCaps/>
      <w:color w:val="104862" w:themeColor="accent1" w:themeShade="BF"/>
      <w:spacing w:val="5"/>
    </w:rPr>
  </w:style>
  <w:style w:type="character" w:customStyle="1" w:styleId="41">
    <w:name w:val="页眉 字符"/>
    <w:basedOn w:val="20"/>
    <w:link w:val="14"/>
    <w:qFormat/>
    <w:uiPriority w:val="99"/>
    <w:rPr>
      <w:sz w:val="18"/>
      <w:szCs w:val="18"/>
    </w:rPr>
  </w:style>
  <w:style w:type="character" w:customStyle="1" w:styleId="42">
    <w:name w:val="页脚 字符"/>
    <w:basedOn w:val="20"/>
    <w:link w:val="13"/>
    <w:qFormat/>
    <w:uiPriority w:val="99"/>
    <w:rPr>
      <w:sz w:val="18"/>
      <w:szCs w:val="18"/>
    </w:rPr>
  </w:style>
  <w:style w:type="character" w:customStyle="1" w:styleId="43">
    <w:name w:val="批注文字 字符"/>
    <w:basedOn w:val="20"/>
    <w:link w:val="11"/>
    <w:qFormat/>
    <w:uiPriority w:val="99"/>
  </w:style>
  <w:style w:type="character" w:customStyle="1" w:styleId="44">
    <w:name w:val="批注主题 字符"/>
    <w:basedOn w:val="43"/>
    <w:link w:val="18"/>
    <w:semiHidden/>
    <w:qFormat/>
    <w:uiPriority w:val="99"/>
    <w:rPr>
      <w:b/>
      <w:bCs/>
    </w:rPr>
  </w:style>
  <w:style w:type="paragraph" w:customStyle="1" w:styleId="45">
    <w:name w:val="TOC 标题1"/>
    <w:basedOn w:val="2"/>
    <w:next w:val="1"/>
    <w:unhideWhenUsed/>
    <w:qFormat/>
    <w:uiPriority w:val="39"/>
    <w:pPr>
      <w:widowControl/>
      <w:spacing w:before="240" w:after="0" w:line="259" w:lineRule="auto"/>
      <w:outlineLvl w:val="9"/>
    </w:pPr>
    <w:rPr>
      <w:kern w:val="0"/>
      <w:sz w:val="32"/>
      <w:szCs w:val="32"/>
      <w14:ligatures w14:val="none"/>
    </w:rPr>
  </w:style>
  <w:style w:type="paragraph" w:customStyle="1" w:styleId="46">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7">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7FE7C-5756-4B58-AD94-AB1D8AE6180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13289</Words>
  <Characters>14442</Characters>
  <Lines>246</Lines>
  <Paragraphs>87</Paragraphs>
  <TotalTime>330</TotalTime>
  <ScaleCrop>false</ScaleCrop>
  <LinksUpToDate>false</LinksUpToDate>
  <CharactersWithSpaces>14662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2026-05-28T01:42:00Z</dcterms:created>
  <dc:creator>zijian xie</dc:creator>
  <cp:lastModifiedBy>夏天</cp:lastModifiedBy>
  <cp:lastPrinted>2026-06-01T01:39:00Z</cp:lastPrinted>
  <dcterms:modified xsi:type="dcterms:W3CDTF">2026-06-02T01:27:07Z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eyJoZGlkIjoiNTAxMWNhODliZTFhY2JkYTY0ZGIyYjYzMWE0MzRiOGEiLCJ1c2VySWQiOiIyODc1Nzc1MTYifQ==</vt:lpwstr>
  </property>
  <property fmtid="{D5CDD505-2E9C-101B-9397-08002B2CF9AE}" pid="3" name="KSOProductBuildVer">
    <vt:lpwstr>2052-12.1.0.26375</vt:lpwstr>
  </property>
  <property fmtid="{D5CDD505-2E9C-101B-9397-08002B2CF9AE}" pid="4" name="ICV">
    <vt:lpwstr>65BA25DEB6194319ACBD682D26529574_13</vt:lpwstr>
  </property>
</Properties>
</file>