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FFF10">
      <w:pPr>
        <w:spacing w:before="480" w:after="480" w:line="288" w:lineRule="auto"/>
        <w:ind w:left="0" w:leftChars="0"/>
        <w:jc w:val="both"/>
        <w:outlineLvl w:val="9"/>
        <w:rPr>
          <w:rFonts w:hint="eastAsia" w:ascii="黑体" w:hAnsi="黑体" w:eastAsia="黑体" w:cs="黑体"/>
          <w:b w:val="0"/>
          <w:bCs/>
          <w:sz w:val="44"/>
          <w:szCs w:val="44"/>
        </w:rPr>
      </w:pPr>
    </w:p>
    <w:p w14:paraId="2C977EB1">
      <w:pPr>
        <w:spacing w:before="480" w:after="480" w:line="288" w:lineRule="auto"/>
        <w:ind w:left="0" w:leftChars="0"/>
        <w:jc w:val="center"/>
        <w:outlineLvl w:val="0"/>
        <w:rPr>
          <w:rFonts w:hint="eastAsia" w:ascii="黑体" w:hAnsi="黑体" w:eastAsia="黑体" w:cs="黑体"/>
          <w:b w:val="0"/>
          <w:bCs/>
          <w:sz w:val="44"/>
          <w:szCs w:val="44"/>
        </w:rPr>
      </w:pPr>
      <w:bookmarkStart w:id="0" w:name="_Toc24810"/>
      <w:r>
        <w:rPr>
          <w:rFonts w:hint="eastAsia" w:ascii="黑体" w:hAnsi="黑体" w:eastAsia="黑体" w:cs="黑体"/>
          <w:b w:val="0"/>
          <w:bCs/>
          <w:sz w:val="44"/>
          <w:szCs w:val="44"/>
        </w:rPr>
        <w:t>《二次铝灰解毒及资源化替代铝土矿技术规范》编制说明（征求意见稿）</w:t>
      </w:r>
      <w:bookmarkEnd w:id="0"/>
    </w:p>
    <w:p w14:paraId="370C5324">
      <w:pPr>
        <w:spacing w:before="480" w:after="480" w:line="288" w:lineRule="auto"/>
        <w:ind w:left="0"/>
        <w:jc w:val="center"/>
        <w:rPr>
          <w:rFonts w:hint="eastAsia" w:ascii="黑体" w:hAnsi="黑体" w:eastAsia="黑体" w:cs="黑体"/>
          <w:b w:val="0"/>
          <w:bCs/>
          <w:sz w:val="44"/>
          <w:szCs w:val="44"/>
        </w:rPr>
      </w:pPr>
    </w:p>
    <w:p w14:paraId="1463EA94">
      <w:pPr>
        <w:spacing w:before="480" w:after="480" w:line="288" w:lineRule="auto"/>
        <w:ind w:left="0"/>
        <w:jc w:val="center"/>
        <w:rPr>
          <w:rFonts w:hint="eastAsia" w:ascii="黑体" w:hAnsi="黑体" w:eastAsia="黑体" w:cs="黑体"/>
          <w:b w:val="0"/>
          <w:bCs/>
          <w:sz w:val="44"/>
          <w:szCs w:val="44"/>
        </w:rPr>
      </w:pPr>
    </w:p>
    <w:p w14:paraId="0789E237">
      <w:pPr>
        <w:spacing w:before="480" w:after="480" w:line="288" w:lineRule="auto"/>
        <w:ind w:left="0"/>
        <w:jc w:val="center"/>
        <w:rPr>
          <w:rFonts w:hint="eastAsia" w:ascii="黑体" w:hAnsi="黑体" w:eastAsia="黑体" w:cs="黑体"/>
          <w:b w:val="0"/>
          <w:bCs/>
          <w:sz w:val="44"/>
          <w:szCs w:val="44"/>
        </w:rPr>
      </w:pPr>
    </w:p>
    <w:p w14:paraId="1039A701">
      <w:pPr>
        <w:spacing w:before="480" w:after="480" w:line="288" w:lineRule="auto"/>
        <w:ind w:left="0"/>
        <w:jc w:val="both"/>
        <w:rPr>
          <w:rFonts w:hint="eastAsia" w:ascii="黑体" w:hAnsi="黑体" w:eastAsia="黑体" w:cs="黑体"/>
          <w:b w:val="0"/>
          <w:bCs/>
          <w:sz w:val="44"/>
          <w:szCs w:val="44"/>
        </w:rPr>
      </w:pPr>
    </w:p>
    <w:p w14:paraId="52C2C42D">
      <w:pPr>
        <w:spacing w:before="480" w:after="480" w:line="288" w:lineRule="auto"/>
        <w:ind w:left="0"/>
        <w:jc w:val="both"/>
        <w:rPr>
          <w:rFonts w:hint="eastAsia" w:ascii="黑体" w:hAnsi="黑体" w:eastAsia="黑体" w:cs="黑体"/>
          <w:b w:val="0"/>
          <w:bCs/>
          <w:sz w:val="44"/>
          <w:szCs w:val="44"/>
        </w:rPr>
      </w:pPr>
    </w:p>
    <w:p w14:paraId="73EEDED1">
      <w:pPr>
        <w:spacing w:before="480" w:after="480" w:line="288" w:lineRule="auto"/>
        <w:ind w:left="0"/>
        <w:jc w:val="both"/>
        <w:rPr>
          <w:rFonts w:hint="eastAsia" w:ascii="黑体" w:hAnsi="黑体" w:eastAsia="黑体" w:cs="黑体"/>
          <w:b w:val="0"/>
          <w:bCs/>
          <w:sz w:val="44"/>
          <w:szCs w:val="44"/>
        </w:rPr>
      </w:pPr>
    </w:p>
    <w:p w14:paraId="27BBEAF4">
      <w:pPr>
        <w:spacing w:before="480" w:after="480" w:line="288" w:lineRule="auto"/>
        <w:ind w:left="0"/>
        <w:jc w:val="center"/>
        <w:rPr>
          <w:rFonts w:hint="eastAsia" w:ascii="黑体" w:hAnsi="黑体" w:eastAsia="黑体" w:cs="黑体"/>
          <w:b w:val="0"/>
          <w:bCs/>
          <w:sz w:val="44"/>
          <w:szCs w:val="44"/>
        </w:rPr>
      </w:pPr>
    </w:p>
    <w:p w14:paraId="13E6012E">
      <w:pPr>
        <w:spacing w:before="480" w:after="480" w:line="288" w:lineRule="auto"/>
        <w:ind w:left="0"/>
        <w:jc w:val="center"/>
        <w:rPr>
          <w:rFonts w:hint="eastAsia" w:ascii="黑体" w:hAnsi="黑体" w:eastAsia="黑体" w:cs="黑体"/>
          <w:b w:val="0"/>
          <w:bCs/>
          <w:sz w:val="44"/>
          <w:szCs w:val="44"/>
        </w:rPr>
      </w:pPr>
    </w:p>
    <w:p w14:paraId="53300A86">
      <w:pPr>
        <w:jc w:val="center"/>
        <w:rPr>
          <w:rFonts w:ascii="Times New Roman" w:hAnsi="Times New Roman" w:eastAsia="黑体" w:cs="Times New Roman"/>
          <w:bCs/>
          <w:spacing w:val="-16"/>
          <w:sz w:val="32"/>
          <w:szCs w:val="32"/>
          <w14:ligatures w14:val="none"/>
        </w:rPr>
      </w:pPr>
      <w:r>
        <w:rPr>
          <w:rFonts w:hint="eastAsia" w:ascii="Times New Roman" w:hAnsi="Times New Roman" w:eastAsia="黑体" w:cs="Times New Roman"/>
          <w:bCs/>
          <w:spacing w:val="-16"/>
          <w:sz w:val="32"/>
          <w:szCs w:val="32"/>
          <w14:ligatures w14:val="none"/>
        </w:rPr>
        <w:t>《</w:t>
      </w:r>
      <w:r>
        <w:rPr>
          <w:rFonts w:hint="eastAsia" w:ascii="黑体" w:hAnsi="黑体" w:eastAsia="黑体" w:cs="黑体"/>
          <w:sz w:val="32"/>
          <w:szCs w:val="32"/>
        </w:rPr>
        <w:t>二次铝灰解毒及资源化替代铝土矿技术规范</w:t>
      </w:r>
      <w:r>
        <w:rPr>
          <w:rFonts w:hint="eastAsia" w:ascii="Times New Roman" w:hAnsi="Times New Roman" w:eastAsia="黑体" w:cs="Times New Roman"/>
          <w:bCs/>
          <w:spacing w:val="-16"/>
          <w:sz w:val="32"/>
          <w:szCs w:val="32"/>
          <w14:ligatures w14:val="none"/>
        </w:rPr>
        <w:t>》 编制组</w:t>
      </w:r>
    </w:p>
    <w:p w14:paraId="530AB8A8">
      <w:pPr>
        <w:jc w:val="center"/>
        <w:rPr>
          <w:rFonts w:hint="eastAsia" w:ascii="黑体" w:hAnsi="黑体" w:eastAsia="黑体" w:cs="黑体"/>
          <w:b w:val="0"/>
          <w:bCs/>
          <w:sz w:val="44"/>
          <w:szCs w:val="44"/>
        </w:rPr>
      </w:pPr>
      <w:r>
        <w:rPr>
          <w:rFonts w:hint="eastAsia" w:ascii="Times New Roman" w:hAnsi="Times New Roman" w:eastAsia="黑体" w:cs="Times New Roman"/>
          <w:bCs/>
          <w:spacing w:val="-16"/>
          <w:sz w:val="30"/>
          <w:szCs w:val="30"/>
          <w14:ligatures w14:val="none"/>
        </w:rPr>
        <w:t>二〇二六年</w:t>
      </w:r>
      <w:r>
        <w:rPr>
          <w:rFonts w:hint="eastAsia" w:ascii="Times New Roman" w:hAnsi="Times New Roman" w:eastAsia="黑体" w:cs="Times New Roman"/>
          <w:bCs/>
          <w:spacing w:val="-16"/>
          <w:sz w:val="30"/>
          <w:szCs w:val="30"/>
          <w:lang w:eastAsia="zh-CN"/>
          <w14:ligatures w14:val="none"/>
        </w:rPr>
        <w:t>六</w:t>
      </w:r>
      <w:r>
        <w:rPr>
          <w:rFonts w:hint="eastAsia" w:ascii="Times New Roman" w:hAnsi="Times New Roman" w:eastAsia="黑体" w:cs="Times New Roman"/>
          <w:bCs/>
          <w:spacing w:val="-16"/>
          <w:sz w:val="30"/>
          <w:szCs w:val="30"/>
          <w14:ligatures w14:val="none"/>
        </w:rPr>
        <w:t>月</w:t>
      </w:r>
    </w:p>
    <w:sdt>
      <w:sdtPr>
        <w:rPr>
          <w:rFonts w:ascii="宋体" w:hAnsi="宋体" w:eastAsia="宋体"/>
          <w:sz w:val="21"/>
          <w:szCs w:val="22"/>
        </w:rPr>
        <w:id w:val="147461558"/>
        <w15:color w:val="DBDBDB"/>
        <w:docPartObj>
          <w:docPartGallery w:val="Table of Contents"/>
          <w:docPartUnique/>
        </w:docPartObj>
      </w:sdtPr>
      <w:sdtEndPr>
        <w:rPr>
          <w:rFonts w:hint="eastAsia" w:ascii="黑体" w:hAnsi="黑体" w:eastAsia="黑体" w:cs="黑体"/>
          <w:sz w:val="21"/>
          <w:szCs w:val="22"/>
        </w:rPr>
      </w:sdtEndPr>
      <w:sdtContent>
        <w:p w14:paraId="4164819B">
          <w:pPr>
            <w:spacing w:before="0" w:beforeLines="0" w:after="0" w:afterLines="0" w:line="240" w:lineRule="auto"/>
            <w:ind w:left="0" w:leftChars="0" w:right="0" w:rightChars="0" w:firstLine="0" w:firstLineChars="0"/>
            <w:jc w:val="center"/>
            <w:rPr>
              <w:rFonts w:ascii="宋体" w:hAnsi="宋体" w:eastAsia="宋体"/>
              <w:sz w:val="21"/>
              <w:szCs w:val="22"/>
            </w:rPr>
          </w:pPr>
        </w:p>
        <w:p w14:paraId="1B46470A">
          <w:pPr>
            <w:spacing w:before="0" w:beforeLines="0" w:after="0" w:afterLines="0" w:line="240" w:lineRule="auto"/>
            <w:ind w:left="0" w:leftChars="0" w:right="0" w:rightChars="0" w:firstLine="0" w:firstLineChars="0"/>
            <w:jc w:val="center"/>
            <w:rPr>
              <w:rFonts w:ascii="宋体" w:hAnsi="宋体" w:eastAsia="宋体"/>
              <w:sz w:val="21"/>
              <w:szCs w:val="22"/>
            </w:rPr>
          </w:pPr>
        </w:p>
        <w:p w14:paraId="1C81A3D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目录</w:t>
          </w:r>
        </w:p>
        <w:p w14:paraId="4F6F6A26">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TOC \o "1-2" \h \u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_Toc24810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bCs/>
              <w:sz w:val="24"/>
              <w:szCs w:val="52"/>
            </w:rPr>
            <w:t>《二次铝灰解毒及资源化替代铝土矿技术规范》编制说明（征求意见稿）</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_Toc24810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165FA948">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_Toc4036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一、工作简况</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_Toc4036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0671F30D">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_Toc23216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4"/>
            </w:rPr>
            <w:t>（一）任务来源</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_Toc23216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0C24B77B">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_Toc21422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w:t>
          </w:r>
          <w:r>
            <w:rPr>
              <w:rFonts w:hint="eastAsia" w:asciiTheme="minorEastAsia" w:hAnsiTheme="minorEastAsia" w:eastAsiaTheme="minorEastAsia" w:cstheme="minorEastAsia"/>
              <w:sz w:val="24"/>
              <w:szCs w:val="36"/>
              <w:lang w:eastAsia="zh-CN"/>
            </w:rPr>
            <w:t>二</w:t>
          </w:r>
          <w:r>
            <w:rPr>
              <w:rFonts w:hint="eastAsia" w:asciiTheme="minorEastAsia" w:hAnsiTheme="minorEastAsia" w:eastAsiaTheme="minorEastAsia" w:cstheme="minorEastAsia"/>
              <w:sz w:val="24"/>
              <w:szCs w:val="36"/>
            </w:rPr>
            <w:t>）编制过程</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_Toc21422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4</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79E052A3">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_Toc31458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44"/>
            </w:rPr>
            <w:t>二、标准编制的必要性与意义</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_Toc31458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4</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600DDF48">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_Toc12399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（一）行业发展现状与痛点</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_Toc12399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4</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2DDFEF66">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_Toc10555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（二）编制必要性</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_Toc10555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5</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57175544">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_Toc25009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（三）编制意义</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_Toc25009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5</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6D75C2AE">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_Toc16944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44"/>
            </w:rPr>
            <w:t>三、标准编制原则与依据</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_Toc16944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5</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3D789B11">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_Toc27579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（一）编制原则</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_Toc27579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5</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71DEFB95">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_Toc5105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（二）编制依据</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_Toc5105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6</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7E215823">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_Toc23295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44"/>
            </w:rPr>
            <w:t>四、标准主要内容及技术说明</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_Toc23295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6</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34F07E7B">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_Toc31801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（一）适用范围</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_Toc31801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6</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5A1C09AC">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_Toc21774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（二）规范性引用文件</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_Toc21774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6</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50D5EFB2">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_Toc30195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（三）术语和定义</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_Toc30195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21E59529">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_Toc11844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（四）总体要求</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_Toc11844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32902599">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_Toc7362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（五）处理解毒工艺技术要求</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_Toc7362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5737AEA7">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_Toc4516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（六）资源化产品（类铝土矿）质量基本要求</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_Toc4516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6BB97B5C">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_Toc7648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（七）替代应用技术规范</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_Toc7648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7</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259AFA5E">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_Toc29880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（八）检测与监测</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_Toc29880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10BD0D08">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_Toc2298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（九）包装、运输与贮存</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_Toc2298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18C8E385">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_Toc8065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（十）环境保护与安全要求</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_Toc8065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563415F2">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_Toc18678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44"/>
            </w:rPr>
            <w:t>五、与现行标准、政策的协调性说明</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_Toc18678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22F7F291">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_Toc4268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44"/>
            </w:rPr>
            <w:t>六、试验验证及技术论证情况</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_Toc4268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8</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17FEA899">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_Toc3003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44"/>
            </w:rPr>
            <w:t>七、经济、社会及生态效益分析</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_Toc3003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9</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105268EC">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_Toc2218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（一）生态效益</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_Toc2218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9</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7941C95F">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_Toc22906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（二）经济效益</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_Toc22906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9</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00A31D25">
          <w:pPr>
            <w:pStyle w:val="4"/>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_Toc6754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36"/>
            </w:rPr>
            <w:t>（三）社会效益</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_Toc6754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9</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60BCD47F">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_Toc24333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lang w:eastAsia="zh-CN"/>
            </w:rPr>
            <w:t>八</w:t>
          </w:r>
          <w:r>
            <w:rPr>
              <w:rFonts w:hint="eastAsia" w:asciiTheme="minorEastAsia" w:hAnsiTheme="minorEastAsia" w:eastAsiaTheme="minorEastAsia" w:cstheme="minorEastAsia"/>
              <w:sz w:val="24"/>
              <w:szCs w:val="28"/>
            </w:rPr>
            <w:t>、实施建议</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_Toc24333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9</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046010D4">
          <w:pPr>
            <w:pStyle w:val="3"/>
            <w:keepNext w:val="0"/>
            <w:keepLines w:val="0"/>
            <w:pageBreakBefore w:val="0"/>
            <w:widowControl w:val="0"/>
            <w:tabs>
              <w:tab w:val="right" w:leader="dot" w:pos="8305"/>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HYPERLINK \l _Toc22164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44"/>
              <w:lang w:eastAsia="zh-CN"/>
            </w:rPr>
            <w:t>九</w:t>
          </w:r>
          <w:r>
            <w:rPr>
              <w:rFonts w:hint="eastAsia" w:asciiTheme="minorEastAsia" w:hAnsiTheme="minorEastAsia" w:eastAsiaTheme="minorEastAsia" w:cstheme="minorEastAsia"/>
              <w:sz w:val="24"/>
              <w:szCs w:val="44"/>
            </w:rPr>
            <w:t>、其他需要说明的事项</w:t>
          </w:r>
          <w:r>
            <w:rPr>
              <w:rFonts w:hint="eastAsia" w:asciiTheme="minorEastAsia" w:hAnsiTheme="minorEastAsia" w:eastAsiaTheme="minorEastAsia" w:cstheme="minorEastAsia"/>
              <w:sz w:val="24"/>
              <w:szCs w:val="28"/>
            </w:rPr>
            <w:tab/>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PAGEREF _Toc22164 \h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10</w:t>
          </w:r>
          <w:r>
            <w:rPr>
              <w:rFonts w:hint="eastAsia" w:asciiTheme="minorEastAsia" w:hAnsiTheme="minorEastAsia" w:eastAsiaTheme="minorEastAsia" w:cstheme="minorEastAsia"/>
              <w:sz w:val="24"/>
              <w:szCs w:val="28"/>
            </w:rPr>
            <w:fldChar w:fldCharType="end"/>
          </w:r>
          <w:r>
            <w:rPr>
              <w:rFonts w:hint="eastAsia" w:asciiTheme="minorEastAsia" w:hAnsiTheme="minorEastAsia" w:eastAsiaTheme="minorEastAsia" w:cstheme="minorEastAsia"/>
              <w:sz w:val="24"/>
              <w:szCs w:val="28"/>
            </w:rPr>
            <w:fldChar w:fldCharType="end"/>
          </w:r>
        </w:p>
        <w:p w14:paraId="70BF333C">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outlineLvl w:val="9"/>
            <w:rPr>
              <w:rFonts w:hint="eastAsia" w:ascii="黑体" w:hAnsi="黑体" w:eastAsia="黑体" w:cs="黑体"/>
              <w:sz w:val="21"/>
              <w:szCs w:val="22"/>
            </w:rPr>
          </w:pPr>
          <w:r>
            <w:rPr>
              <w:rFonts w:hint="eastAsia" w:asciiTheme="minorEastAsia" w:hAnsiTheme="minorEastAsia" w:eastAsiaTheme="minorEastAsia" w:cstheme="minorEastAsia"/>
              <w:sz w:val="24"/>
              <w:szCs w:val="28"/>
            </w:rPr>
            <w:fldChar w:fldCharType="end"/>
          </w:r>
        </w:p>
      </w:sdtContent>
    </w:sdt>
    <w:p w14:paraId="64BD6F4B">
      <w:pPr>
        <w:spacing w:before="380" w:after="140" w:line="288" w:lineRule="auto"/>
        <w:ind w:left="0"/>
        <w:jc w:val="left"/>
        <w:outlineLvl w:val="9"/>
        <w:rPr>
          <w:rFonts w:hint="eastAsia" w:ascii="黑体" w:hAnsi="黑体" w:eastAsia="黑体" w:cs="黑体"/>
          <w:sz w:val="21"/>
          <w:szCs w:val="22"/>
        </w:rPr>
      </w:pPr>
    </w:p>
    <w:p w14:paraId="430E6EDE">
      <w:pPr>
        <w:spacing w:before="380" w:after="140" w:line="288" w:lineRule="auto"/>
        <w:ind w:left="0"/>
        <w:jc w:val="left"/>
        <w:outlineLvl w:val="9"/>
        <w:rPr>
          <w:rFonts w:hint="eastAsia" w:ascii="黑体" w:hAnsi="黑体" w:eastAsia="黑体" w:cs="黑体"/>
          <w:b/>
          <w:sz w:val="36"/>
        </w:rPr>
      </w:pPr>
    </w:p>
    <w:p w14:paraId="52C62A45">
      <w:pPr>
        <w:spacing w:before="380" w:after="140" w:line="288" w:lineRule="auto"/>
        <w:ind w:left="0"/>
        <w:jc w:val="left"/>
        <w:outlineLvl w:val="0"/>
        <w:rPr>
          <w:rFonts w:hint="eastAsia" w:ascii="黑体" w:hAnsi="黑体" w:eastAsia="黑体" w:cs="黑体"/>
          <w:sz w:val="36"/>
          <w:szCs w:val="36"/>
        </w:rPr>
      </w:pPr>
      <w:bookmarkStart w:id="1" w:name="_Toc4036"/>
      <w:r>
        <w:rPr>
          <w:rFonts w:hint="eastAsia" w:ascii="黑体" w:hAnsi="黑体" w:eastAsia="黑体" w:cs="黑体"/>
          <w:b/>
          <w:sz w:val="36"/>
          <w:szCs w:val="36"/>
        </w:rPr>
        <w:t>一、工作简况</w:t>
      </w:r>
      <w:bookmarkEnd w:id="1"/>
    </w:p>
    <w:p w14:paraId="1D2690E6">
      <w:pPr>
        <w:spacing w:before="320" w:after="120" w:line="288" w:lineRule="auto"/>
        <w:ind w:left="0"/>
        <w:jc w:val="left"/>
        <w:outlineLvl w:val="1"/>
        <w:rPr>
          <w:rFonts w:hint="eastAsia" w:ascii="宋体" w:hAnsi="宋体" w:eastAsia="宋体" w:cs="宋体"/>
          <w:sz w:val="20"/>
          <w:szCs w:val="21"/>
        </w:rPr>
      </w:pPr>
      <w:bookmarkStart w:id="2" w:name="heading_1"/>
      <w:bookmarkStart w:id="3" w:name="_Toc23216"/>
      <w:r>
        <w:rPr>
          <w:rFonts w:hint="eastAsia" w:ascii="宋体" w:hAnsi="宋体" w:eastAsia="宋体" w:cs="宋体"/>
          <w:b/>
          <w:sz w:val="28"/>
          <w:szCs w:val="21"/>
        </w:rPr>
        <w:t>（一）任务来源</w:t>
      </w:r>
      <w:bookmarkEnd w:id="2"/>
      <w:bookmarkEnd w:id="3"/>
    </w:p>
    <w:p w14:paraId="204AEA11">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二次铝灰是铝冶炼、铝加工及再生铝生产过程中产生的大宗工业固</w:t>
      </w:r>
      <w:bookmarkStart w:id="58" w:name="_GoBack"/>
      <w:bookmarkEnd w:id="58"/>
      <w:r>
        <w:rPr>
          <w:rFonts w:hint="eastAsia" w:ascii="宋体" w:hAnsi="宋体" w:eastAsia="宋体" w:cs="宋体"/>
          <w:sz w:val="24"/>
          <w:szCs w:val="24"/>
        </w:rPr>
        <w:t>废，属于国家重点管控的固体废物范畴。当前我国铝产业规模庞大，二次铝灰年产生量巨大，传统填埋、堆存处置方式不仅占用大量土地资源，还易造成氟、氯、重金属等污染物渗漏，引发土壤、水体和大气二次污染，存在突出的环境安全隐患。</w:t>
      </w:r>
    </w:p>
    <w:p w14:paraId="7904F1E2">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为落实生态环境部《关于铝灰利用处置有关问题的复函》（环办便函〔2021〕481号）、《固体废物再生利用污染防治技术导则》（HJ1091-2020）及《国家危险废物名录（2025年版）</w:t>
      </w:r>
      <w:r>
        <w:rPr>
          <w:rFonts w:hint="eastAsia" w:ascii="宋体" w:hAnsi="宋体" w:eastAsia="宋体" w:cs="宋体"/>
          <w:sz w:val="24"/>
          <w:szCs w:val="24"/>
          <w:lang w:eastAsia="zh-CN"/>
        </w:rPr>
        <w:t>》等</w:t>
      </w:r>
      <w:r>
        <w:rPr>
          <w:rFonts w:hint="eastAsia" w:ascii="宋体" w:hAnsi="宋体" w:eastAsia="宋体" w:cs="宋体"/>
          <w:sz w:val="24"/>
          <w:szCs w:val="24"/>
        </w:rPr>
        <w:t>相关管理要求，规范二次铝灰无害化解毒、资源化利用全流程技术行为，打通二次铝灰替代铝土矿的产业化应用通道，解决行业存在的解毒工艺不统一、产品质量无标准、应用场景不规范、环保管控无依据等突出问题，</w:t>
      </w:r>
      <w:r>
        <w:rPr>
          <w:rFonts w:hint="eastAsia" w:ascii="宋体" w:hAnsi="宋体" w:eastAsia="宋体" w:cs="宋体"/>
          <w:sz w:val="24"/>
          <w:szCs w:val="24"/>
          <w:lang w:eastAsia="zh-CN"/>
        </w:rPr>
        <w:t>中南大学</w:t>
      </w:r>
      <w:r>
        <w:rPr>
          <w:rFonts w:hint="eastAsia" w:ascii="宋体" w:hAnsi="宋体" w:eastAsia="宋体" w:cs="宋体"/>
          <w:sz w:val="24"/>
          <w:szCs w:val="24"/>
        </w:rPr>
        <w:t>牵头立项《二次铝灰解毒及资源化替代铝土矿技术规范》团体标准制定工作，旨在构建科学、合规、可落地的二次铝灰资源化利用技术体系，推动铝产业固废减量化、无害化、资源化高质量发展。</w:t>
      </w:r>
    </w:p>
    <w:p w14:paraId="3976282F">
      <w:pPr>
        <w:spacing w:before="320" w:after="120" w:line="288" w:lineRule="auto"/>
        <w:ind w:left="0"/>
        <w:jc w:val="left"/>
        <w:outlineLvl w:val="1"/>
        <w:rPr>
          <w:rFonts w:hint="eastAsia" w:ascii="宋体" w:hAnsi="宋体" w:eastAsia="宋体" w:cs="宋体"/>
          <w:sz w:val="28"/>
          <w:szCs w:val="28"/>
        </w:rPr>
      </w:pPr>
      <w:bookmarkStart w:id="4" w:name="heading_3"/>
      <w:bookmarkStart w:id="5" w:name="_Toc21422"/>
      <w:r>
        <w:rPr>
          <w:rFonts w:hint="eastAsia" w:ascii="宋体" w:hAnsi="宋体" w:eastAsia="宋体" w:cs="宋体"/>
          <w:b/>
          <w:sz w:val="28"/>
          <w:szCs w:val="28"/>
        </w:rPr>
        <w:t>（</w:t>
      </w:r>
      <w:r>
        <w:rPr>
          <w:rFonts w:hint="eastAsia" w:ascii="宋体" w:hAnsi="宋体" w:eastAsia="宋体" w:cs="宋体"/>
          <w:b/>
          <w:sz w:val="28"/>
          <w:szCs w:val="28"/>
          <w:lang w:eastAsia="zh-CN"/>
        </w:rPr>
        <w:t>二</w:t>
      </w:r>
      <w:r>
        <w:rPr>
          <w:rFonts w:hint="eastAsia" w:ascii="宋体" w:hAnsi="宋体" w:eastAsia="宋体" w:cs="宋体"/>
          <w:b/>
          <w:sz w:val="28"/>
          <w:szCs w:val="28"/>
        </w:rPr>
        <w:t>）编制过程</w:t>
      </w:r>
      <w:bookmarkEnd w:id="4"/>
      <w:bookmarkEnd w:id="5"/>
    </w:p>
    <w:p w14:paraId="47624B35">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1. 前期调研阶段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2025年9月-11月</w:t>
      </w:r>
      <w:r>
        <w:rPr>
          <w:rFonts w:hint="eastAsia" w:ascii="宋体" w:hAnsi="宋体" w:eastAsia="宋体" w:cs="宋体"/>
          <w:sz w:val="24"/>
          <w:szCs w:val="24"/>
          <w:lang w:eastAsia="zh-CN"/>
        </w:rPr>
        <w:t>）</w:t>
      </w:r>
      <w:r>
        <w:rPr>
          <w:rFonts w:hint="eastAsia" w:ascii="宋体" w:hAnsi="宋体" w:eastAsia="宋体" w:cs="宋体"/>
          <w:sz w:val="24"/>
          <w:szCs w:val="24"/>
        </w:rPr>
        <w:t>：起草工作组系统梳理国内外二次铝灰处置、铝土矿替代利用相关政策法规、标准体系及技术研究成果，调研国内主流二次铝灰解毒工艺、资源化利用模式、行业痛点及产业化应用现状，汇总各地环保管控要求与企业生产实操经验，明确标准编制的核心方向、技术框架与关键管控指标。</w:t>
      </w:r>
    </w:p>
    <w:p w14:paraId="2DAF60E7">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2. 框架搭建阶段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2025年11月-2026年1月</w:t>
      </w:r>
      <w:r>
        <w:rPr>
          <w:rFonts w:hint="eastAsia" w:ascii="宋体" w:hAnsi="宋体" w:eastAsia="宋体" w:cs="宋体"/>
          <w:sz w:val="24"/>
          <w:szCs w:val="24"/>
          <w:lang w:eastAsia="zh-CN"/>
        </w:rPr>
        <w:t>）</w:t>
      </w:r>
      <w:r>
        <w:rPr>
          <w:rFonts w:hint="eastAsia" w:ascii="宋体" w:hAnsi="宋体" w:eastAsia="宋体" w:cs="宋体"/>
          <w:sz w:val="24"/>
          <w:szCs w:val="24"/>
        </w:rPr>
        <w:t>：依据GB/T 1.1—2020《标准化工作导则 第1部分：标准化文件的结构和起草规则》要求，结合二次铝灰解毒、资源化替代铝土矿的全流程工艺特点，确定标准整体框架，涵盖范围、规范性引用文件、术语定义、总体要求、解毒工艺要求、产品质量要求、替代应用规范、检测监测、储运管理、环保安全等核心章节。</w:t>
      </w:r>
    </w:p>
    <w:p w14:paraId="21A5BEA5">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3. 内容编制阶段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2026年1月-2026年4月</w:t>
      </w:r>
      <w:r>
        <w:rPr>
          <w:rFonts w:hint="eastAsia" w:ascii="宋体" w:hAnsi="宋体" w:eastAsia="宋体" w:cs="宋体"/>
          <w:sz w:val="24"/>
          <w:szCs w:val="24"/>
          <w:lang w:eastAsia="zh-CN"/>
        </w:rPr>
        <w:t>）</w:t>
      </w:r>
      <w:r>
        <w:rPr>
          <w:rFonts w:hint="eastAsia" w:ascii="宋体" w:hAnsi="宋体" w:eastAsia="宋体" w:cs="宋体"/>
          <w:sz w:val="24"/>
          <w:szCs w:val="24"/>
        </w:rPr>
        <w:t>：结合行业主流湿法、火法、联合法解毒工艺，参考现有铝土矿质量标准、固废污染控制标准及环保技术导则，细化各项技术指标、工艺控制要求、检测方法及应用规范，完成标准初稿编制。</w:t>
      </w:r>
    </w:p>
    <w:p w14:paraId="093058AE">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4. 内部研讨修改阶段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2026年4月-2026年6月</w:t>
      </w:r>
      <w:r>
        <w:rPr>
          <w:rFonts w:hint="eastAsia" w:ascii="宋体" w:hAnsi="宋体" w:eastAsia="宋体" w:cs="宋体"/>
          <w:sz w:val="24"/>
          <w:szCs w:val="24"/>
          <w:lang w:eastAsia="zh-CN"/>
        </w:rPr>
        <w:t>）</w:t>
      </w:r>
      <w:r>
        <w:rPr>
          <w:rFonts w:hint="eastAsia" w:ascii="宋体" w:hAnsi="宋体" w:eastAsia="宋体" w:cs="宋体"/>
          <w:sz w:val="24"/>
          <w:szCs w:val="24"/>
        </w:rPr>
        <w:t>：组织行业专家、生产企业、环保技术人员开展多轮</w:t>
      </w:r>
      <w:r>
        <w:rPr>
          <w:rFonts w:hint="eastAsia" w:ascii="宋体" w:hAnsi="宋体" w:eastAsia="宋体" w:cs="宋体"/>
          <w:sz w:val="24"/>
          <w:szCs w:val="24"/>
          <w:lang w:eastAsia="zh-CN"/>
        </w:rPr>
        <w:t>线上及线下</w:t>
      </w:r>
      <w:r>
        <w:rPr>
          <w:rFonts w:hint="eastAsia" w:ascii="宋体" w:hAnsi="宋体" w:eastAsia="宋体" w:cs="宋体"/>
          <w:sz w:val="24"/>
          <w:szCs w:val="24"/>
        </w:rPr>
        <w:t>内部研讨</w:t>
      </w:r>
      <w:r>
        <w:rPr>
          <w:rFonts w:hint="eastAsia" w:ascii="宋体" w:hAnsi="宋体" w:eastAsia="宋体" w:cs="宋体"/>
          <w:sz w:val="24"/>
          <w:szCs w:val="24"/>
          <w:lang w:eastAsia="zh-CN"/>
        </w:rPr>
        <w:t>会</w:t>
      </w:r>
      <w:r>
        <w:rPr>
          <w:rFonts w:hint="eastAsia" w:ascii="宋体" w:hAnsi="宋体" w:eastAsia="宋体" w:cs="宋体"/>
          <w:sz w:val="24"/>
          <w:szCs w:val="24"/>
        </w:rPr>
        <w:t>，针对工艺参数、产品分级指标、污染管控要求、应用适配场景等核心内容优化完善，修正技术偏差、补齐管控短板，形成《二次铝灰解毒及资源化替代铝土矿技术规范（征求意见稿）》，同步编制配套编制说明，面向社会公开征求意见。</w:t>
      </w:r>
    </w:p>
    <w:p w14:paraId="0068356A">
      <w:pPr>
        <w:spacing w:before="380" w:after="140" w:line="288" w:lineRule="auto"/>
        <w:ind w:left="0"/>
        <w:jc w:val="left"/>
        <w:outlineLvl w:val="0"/>
        <w:rPr>
          <w:rFonts w:hint="eastAsia" w:ascii="黑体" w:hAnsi="黑体" w:eastAsia="黑体" w:cs="黑体"/>
          <w:sz w:val="36"/>
          <w:szCs w:val="36"/>
        </w:rPr>
      </w:pPr>
      <w:bookmarkStart w:id="6" w:name="heading_4"/>
      <w:bookmarkStart w:id="7" w:name="_Toc31458"/>
      <w:r>
        <w:rPr>
          <w:rFonts w:hint="eastAsia" w:ascii="黑体" w:hAnsi="黑体" w:eastAsia="黑体" w:cs="黑体"/>
          <w:b/>
          <w:sz w:val="36"/>
          <w:szCs w:val="36"/>
        </w:rPr>
        <w:t>二、标准编制的必要性与意义</w:t>
      </w:r>
      <w:bookmarkEnd w:id="6"/>
      <w:bookmarkEnd w:id="7"/>
    </w:p>
    <w:p w14:paraId="4C0FD759">
      <w:pPr>
        <w:spacing w:before="320" w:after="120" w:line="288" w:lineRule="auto"/>
        <w:ind w:left="0"/>
        <w:jc w:val="left"/>
        <w:outlineLvl w:val="1"/>
        <w:rPr>
          <w:rFonts w:hint="eastAsia" w:ascii="宋体" w:hAnsi="宋体" w:eastAsia="宋体" w:cs="宋体"/>
          <w:sz w:val="28"/>
          <w:szCs w:val="28"/>
        </w:rPr>
      </w:pPr>
      <w:bookmarkStart w:id="8" w:name="heading_5"/>
      <w:bookmarkStart w:id="9" w:name="_Toc12399"/>
      <w:r>
        <w:rPr>
          <w:rFonts w:hint="eastAsia" w:ascii="宋体" w:hAnsi="宋体" w:eastAsia="宋体" w:cs="宋体"/>
          <w:b/>
          <w:sz w:val="28"/>
          <w:szCs w:val="28"/>
        </w:rPr>
        <w:t>（一）行业发展现状与痛点</w:t>
      </w:r>
      <w:bookmarkEnd w:id="8"/>
      <w:bookmarkEnd w:id="9"/>
    </w:p>
    <w:p w14:paraId="13358466">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近年来，我国铝工业持续稳定发展，二次铝灰产生量逐年递增。二次铝灰中含有氮化铝、活性金属铝、氟化物、氯化物等有毒有害、反应性组分，若处置不当，易产生氨气、氢气等有害气体，造成大气污染，同时可溶性盐类、氟化物易渗漏污染土壤和地下水，环境风险突出。</w:t>
      </w:r>
    </w:p>
    <w:p w14:paraId="2956ACFC">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目前国内二次铝灰资源化利用行业存在诸多乱象：一是解毒工艺参差不齐，部分企业工艺简陋，无法彻底消除二次铝灰的毒性和反应性；二是资源化产品无统一质量标准，不同企业产出的类铝土矿成分差异大、稳定性差；三是替代铝土矿应用无规范指引，掺配比例、适配场景无统一要求，易影响下游产品质量及生产安全；四是环保管控、检测监测、储运管理缺乏统一标准依据，行业合规化、标准化水平偏低，制约了二次铝灰规模化、产业化资源化利用。</w:t>
      </w:r>
    </w:p>
    <w:p w14:paraId="20FF0F57">
      <w:pPr>
        <w:spacing w:before="320" w:after="120" w:line="288" w:lineRule="auto"/>
        <w:ind w:left="0"/>
        <w:jc w:val="left"/>
        <w:outlineLvl w:val="1"/>
        <w:rPr>
          <w:rFonts w:hint="eastAsia" w:ascii="宋体" w:hAnsi="宋体" w:eastAsia="宋体" w:cs="宋体"/>
          <w:sz w:val="28"/>
          <w:szCs w:val="28"/>
        </w:rPr>
      </w:pPr>
      <w:bookmarkStart w:id="10" w:name="heading_6"/>
      <w:bookmarkStart w:id="11" w:name="_Toc10555"/>
      <w:r>
        <w:rPr>
          <w:rFonts w:hint="eastAsia" w:ascii="宋体" w:hAnsi="宋体" w:eastAsia="宋体" w:cs="宋体"/>
          <w:b/>
          <w:sz w:val="28"/>
          <w:szCs w:val="28"/>
        </w:rPr>
        <w:t>（二）编制必要性</w:t>
      </w:r>
      <w:bookmarkEnd w:id="10"/>
      <w:bookmarkEnd w:id="11"/>
    </w:p>
    <w:p w14:paraId="7CD30209">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1. 填补行业标准空白：当前国内尚无专门针对二次铝灰解毒后替代铝土矿的专项技术规范，现有标准仅聚焦固废处置、单一检测或终端产品要求，无法覆盖“解毒-资源化-替代应用-环保管控”全流程，本标准可有效填补领域标准空白。</w:t>
      </w:r>
    </w:p>
    <w:p w14:paraId="59666BA4">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2. 规范行业生产经营行为：统一二次铝灰解毒工艺、产品质量、检测监测、储运及应用技术要求，杜绝粗放处置、违规利用行为，引导行业规范化、标准化、绿色化发展。</w:t>
      </w:r>
    </w:p>
    <w:p w14:paraId="592700C1">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3. 防控生态环境风险：明确二次铝灰解毒过程污染物管控、产品浸出毒性限值、二次废物处置要求，从源头消除固废环境隐患，防范资源化利用过程中的二次污染。</w:t>
      </w:r>
    </w:p>
    <w:p w14:paraId="3FD585AC">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4. 推动固废资源化高效利用：打通二次铝灰替代铝土矿的技术通道，实现工业固废变废为宝，减少铝土矿原生资源开采，助力“双碳”目标与生态文明建设。</w:t>
      </w:r>
    </w:p>
    <w:p w14:paraId="4BA0A862">
      <w:pPr>
        <w:spacing w:before="320" w:after="120" w:line="288" w:lineRule="auto"/>
        <w:ind w:left="0"/>
        <w:jc w:val="left"/>
        <w:outlineLvl w:val="1"/>
        <w:rPr>
          <w:rFonts w:hint="eastAsia" w:ascii="宋体" w:hAnsi="宋体" w:eastAsia="宋体" w:cs="宋体"/>
          <w:sz w:val="28"/>
          <w:szCs w:val="28"/>
        </w:rPr>
      </w:pPr>
      <w:bookmarkStart w:id="12" w:name="heading_7"/>
      <w:bookmarkStart w:id="13" w:name="_Toc25009"/>
      <w:r>
        <w:rPr>
          <w:rFonts w:hint="eastAsia" w:ascii="宋体" w:hAnsi="宋体" w:eastAsia="宋体" w:cs="宋体"/>
          <w:b/>
          <w:sz w:val="28"/>
          <w:szCs w:val="28"/>
        </w:rPr>
        <w:t>（三）编制意义</w:t>
      </w:r>
      <w:bookmarkEnd w:id="12"/>
      <w:bookmarkEnd w:id="13"/>
    </w:p>
    <w:p w14:paraId="26ECBECB">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的制定实施，可有效规范二次铝灰无害化解毒及资源化替代铝土矿的全流程技术行为，统一产品质量分级与应用标准，降低资源化利用的环境风险与技术门槛，提升行业整体技术水平。同时，可大幅减少原生铝土矿资源消耗，降低企业原料采购成本，实现生态效益、经济效益、社会效益协同提升，为铝产业绿色低碳转型、工业固废综合利用体系建设提供重要技术支撑。</w:t>
      </w:r>
    </w:p>
    <w:p w14:paraId="601B17A2">
      <w:pPr>
        <w:spacing w:before="380" w:after="140" w:line="288" w:lineRule="auto"/>
        <w:ind w:left="0"/>
        <w:jc w:val="left"/>
        <w:outlineLvl w:val="0"/>
        <w:rPr>
          <w:rFonts w:hint="eastAsia" w:ascii="黑体" w:hAnsi="黑体" w:eastAsia="黑体" w:cs="黑体"/>
          <w:sz w:val="36"/>
          <w:szCs w:val="36"/>
        </w:rPr>
      </w:pPr>
      <w:bookmarkStart w:id="14" w:name="heading_8"/>
      <w:bookmarkStart w:id="15" w:name="_Toc16944"/>
      <w:r>
        <w:rPr>
          <w:rFonts w:hint="eastAsia" w:ascii="黑体" w:hAnsi="黑体" w:eastAsia="黑体" w:cs="黑体"/>
          <w:b/>
          <w:sz w:val="36"/>
          <w:szCs w:val="36"/>
        </w:rPr>
        <w:t>三、标准编制原则与依据</w:t>
      </w:r>
      <w:bookmarkEnd w:id="14"/>
      <w:bookmarkEnd w:id="15"/>
    </w:p>
    <w:p w14:paraId="1DE3C140">
      <w:pPr>
        <w:spacing w:before="320" w:after="120" w:line="288" w:lineRule="auto"/>
        <w:ind w:left="0"/>
        <w:jc w:val="left"/>
        <w:outlineLvl w:val="1"/>
        <w:rPr>
          <w:rFonts w:hint="eastAsia" w:ascii="宋体" w:hAnsi="宋体" w:eastAsia="宋体" w:cs="宋体"/>
          <w:sz w:val="28"/>
          <w:szCs w:val="28"/>
        </w:rPr>
      </w:pPr>
      <w:bookmarkStart w:id="16" w:name="heading_9"/>
      <w:bookmarkStart w:id="17" w:name="_Toc27579"/>
      <w:r>
        <w:rPr>
          <w:rFonts w:hint="eastAsia" w:ascii="宋体" w:hAnsi="宋体" w:eastAsia="宋体" w:cs="宋体"/>
          <w:b/>
          <w:sz w:val="28"/>
          <w:szCs w:val="28"/>
        </w:rPr>
        <w:t>（一）编制原则</w:t>
      </w:r>
      <w:bookmarkEnd w:id="16"/>
      <w:bookmarkEnd w:id="17"/>
    </w:p>
    <w:p w14:paraId="2152FC88">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合规性原则：严格遵循国家、行业现行生态环保、固废处置、矿产原料相关法律法规及标准规范，确保标准内容合法合规、贴合监管要求。</w:t>
      </w:r>
    </w:p>
    <w:p w14:paraId="7BE4B2BF">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科学性原则：基于二次铝灰物化特性、主流解毒工艺及产业化应用实践，结合试验检测数据，科学设定工艺参数、产品指标及管控要求，保证标准技术内容严谨、准确、可行。</w:t>
      </w:r>
    </w:p>
    <w:p w14:paraId="186EE566">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实用性原则：立足行业生产实际，兼顾大中小不同规模企业的技术水平与生产条件，工艺要求、指标限值贴合实操，适配氧化铝、高铝水泥、耐火材料等多场景应用需求，具备较强的落地性。</w:t>
      </w:r>
    </w:p>
    <w:p w14:paraId="7C853B62">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先进性原则：吸纳行业先进的湿法、火法及联合解毒技术，对标前沿固废资源化管控要求，建立分级产品质量体系，引领行业技术升级与绿色发展。</w:t>
      </w:r>
    </w:p>
    <w:p w14:paraId="11BF6A18">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系统性原则：覆盖二次铝灰接收、解毒处理、产品成型、检测监测、储运贮存、替代应用、环保安全全流程，形成闭环技术管控体系。</w:t>
      </w:r>
    </w:p>
    <w:p w14:paraId="79239DD4">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18" w:name="heading_10"/>
      <w:bookmarkStart w:id="19" w:name="_Toc5105"/>
      <w:r>
        <w:rPr>
          <w:rFonts w:hint="eastAsia" w:asciiTheme="minorEastAsia" w:hAnsiTheme="minorEastAsia" w:eastAsiaTheme="minorEastAsia" w:cstheme="minorEastAsia"/>
          <w:b/>
          <w:sz w:val="28"/>
          <w:szCs w:val="28"/>
        </w:rPr>
        <w:t>（二）编制依据</w:t>
      </w:r>
      <w:bookmarkEnd w:id="18"/>
      <w:bookmarkEnd w:id="19"/>
    </w:p>
    <w:p w14:paraId="00C64A5D">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政策依据：《中华人民共和国固体废物污染环境防治法》《国家危险废物名录（2025年版）》、生态环境部《关于铝灰利用处置有关问题的复函》（环办便函〔2021〕481号）、《固体废物再生利用污染防治技术导则》（HJ1091-2020）等国家及行业相关政策文件。</w:t>
      </w:r>
    </w:p>
    <w:p w14:paraId="0569E55F">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标准依据：严格依据GB/T 1.1—2020标准化编制规则起草，引用GB 5085.3、GB 5085.7、GB 18599、GB/T 3257、YS/T 575、HJ/T 299等现行国家、行业标准，确保检测方法、污染控制、产品判定等内容与现行标准体系衔接一致。</w:t>
      </w:r>
    </w:p>
    <w:p w14:paraId="59C6DEE8">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实践依据：结合国内二次铝灰资源化利用主流工艺、企业生产实操经验、下游应用场景技术要求及多地环保监管实践，确保标准贴合产业实际、适配行业发展需求。</w:t>
      </w:r>
    </w:p>
    <w:p w14:paraId="340E0435">
      <w:pPr>
        <w:spacing w:before="380" w:after="140" w:line="288" w:lineRule="auto"/>
        <w:ind w:left="0"/>
        <w:jc w:val="left"/>
        <w:outlineLvl w:val="0"/>
        <w:rPr>
          <w:rFonts w:hint="eastAsia" w:ascii="黑体" w:hAnsi="黑体" w:eastAsia="黑体" w:cs="黑体"/>
          <w:sz w:val="36"/>
          <w:szCs w:val="36"/>
        </w:rPr>
      </w:pPr>
      <w:bookmarkStart w:id="20" w:name="heading_11"/>
      <w:bookmarkStart w:id="21" w:name="_Toc23295"/>
      <w:r>
        <w:rPr>
          <w:rFonts w:hint="eastAsia" w:ascii="黑体" w:hAnsi="黑体" w:eastAsia="黑体" w:cs="黑体"/>
          <w:b/>
          <w:sz w:val="36"/>
          <w:szCs w:val="36"/>
        </w:rPr>
        <w:t>四、标准主要内容及技术说明</w:t>
      </w:r>
      <w:bookmarkEnd w:id="20"/>
      <w:bookmarkEnd w:id="21"/>
    </w:p>
    <w:p w14:paraId="0FBE6A4D">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本标准共设置10个核心章节及参考文献，全面覆盖二次铝灰解毒及资源化替代铝土矿全流程技术要求，核心内容及技术指标说明如下：</w:t>
      </w:r>
    </w:p>
    <w:p w14:paraId="53F9255D">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22" w:name="heading_12"/>
      <w:bookmarkStart w:id="23" w:name="_Toc31801"/>
      <w:r>
        <w:rPr>
          <w:rFonts w:hint="eastAsia" w:asciiTheme="minorEastAsia" w:hAnsiTheme="minorEastAsia" w:eastAsiaTheme="minorEastAsia" w:cstheme="minorEastAsia"/>
          <w:b/>
          <w:sz w:val="28"/>
          <w:szCs w:val="28"/>
        </w:rPr>
        <w:t>（一）适用范围</w:t>
      </w:r>
      <w:bookmarkEnd w:id="22"/>
      <w:bookmarkEnd w:id="23"/>
    </w:p>
    <w:p w14:paraId="68D0220F">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本标准适用于二次铝灰经无害化解毒后制备类铝土矿，并替代原生铝土矿用于氧化铝、高铝水泥、耐火材料、炼钢辅材、净水剂、铝盐等工业产品生产的全过程，界定了标准的应用场景与适用边界，规避标准滥用、错用问题。</w:t>
      </w:r>
    </w:p>
    <w:p w14:paraId="63358195">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24" w:name="heading_13"/>
      <w:bookmarkStart w:id="25" w:name="_Toc21774"/>
      <w:r>
        <w:rPr>
          <w:rFonts w:hint="eastAsia" w:asciiTheme="minorEastAsia" w:hAnsiTheme="minorEastAsia" w:eastAsiaTheme="minorEastAsia" w:cstheme="minorEastAsia"/>
          <w:b/>
          <w:sz w:val="28"/>
          <w:szCs w:val="28"/>
        </w:rPr>
        <w:t>（二）规范性引用文件</w:t>
      </w:r>
      <w:bookmarkEnd w:id="24"/>
      <w:bookmarkEnd w:id="25"/>
    </w:p>
    <w:p w14:paraId="54107152">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梳理整合固废鉴别、污染控制、铝土矿检测、大气废水排放、再生利用等相关国家、行业标准，确保标准中检测方法、限值判定、环保管控等内容均有权威依据，保障标准的规范性与严谨性。</w:t>
      </w:r>
    </w:p>
    <w:p w14:paraId="3CD293C2">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26" w:name="heading_14"/>
      <w:bookmarkStart w:id="27" w:name="_Toc30195"/>
      <w:r>
        <w:rPr>
          <w:rFonts w:hint="eastAsia" w:asciiTheme="minorEastAsia" w:hAnsiTheme="minorEastAsia" w:eastAsiaTheme="minorEastAsia" w:cstheme="minorEastAsia"/>
          <w:b/>
          <w:sz w:val="28"/>
          <w:szCs w:val="28"/>
        </w:rPr>
        <w:t>（三）术语和定义</w:t>
      </w:r>
      <w:bookmarkEnd w:id="26"/>
      <w:bookmarkEnd w:id="27"/>
    </w:p>
    <w:p w14:paraId="0703C3E8">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明确二次铝灰、解毒、高铝渣、类铝土矿4个核心术语的定义，精准界定各核心概念的内涵与特征，统一行业认知，避免概念混淆，为后续技术要求、指标判定提供基础依据。</w:t>
      </w:r>
    </w:p>
    <w:p w14:paraId="0F2B6C98">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28" w:name="heading_15"/>
      <w:bookmarkStart w:id="29" w:name="_Toc11844"/>
      <w:r>
        <w:rPr>
          <w:rFonts w:hint="eastAsia" w:asciiTheme="minorEastAsia" w:hAnsiTheme="minorEastAsia" w:eastAsiaTheme="minorEastAsia" w:cstheme="minorEastAsia"/>
          <w:b/>
          <w:sz w:val="28"/>
          <w:szCs w:val="28"/>
        </w:rPr>
        <w:t>（四）总体要求</w:t>
      </w:r>
      <w:bookmarkEnd w:id="28"/>
      <w:bookmarkEnd w:id="29"/>
    </w:p>
    <w:p w14:paraId="7C63AAB4">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立“安全、环保、高效、全过程风险管控”的核心原则，明确二次铝灰解毒、资源化利用需符合的环保规范、产品质量底线及应用前置要求。强调资源化利用需经过技术经济论证与环境风险评估，兼顾环保安全与产业可行性，从宏观层面规范全流程管控要求。</w:t>
      </w:r>
    </w:p>
    <w:p w14:paraId="2C58DB8D">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30" w:name="heading_16"/>
      <w:bookmarkStart w:id="31" w:name="_Toc7362"/>
      <w:r>
        <w:rPr>
          <w:rFonts w:hint="eastAsia" w:asciiTheme="minorEastAsia" w:hAnsiTheme="minorEastAsia" w:eastAsiaTheme="minorEastAsia" w:cstheme="minorEastAsia"/>
          <w:b/>
          <w:sz w:val="28"/>
          <w:szCs w:val="28"/>
        </w:rPr>
        <w:t>（五）处理解毒工艺技术要求</w:t>
      </w:r>
      <w:bookmarkEnd w:id="30"/>
      <w:bookmarkEnd w:id="31"/>
    </w:p>
    <w:p w14:paraId="236557EF">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行业主流技术，明确湿法、火法、联合法三类解毒工艺的适用场景与控制要求，核心聚焦三大管控重点：一是转化降解氮化铝、活性金属铝等反应性组分，杜绝有毒有害气体无组织排放；二是脱除氟、氯等可溶性盐类杂质，降低产品污染风险；三是规范废液、废气、二次废物的处置利用要求，确保全过程达标排放、合规处置。同时明确解毒后产品核心监控指标，保障解毒效果稳定可控。</w:t>
      </w:r>
    </w:p>
    <w:p w14:paraId="1FA54AA6">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32" w:name="heading_17"/>
      <w:bookmarkStart w:id="33" w:name="_Toc4516"/>
      <w:r>
        <w:rPr>
          <w:rFonts w:hint="eastAsia" w:asciiTheme="minorEastAsia" w:hAnsiTheme="minorEastAsia" w:eastAsiaTheme="minorEastAsia" w:cstheme="minorEastAsia"/>
          <w:b/>
          <w:sz w:val="28"/>
          <w:szCs w:val="28"/>
        </w:rPr>
        <w:t>（六）资源化产品（类铝土矿）质量基本要求</w:t>
      </w:r>
      <w:bookmarkEnd w:id="32"/>
      <w:bookmarkEnd w:id="33"/>
    </w:p>
    <w:p w14:paraId="22A354FE">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性建立三级产品质量分级体系，根据氧化铝含量、杂质含量等核心指标，将类铝土矿划分为一级、二级、三级，适配不同下游产品的生产需求。明确各等级产品氧化铝、二氧化硅、氧化铁、氮化铝、氟、氯、硫等关键组分的限值标准，统一可溶氟、浸出毒性、恶臭浓度等环保管控指标。同时针对不同应用场景的差异化要求，明确企业可参照相关专项标准执行，兼顾标准统一性与场景灵活性。</w:t>
      </w:r>
    </w:p>
    <w:p w14:paraId="0CF0496C">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34" w:name="heading_18"/>
      <w:bookmarkStart w:id="35" w:name="_Toc7648"/>
      <w:r>
        <w:rPr>
          <w:rFonts w:hint="eastAsia" w:asciiTheme="minorEastAsia" w:hAnsiTheme="minorEastAsia" w:eastAsiaTheme="minorEastAsia" w:cstheme="minorEastAsia"/>
          <w:b/>
          <w:sz w:val="28"/>
          <w:szCs w:val="28"/>
        </w:rPr>
        <w:t>（七）替代应用技术规范</w:t>
      </w:r>
      <w:bookmarkEnd w:id="34"/>
      <w:bookmarkEnd w:id="35"/>
    </w:p>
    <w:p w14:paraId="69984B70">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氧化铝、高铝水泥、耐火材料、净水剂等不同下游应用场景，制定差异化应用规范。要求企业开展适配性与环境风险评估，合理选用产品等级、确定掺配比例；重点管控氧化铝生产过程中惰性杂质、盐类组分对生产工序及赤泥处置的影响，同时规范其他场景下杂质元素的环境风险管控要求，保障下游产品质量与生产安全。</w:t>
      </w:r>
    </w:p>
    <w:p w14:paraId="69009F59">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36" w:name="heading_19"/>
      <w:bookmarkStart w:id="37" w:name="_Toc29880"/>
      <w:r>
        <w:rPr>
          <w:rFonts w:hint="eastAsia" w:asciiTheme="minorEastAsia" w:hAnsiTheme="minorEastAsia" w:eastAsiaTheme="minorEastAsia" w:cstheme="minorEastAsia"/>
          <w:b/>
          <w:sz w:val="28"/>
          <w:szCs w:val="28"/>
        </w:rPr>
        <w:t>（八）检测与监测</w:t>
      </w:r>
      <w:bookmarkEnd w:id="36"/>
      <w:bookmarkEnd w:id="37"/>
    </w:p>
    <w:p w14:paraId="0085DC96">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类铝土矿产品采样规范、核心指标检测方法，明确氮化铝、氯、氟、浸出毒性等关键指标的专属检测标准。建立常态化监测制度，要求企业针对生产过程、产品质量、周边环境开展定期监测，实现生产全过程、产品全周期质量与环境风险管控。</w:t>
      </w:r>
    </w:p>
    <w:p w14:paraId="493F3402">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38" w:name="heading_20"/>
      <w:bookmarkStart w:id="39" w:name="_Toc2298"/>
      <w:r>
        <w:rPr>
          <w:rFonts w:hint="eastAsia" w:asciiTheme="minorEastAsia" w:hAnsiTheme="minorEastAsia" w:eastAsiaTheme="minorEastAsia" w:cstheme="minorEastAsia"/>
          <w:b/>
          <w:sz w:val="28"/>
          <w:szCs w:val="28"/>
        </w:rPr>
        <w:t>（九）包装、运输与贮存</w:t>
      </w:r>
      <w:bookmarkEnd w:id="38"/>
      <w:bookmarkEnd w:id="39"/>
    </w:p>
    <w:p w14:paraId="19A6FEDD">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类铝土矿物理特性与固废管控要求，明确包装、运输、贮存全流程规范，要求采用合规包装方式，运输过程做好密闭、防尘、防雨措施，贮存严格执行一般工业固废管控标准，实行分类贮存、台账管理，杜绝扬尘、遗撒、二次污染问题。</w:t>
      </w:r>
    </w:p>
    <w:p w14:paraId="133B0DFA">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40" w:name="heading_21"/>
      <w:bookmarkStart w:id="41" w:name="_Toc8065"/>
      <w:r>
        <w:rPr>
          <w:rFonts w:hint="eastAsia" w:asciiTheme="minorEastAsia" w:hAnsiTheme="minorEastAsia" w:eastAsiaTheme="minorEastAsia" w:cstheme="minorEastAsia"/>
          <w:b/>
          <w:sz w:val="28"/>
          <w:szCs w:val="28"/>
        </w:rPr>
        <w:t>（十）环境保护与安全要求</w:t>
      </w:r>
      <w:bookmarkEnd w:id="40"/>
      <w:bookmarkEnd w:id="41"/>
    </w:p>
    <w:p w14:paraId="4161A4D6">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生产全过程废气、废水、噪声污染物达标排放要求，强制配置在线监测设备，实现实时监控。同时建立安全生产管理制度与应急预案，规范作业防护、人员培训、应急处置等安全管理要求，兼顾环保管控与生产安全。</w:t>
      </w:r>
    </w:p>
    <w:p w14:paraId="03E378A6">
      <w:pPr>
        <w:spacing w:before="380" w:after="140" w:line="288" w:lineRule="auto"/>
        <w:ind w:left="0"/>
        <w:jc w:val="left"/>
        <w:outlineLvl w:val="0"/>
        <w:rPr>
          <w:rFonts w:hint="eastAsia" w:ascii="黑体" w:hAnsi="黑体" w:eastAsia="黑体" w:cs="黑体"/>
          <w:sz w:val="36"/>
          <w:szCs w:val="36"/>
        </w:rPr>
      </w:pPr>
      <w:bookmarkStart w:id="42" w:name="heading_22"/>
      <w:bookmarkStart w:id="43" w:name="_Toc18678"/>
      <w:r>
        <w:rPr>
          <w:rFonts w:hint="eastAsia" w:ascii="黑体" w:hAnsi="黑体" w:eastAsia="黑体" w:cs="黑体"/>
          <w:b/>
          <w:sz w:val="36"/>
          <w:szCs w:val="36"/>
        </w:rPr>
        <w:t>五、与现行标准、政策的协调性说明</w:t>
      </w:r>
      <w:bookmarkEnd w:id="42"/>
      <w:bookmarkEnd w:id="43"/>
    </w:p>
    <w:p w14:paraId="7846F6BB">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本标准严格衔接国家现行固废污染防治、危险废物鉴别、铝土矿质量、再生利用环保管控相关标准及政策，无冲突、无矛盾。</w:t>
      </w:r>
    </w:p>
    <w:p w14:paraId="3240911C">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在环保管控层面，全面落实HJ1091-2020、环办便函〔2021〕481号等专项要求，固化二次铝灰资源化利用的环保底线；在产品质量层面，对标GB/T 3257、YS/T 575等铝土矿检测与质量标准，保证类铝土矿产品性能可对标原生铝土矿；在污染控制层面，严格遵循GB 5085.3、GB 18599等固废管控标准，确保资源化利用全过程合规。同时补充现有标准未覆盖的解毒工艺、替代应用规范等空白内容，与现行标准体系形成有效互补。</w:t>
      </w:r>
    </w:p>
    <w:p w14:paraId="4268198C">
      <w:pPr>
        <w:spacing w:before="380" w:after="140" w:line="288" w:lineRule="auto"/>
        <w:ind w:left="0"/>
        <w:jc w:val="left"/>
        <w:outlineLvl w:val="0"/>
        <w:rPr>
          <w:rFonts w:hint="eastAsia" w:ascii="黑体" w:hAnsi="黑体" w:eastAsia="黑体" w:cs="黑体"/>
          <w:sz w:val="36"/>
          <w:szCs w:val="36"/>
        </w:rPr>
      </w:pPr>
      <w:bookmarkStart w:id="44" w:name="heading_23"/>
      <w:bookmarkStart w:id="45" w:name="_Toc4268"/>
      <w:r>
        <w:rPr>
          <w:rFonts w:hint="eastAsia" w:ascii="黑体" w:hAnsi="黑体" w:eastAsia="黑体" w:cs="黑体"/>
          <w:b/>
          <w:sz w:val="36"/>
          <w:szCs w:val="36"/>
        </w:rPr>
        <w:t>六、试验验证及技术论证情况</w:t>
      </w:r>
      <w:bookmarkEnd w:id="44"/>
      <w:bookmarkEnd w:id="45"/>
    </w:p>
    <w:p w14:paraId="683566D8">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各项技术指标均基于行业大量生产实践与试验数据确定。起草工作组汇总国内多家二次铝灰资源化企业的生产数据、产品检测报告及下游应用反馈，对解毒工艺参数、产品分级指标、杂质限值、浸出毒性标准等核心内容进行反复验证。</w:t>
      </w:r>
    </w:p>
    <w:p w14:paraId="040A9FEA">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试验论证，本标准设定的三级产品指标梯度合理，可适配不同工艺、不同品质的二次铝灰资源化产出需求；解毒工艺要求可彻底消除二次铝灰反应性与毒性；环保管控指标可有效规避二次污染风险；替代应用规范可保障下游各类产品生产质量稳定，技术参数科学、可行，符合产业化落地要求。</w:t>
      </w:r>
    </w:p>
    <w:p w14:paraId="1B40BAE2">
      <w:pPr>
        <w:spacing w:before="380" w:after="140" w:line="288" w:lineRule="auto"/>
        <w:ind w:left="0"/>
        <w:jc w:val="left"/>
        <w:outlineLvl w:val="0"/>
        <w:rPr>
          <w:rFonts w:hint="eastAsia" w:ascii="黑体" w:hAnsi="黑体" w:eastAsia="黑体" w:cs="黑体"/>
          <w:sz w:val="36"/>
          <w:szCs w:val="36"/>
        </w:rPr>
      </w:pPr>
      <w:bookmarkStart w:id="46" w:name="heading_24"/>
      <w:bookmarkStart w:id="47" w:name="_Toc3003"/>
      <w:r>
        <w:rPr>
          <w:rFonts w:hint="eastAsia" w:ascii="黑体" w:hAnsi="黑体" w:eastAsia="黑体" w:cs="黑体"/>
          <w:b/>
          <w:sz w:val="36"/>
          <w:szCs w:val="36"/>
        </w:rPr>
        <w:t>七、经济、社会及生态效益分析</w:t>
      </w:r>
      <w:bookmarkEnd w:id="46"/>
      <w:bookmarkEnd w:id="47"/>
    </w:p>
    <w:p w14:paraId="21BA7B12">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48" w:name="heading_25"/>
      <w:bookmarkStart w:id="49" w:name="_Toc2218"/>
      <w:r>
        <w:rPr>
          <w:rFonts w:hint="eastAsia" w:asciiTheme="minorEastAsia" w:hAnsiTheme="minorEastAsia" w:eastAsiaTheme="minorEastAsia" w:cstheme="minorEastAsia"/>
          <w:b/>
          <w:sz w:val="28"/>
          <w:szCs w:val="28"/>
        </w:rPr>
        <w:t>（一）生态效益</w:t>
      </w:r>
      <w:bookmarkEnd w:id="48"/>
      <w:bookmarkEnd w:id="49"/>
    </w:p>
    <w:p w14:paraId="631E6FDF">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实施后，可规范二次铝灰无害化、资源化处置，大幅减少固废填埋堆存量，节约土地资源；彻底消除二次铝灰中氟、氯、活性组分的环境隐患，有效防范土壤、水体、大气二次污染；以固废替代原生铝土矿，可减少矿产资源开采，降低矿山生态破坏，助力工业固废循环利用与生态环境保护。</w:t>
      </w:r>
    </w:p>
    <w:p w14:paraId="2B5F397A">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50" w:name="heading_26"/>
      <w:bookmarkStart w:id="51" w:name="_Toc22906"/>
      <w:r>
        <w:rPr>
          <w:rFonts w:hint="eastAsia" w:asciiTheme="minorEastAsia" w:hAnsiTheme="minorEastAsia" w:eastAsiaTheme="minorEastAsia" w:cstheme="minorEastAsia"/>
          <w:b/>
          <w:sz w:val="28"/>
          <w:szCs w:val="28"/>
        </w:rPr>
        <w:t>（二）经济效益</w:t>
      </w:r>
      <w:bookmarkEnd w:id="50"/>
      <w:bookmarkEnd w:id="51"/>
    </w:p>
    <w:p w14:paraId="216A00B9">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落地可推动二次铝灰规模化资源化利用，将废弃铝灰转化为高附加值类铝土矿原料，大幅降低下游氧化铝、耐火材料等企业的原料采购成本；同时减少企业固废处置费用，提升铝产业整体资源利用率与产业链附加值，为企业降本增效提供技术支撑，推动循环经济产业化发展。</w:t>
      </w:r>
    </w:p>
    <w:p w14:paraId="3C7E3294">
      <w:pPr>
        <w:spacing w:before="320" w:after="120" w:line="288" w:lineRule="auto"/>
        <w:ind w:left="0"/>
        <w:jc w:val="left"/>
        <w:outlineLvl w:val="1"/>
        <w:rPr>
          <w:rFonts w:hint="eastAsia" w:asciiTheme="minorEastAsia" w:hAnsiTheme="minorEastAsia" w:eastAsiaTheme="minorEastAsia" w:cstheme="minorEastAsia"/>
          <w:sz w:val="28"/>
          <w:szCs w:val="28"/>
        </w:rPr>
      </w:pPr>
      <w:bookmarkStart w:id="52" w:name="heading_27"/>
      <w:bookmarkStart w:id="53" w:name="_Toc6754"/>
      <w:r>
        <w:rPr>
          <w:rFonts w:hint="eastAsia" w:asciiTheme="minorEastAsia" w:hAnsiTheme="minorEastAsia" w:eastAsiaTheme="minorEastAsia" w:cstheme="minorEastAsia"/>
          <w:b/>
          <w:sz w:val="28"/>
          <w:szCs w:val="28"/>
        </w:rPr>
        <w:t>（三）社会效益</w:t>
      </w:r>
      <w:bookmarkEnd w:id="52"/>
      <w:bookmarkEnd w:id="53"/>
    </w:p>
    <w:p w14:paraId="74F01158">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标准化规范行业发展，整治行业乱象，提升二次铝灰资源化利用行业整体技术水平与合规化程度；推动铝产业绿色低碳转型，助力“双碳”目标与生态文明建设；创造固废资源化相关就业岗位，带动循环经济产业链完善，实现产业发展与生态保护协同共进。</w:t>
      </w:r>
    </w:p>
    <w:p w14:paraId="30BFA15A">
      <w:pPr>
        <w:spacing w:before="380" w:after="140" w:line="288" w:lineRule="auto"/>
        <w:ind w:left="0"/>
        <w:jc w:val="left"/>
        <w:outlineLvl w:val="0"/>
        <w:rPr>
          <w:rFonts w:hint="eastAsia" w:ascii="黑体" w:hAnsi="黑体" w:eastAsia="黑体" w:cs="黑体"/>
        </w:rPr>
      </w:pPr>
      <w:bookmarkStart w:id="54" w:name="heading_29"/>
      <w:bookmarkStart w:id="55" w:name="_Toc24333"/>
      <w:r>
        <w:rPr>
          <w:rFonts w:hint="eastAsia" w:ascii="黑体" w:hAnsi="黑体" w:eastAsia="黑体" w:cs="黑体"/>
          <w:b/>
          <w:sz w:val="36"/>
          <w:lang w:eastAsia="zh-CN"/>
        </w:rPr>
        <w:t>八</w:t>
      </w:r>
      <w:r>
        <w:rPr>
          <w:rFonts w:hint="eastAsia" w:ascii="黑体" w:hAnsi="黑体" w:eastAsia="黑体" w:cs="黑体"/>
          <w:b/>
          <w:sz w:val="36"/>
        </w:rPr>
        <w:t>、实施建议</w:t>
      </w:r>
      <w:bookmarkEnd w:id="54"/>
      <w:bookmarkEnd w:id="55"/>
    </w:p>
    <w:p w14:paraId="57198E1F">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宣传推广：标准发布后，通过行业会议、技术培训、平台宣讲等多种方式，面向铝产业生产企业、固废处置单位、环保监管部门开展标准宣贯，提升行业认知度与执行力。</w:t>
      </w:r>
    </w:p>
    <w:p w14:paraId="7393D452">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分步实施：鼓励行业龙头企业率先落地应用，形成示范标杆；逐步推动中小生产企业完成工艺改造、质量升级，实现全行业标准化合规运营。</w:t>
      </w:r>
    </w:p>
    <w:p w14:paraId="0EC068B6">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动态完善：标准实施后，持续跟踪行业技术发展、产业化应用效果及政策更新情况，结合行业反馈适时开展标准修订完善，保持标准的先进性、适用性与时效性。</w:t>
      </w:r>
    </w:p>
    <w:p w14:paraId="38352DB1">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配套支撑：鼓励相关检测机构、科研单位依托本标准开展技术服务、检测认证、技术升级指导，助力行业规范化、高质量发展。</w:t>
      </w:r>
    </w:p>
    <w:p w14:paraId="1152D60D">
      <w:pPr>
        <w:spacing w:before="380" w:after="140" w:line="288" w:lineRule="auto"/>
        <w:ind w:left="0"/>
        <w:jc w:val="left"/>
        <w:outlineLvl w:val="0"/>
        <w:rPr>
          <w:rFonts w:hint="eastAsia" w:ascii="黑体" w:hAnsi="黑体" w:eastAsia="黑体" w:cs="黑体"/>
          <w:sz w:val="36"/>
          <w:szCs w:val="36"/>
        </w:rPr>
      </w:pPr>
      <w:bookmarkStart w:id="56" w:name="heading_30"/>
      <w:bookmarkStart w:id="57" w:name="_Toc22164"/>
      <w:r>
        <w:rPr>
          <w:rFonts w:hint="eastAsia" w:ascii="黑体" w:hAnsi="黑体" w:eastAsia="黑体" w:cs="黑体"/>
          <w:b/>
          <w:sz w:val="36"/>
          <w:szCs w:val="36"/>
          <w:lang w:eastAsia="zh-CN"/>
        </w:rPr>
        <w:t>九</w:t>
      </w:r>
      <w:r>
        <w:rPr>
          <w:rFonts w:hint="eastAsia" w:ascii="黑体" w:hAnsi="黑体" w:eastAsia="黑体" w:cs="黑体"/>
          <w:b/>
          <w:sz w:val="36"/>
          <w:szCs w:val="36"/>
        </w:rPr>
        <w:t>、其他需要说明的事项</w:t>
      </w:r>
      <w:bookmarkEnd w:id="56"/>
      <w:bookmarkEnd w:id="57"/>
    </w:p>
    <w:p w14:paraId="43404DFA">
      <w:pPr>
        <w:spacing w:before="120" w:after="120" w:line="288" w:lineRule="auto"/>
        <w:ind w:left="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准为首次制定，无对应替代标准、无修订对比内容。标准编制过程严格遵循标准化工作流程，广泛结合行业实操与科研成果，内容完整、逻辑严谨、贴合行业需求。本次为征求意见稿，后续将结合社会各界反馈意见，进一步修改完善后形成送审稿，按程序报批发布。</w:t>
      </w:r>
    </w:p>
    <w:p w14:paraId="7CDB3AA6">
      <w:pPr>
        <w:spacing w:before="120" w:after="120" w:line="288" w:lineRule="auto"/>
        <w:ind w:left="0"/>
        <w:jc w:val="left"/>
      </w:pPr>
    </w:p>
    <w:sectPr>
      <w:footerReference r:id="rId3"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0735">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1A0ABD0">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41A0ABD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358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toc 1"/>
    <w:basedOn w:val="1"/>
    <w:next w:val="1"/>
    <w:uiPriority w:val="0"/>
  </w:style>
  <w:style w:type="paragraph" w:styleId="4">
    <w:name w:val="toc 2"/>
    <w:basedOn w:val="1"/>
    <w:next w:val="1"/>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5349</Words>
  <Characters>5497</Characters>
  <TotalTime>7</TotalTime>
  <ScaleCrop>false</ScaleCrop>
  <LinksUpToDate>false</LinksUpToDate>
  <CharactersWithSpaces>5532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2026-06-03T02:03:00Z</dcterms:created>
  <dc:creator>Apache POI</dc:creator>
  <cp:lastModifiedBy>冯斌</cp:lastModifiedBy>
  <dcterms:modified xsi:type="dcterms:W3CDTF">2026-06-03T02:28:34Z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{"Label":"1","ContentProducer":"001191110102MACQD9K64010000","ProduceID":"7646984084367002835","ReservedCode1":"","ContentPropagator":"","PropagateID":"","ReservedCode2":""}</vt:lpwstr>
  </property>
  <property fmtid="{D5CDD505-2E9C-101B-9397-08002B2CF9AE}" pid="3" name="KSOTemplateDocerSaveRecord">
    <vt:lpwstr>eyJoZGlkIjoiZDFjNTVmODJlYmExZjI2MGNiMGQ2NDU0YzA0NWE2ODIiLCJ1c2VySWQiOiI1MjQ2ODI3NzYifQ==</vt:lpwstr>
  </property>
  <property fmtid="{D5CDD505-2E9C-101B-9397-08002B2CF9AE}" pid="4" name="KSOProductBuildVer">
    <vt:lpwstr>2052-12.1.0.26375</vt:lpwstr>
  </property>
  <property fmtid="{D5CDD505-2E9C-101B-9397-08002B2CF9AE}" pid="5" name="ICV">
    <vt:lpwstr>5BCAE317081F4EEFA2547EEF0214B5AC_13</vt:lpwstr>
  </property>
</Properties>
</file>