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959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9AAA9E">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14:paraId="7B90494F">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highlight w:val="none"/>
              </w:rPr>
            </w:pPr>
            <w:r>
              <w:rPr>
                <w:rFonts w:ascii="黑体" w:hAnsi="黑体" w:eastAsia="黑体"/>
                <w:sz w:val="21"/>
                <w:szCs w:val="21"/>
                <w:highlight w:val="none"/>
              </w:rPr>
              <w:fldChar w:fldCharType="begin"/>
            </w:r>
            <w:bookmarkStart w:id="0" w:name="ICS"/>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ascii="黑体" w:hAnsi="黑体" w:eastAsia="黑体"/>
                <w:sz w:val="21"/>
                <w:szCs w:val="21"/>
                <w:highlight w:val="none"/>
              </w:rPr>
              <w:t>点击此处添加ICS号</w:t>
            </w:r>
            <w:r>
              <w:rPr>
                <w:rFonts w:ascii="黑体" w:hAnsi="黑体" w:eastAsia="黑体"/>
                <w:sz w:val="21"/>
                <w:szCs w:val="21"/>
                <w:highlight w:val="none"/>
              </w:rPr>
              <w:fldChar w:fldCharType="end"/>
            </w:r>
            <w:bookmarkEnd w:id="0"/>
          </w:p>
        </w:tc>
      </w:tr>
      <w:tr w14:paraId="019E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3F980BC">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p w14:paraId="35CC81DE">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黑体" w:hAnsi="黑体" w:eastAsia="黑体"/>
                <w:sz w:val="21"/>
                <w:szCs w:val="21"/>
                <w:highlight w:val="none"/>
              </w:rPr>
              <w:fldChar w:fldCharType="begin"/>
            </w:r>
            <w:bookmarkStart w:id="1" w:name="CSDN"/>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ascii="黑体" w:hAnsi="黑体" w:eastAsia="黑体"/>
                <w:sz w:val="21"/>
                <w:szCs w:val="21"/>
                <w:highlight w:val="none"/>
              </w:rPr>
              <w:t>点击此处添加CCS号</w:t>
            </w:r>
            <w:r>
              <w:rPr>
                <w:rFonts w:ascii="黑体" w:hAnsi="黑体" w:eastAsia="黑体"/>
                <w:sz w:val="21"/>
                <w:szCs w:val="21"/>
                <w:highlight w:val="none"/>
              </w:rPr>
              <w:fldChar w:fldCharType="end"/>
            </w:r>
            <w:bookmarkEnd w:id="1"/>
          </w:p>
        </w:tc>
      </w:tr>
    </w:tbl>
    <w:p w14:paraId="47E12196">
      <w:pPr>
        <w:rPr>
          <w:highlight w:val="none"/>
        </w:rPr>
      </w:pPr>
    </w:p>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14:paraId="7A55FD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14:paraId="22D256BB">
            <w:pPr>
              <w:pStyle w:val="52"/>
              <w:framePr w:w="0" w:hRule="auto" w:wrap="auto" w:vAnchor="margin" w:hAnchor="text" w:xAlign="left" w:yAlign="inline"/>
              <w:rPr>
                <w:rFonts w:hint="eastAsia" w:ascii="宋体" w:hAnsi="宋体"/>
                <w:sz w:val="28"/>
                <w:szCs w:val="28"/>
                <w:highlight w:val="none"/>
              </w:rPr>
            </w:pPr>
            <w:bookmarkStart w:id="2" w:name="_Hlk26473981"/>
            <w:r>
              <w:rPr>
                <w:sz w:val="21"/>
                <w:szCs w:val="21"/>
                <w:highlight w:val="none"/>
              </w:rPr>
              <w:t xml:space="preserve"> </w:t>
            </w:r>
          </w:p>
        </w:tc>
      </w:tr>
    </w:tbl>
    <w:p w14:paraId="4FF2BDF4">
      <w:pPr>
        <w:pStyle w:val="53"/>
        <w:framePr w:w="9639" w:h="1276" w:hRule="exact" w:hSpace="181" w:vSpace="181" w:wrap="around" w:hAnchor="page" w:x="1306" w:y="1553"/>
        <w:rPr>
          <w:rFonts w:hint="eastAsia" w:ascii="黑体" w:hAnsi="黑体" w:eastAsia="黑体"/>
          <w:b w:val="0"/>
          <w:bCs w:val="0"/>
          <w:w w:val="100"/>
          <w:sz w:val="96"/>
          <w:szCs w:val="96"/>
          <w:highlight w:val="none"/>
        </w:rPr>
      </w:pPr>
      <w:r>
        <w:rPr>
          <w:rFonts w:hint="eastAsia" w:ascii="黑体" w:eastAsia="黑体"/>
          <w:b w:val="0"/>
          <w:w w:val="100"/>
          <w:sz w:val="96"/>
          <w:szCs w:val="96"/>
          <w:highlight w:val="none"/>
        </w:rPr>
        <w:t>团体标准</w:t>
      </w:r>
    </w:p>
    <w:bookmarkEnd w:id="2"/>
    <w:p w14:paraId="2E6E1248">
      <w:pPr>
        <w:pStyle w:val="198"/>
        <w:framePr w:wrap="around"/>
        <w:rPr>
          <w:rFonts w:hint="eastAsia" w:eastAsia="黑体"/>
          <w:highlight w:val="none"/>
          <w:lang w:eastAsia="zh-CN"/>
        </w:rPr>
      </w:pPr>
      <w:r>
        <w:rPr>
          <w:highlight w:val="none"/>
        </w:rPr>
        <w:t>T</w:t>
      </w:r>
      <w:r>
        <w:rPr>
          <w:rFonts w:hint="eastAsia"/>
          <w:highlight w:val="none"/>
        </w:rPr>
        <w:t>/</w:t>
      </w:r>
      <w:r>
        <w:rPr>
          <w:highlight w:val="none"/>
        </w:rPr>
        <w:t xml:space="preserve">ACEF </w:t>
      </w:r>
      <w:r>
        <w:rPr>
          <w:rFonts w:hint="eastAsia"/>
          <w:highlight w:val="none"/>
        </w:rPr>
        <w:t>×××-</w:t>
      </w:r>
      <w:r>
        <w:rPr>
          <w:highlight w:val="none"/>
        </w:rPr>
        <w:t>202</w:t>
      </w:r>
      <w:r>
        <w:rPr>
          <w:rFonts w:hint="eastAsia"/>
          <w:highlight w:val="none"/>
          <w:lang w:val="en-US" w:eastAsia="zh-CN"/>
        </w:rPr>
        <w:t>6</w:t>
      </w:r>
    </w:p>
    <w:p w14:paraId="4FC0296D">
      <w:pPr>
        <w:pStyle w:val="199"/>
        <w:framePr w:wrap="around"/>
        <w:rPr>
          <w:rFonts w:hint="eastAsia" w:hAnsi="黑体"/>
          <w:highlight w:val="none"/>
        </w:rPr>
      </w:pPr>
      <w:r>
        <w:rPr>
          <w:rFonts w:hAnsi="黑体"/>
          <w:highlight w:val="none"/>
        </w:rPr>
        <w:fldChar w:fldCharType="begin"/>
      </w:r>
      <w:bookmarkStart w:id="3" w:name="OSTD_CODE"/>
      <w:r>
        <w:rPr>
          <w:rFonts w:hAnsi="黑体"/>
          <w:highlight w:val="none"/>
        </w:rPr>
        <w:instrText xml:space="preserve"> FORMTEXT </w:instrText>
      </w:r>
      <w:r>
        <w:rPr>
          <w:rFonts w:hAnsi="黑体"/>
          <w:highlight w:val="none"/>
        </w:rPr>
        <w:fldChar w:fldCharType="separate"/>
      </w:r>
      <w:r>
        <w:rPr>
          <w:rFonts w:hAnsi="黑体"/>
          <w:highlight w:val="none"/>
        </w:rPr>
        <w:t>     </w:t>
      </w:r>
      <w:r>
        <w:rPr>
          <w:rFonts w:hAnsi="黑体"/>
          <w:highlight w:val="none"/>
        </w:rPr>
        <w:fldChar w:fldCharType="end"/>
      </w:r>
      <w:bookmarkEnd w:id="3"/>
    </w:p>
    <w:p w14:paraId="1A020933">
      <w:pPr>
        <w:spacing w:line="240" w:lineRule="auto"/>
        <w:rPr>
          <w:rFonts w:hint="eastAsia"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0" distR="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1026" name="直接连接符 7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round/>
                        </a:ln>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oWz799MBAACSAwAADgAAAGRycy9lMm9Eb2MueG1srVNL&#10;jhMxEN0jcQfLe9KdjCZAK51ZTDRsEEQCDuC47bQl/1TlpJNLcAEkdrBiyZ7bMByDsjuTgWEzC3rh&#10;Ltfnld9zeXF1cJbtFaAJvuXTSc2Z8jJ0xm9b/uH9zbMXnGESvhM2eNXyo0J+tXz6ZDHERs1CH2yn&#10;gBGIx2aILe9Tik1VoeyVEzgJUXkK6gBOJNrCtupADITubDWr63k1BOgiBKkQybsag/yECI8BDFob&#10;qVZB7pzyaUQFZUUiStibiHxZTqu1kumt1qgSsy0npqms1ITsTV6r5UI0WxCxN/J0BPGYIzzg5ITx&#10;1PQMtRJJsB2Yf6CckRAw6DSRwVUjkaIIsZjWD7R514uoCheSGuNZdPx/sPLNfg3MdDQJ9WzOmReO&#10;7vz20/efH7/8+vGZ1ttvX9nziyzUELGh/Gu/htMO4xoy64MGl//Ehx2KuMezuOqQmCTnfEoML0h3&#10;eRer7gsjYHqlgmPZaLk1PvMWjdi/xkTNKPUuJbutZ0PLX17OLglO0BBqunwyXSQi6LelFoM13Y2x&#10;NlcgbDfXFthe5EEoX6ZEuH+l5SYrgf2YV0LjiEDY+W4ssJ7qshYj+2xtQncsohQ/XVVBPo1VnoU/&#10;96X6/ik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ng0mW2AAAAAwBAAAPAAAAAAAAAAEAIAAA&#10;ACIAAABkcnMvZG93bnJldi54bWxQSwECFAAUAAAACACHTuJAoWz799MBAACSAwAADgAAAAAAAAAB&#10;ACAAAAAnAQAAZHJzL2Uyb0RvYy54bWxQSwUGAAAAAAYABgBZAQAAbAUAAAAA&#10;">
                <v:fill on="f" focussize="0,0"/>
                <v:stroke color="#000000" joinstyle="round"/>
                <v:imagedata o:title=""/>
                <o:lock v:ext="edit" aspectratio="f"/>
              </v:line>
            </w:pict>
          </mc:Fallback>
        </mc:AlternateContent>
      </w:r>
    </w:p>
    <w:p w14:paraId="5B27B1C2">
      <w:pPr>
        <w:pStyle w:val="53"/>
        <w:framePr w:w="9639" w:h="6976" w:hRule="exact" w:hSpace="0" w:vSpace="0" w:wrap="around" w:hAnchor="page" w:y="6408"/>
        <w:jc w:val="center"/>
        <w:rPr>
          <w:rFonts w:hint="eastAsia" w:ascii="黑体" w:hAnsi="黑体" w:eastAsia="黑体"/>
          <w:b w:val="0"/>
          <w:bCs w:val="0"/>
          <w:w w:val="100"/>
          <w:highlight w:val="none"/>
        </w:rPr>
      </w:pPr>
    </w:p>
    <w:p w14:paraId="1CDB3D37">
      <w:pPr>
        <w:pStyle w:val="200"/>
        <w:framePr w:h="6974" w:hRule="exact" w:wrap="around" w:x="1419" w:anchorLock="1"/>
        <w:rPr>
          <w:rFonts w:hint="eastAsia"/>
          <w:highlight w:val="none"/>
        </w:rPr>
      </w:pPr>
      <w:r>
        <w:rPr>
          <w:highlight w:val="none"/>
        </w:rPr>
        <w:fldChar w:fldCharType="begin"/>
      </w:r>
      <w:bookmarkStart w:id="4" w:name="CSTD_NAME"/>
      <w:r>
        <w:rPr>
          <w:highlight w:val="none"/>
        </w:rPr>
        <w:instrText xml:space="preserve"> FORMTEXT </w:instrText>
      </w:r>
      <w:r>
        <w:rPr>
          <w:highlight w:val="none"/>
        </w:rPr>
        <w:fldChar w:fldCharType="separate"/>
      </w:r>
      <w:r>
        <w:rPr>
          <w:rFonts w:hint="eastAsia"/>
          <w:highlight w:val="none"/>
        </w:rPr>
        <w:t>无异味工厂创建</w:t>
      </w:r>
      <w:r>
        <w:rPr>
          <w:highlight w:val="none"/>
        </w:rPr>
        <w:t>技术指南</w:t>
      </w:r>
      <w:r>
        <w:rPr>
          <w:highlight w:val="none"/>
        </w:rPr>
        <w:fldChar w:fldCharType="end"/>
      </w:r>
      <w:bookmarkEnd w:id="4"/>
    </w:p>
    <w:p w14:paraId="21C82360">
      <w:pPr>
        <w:framePr w:w="9639" w:h="6974" w:hRule="exact" w:wrap="around" w:vAnchor="page" w:hAnchor="page" w:x="1419" w:y="6408" w:anchorLock="1"/>
        <w:ind w:left="-1418"/>
        <w:jc w:val="center"/>
        <w:rPr>
          <w:highlight w:val="none"/>
        </w:rPr>
      </w:pPr>
    </w:p>
    <w:p w14:paraId="1601DCCA">
      <w:pPr>
        <w:pStyle w:val="128"/>
        <w:framePr w:w="9639" w:h="6974" w:hRule="exact" w:wrap="around" w:vAnchor="page" w:hAnchor="page" w:x="1419" w:y="6408" w:anchorLock="1"/>
        <w:textAlignment w:val="bottom"/>
        <w:rPr>
          <w:rFonts w:hint="eastAsia" w:eastAsia="黑体"/>
          <w:szCs w:val="28"/>
          <w:highlight w:val="none"/>
          <w:lang w:eastAsia="zh-CN"/>
        </w:rPr>
      </w:pPr>
      <w:r>
        <w:rPr>
          <w:rFonts w:eastAsia="黑体"/>
          <w:szCs w:val="28"/>
          <w:highlight w:val="none"/>
        </w:rPr>
        <w:fldChar w:fldCharType="begin"/>
      </w:r>
      <w:bookmarkStart w:id="5" w:name="ESTD_NAME"/>
      <w:r>
        <w:rPr>
          <w:rFonts w:eastAsia="黑体"/>
          <w:szCs w:val="28"/>
          <w:highlight w:val="none"/>
        </w:rPr>
        <w:instrText xml:space="preserve"> FORMTEXT </w:instrText>
      </w:r>
      <w:r>
        <w:rPr>
          <w:rFonts w:eastAsia="黑体"/>
          <w:szCs w:val="28"/>
          <w:highlight w:val="none"/>
        </w:rPr>
        <w:fldChar w:fldCharType="separate"/>
      </w:r>
      <w:r>
        <w:rPr>
          <w:rFonts w:eastAsia="黑体"/>
          <w:szCs w:val="28"/>
          <w:highlight w:val="none"/>
        </w:rPr>
        <w:t xml:space="preserve">Technical guidelines for </w:t>
      </w:r>
      <w:r>
        <w:rPr>
          <w:rFonts w:hint="eastAsia" w:eastAsia="黑体"/>
          <w:szCs w:val="28"/>
          <w:highlight w:val="none"/>
        </w:rPr>
        <w:t xml:space="preserve">the creation of odorless factories </w:t>
      </w:r>
    </w:p>
    <w:p w14:paraId="607FECB9">
      <w:pPr>
        <w:pStyle w:val="128"/>
        <w:framePr w:w="9639" w:h="6974" w:hRule="exact" w:wrap="around" w:vAnchor="page" w:hAnchor="page" w:x="1419" w:y="6408" w:anchorLock="1"/>
        <w:textAlignment w:val="bottom"/>
        <w:rPr>
          <w:rFonts w:eastAsia="黑体"/>
          <w:szCs w:val="28"/>
          <w:highlight w:val="none"/>
        </w:rPr>
      </w:pPr>
      <w:r>
        <w:rPr>
          <w:rFonts w:eastAsia="黑体"/>
          <w:szCs w:val="28"/>
          <w:highlight w:val="none"/>
        </w:rPr>
        <w:fldChar w:fldCharType="end"/>
      </w:r>
      <w:bookmarkEnd w:id="5"/>
    </w:p>
    <w:p w14:paraId="26A97004">
      <w:pPr>
        <w:framePr w:w="9639" w:h="6974" w:hRule="exact" w:wrap="around" w:vAnchor="page" w:hAnchor="page" w:x="1419" w:y="6408" w:anchorLock="1"/>
        <w:spacing w:line="760" w:lineRule="exact"/>
        <w:ind w:left="-1418"/>
        <w:rPr>
          <w:highlight w:val="none"/>
        </w:rPr>
      </w:pPr>
    </w:p>
    <w:p w14:paraId="4D3B1821">
      <w:pPr>
        <w:pStyle w:val="128"/>
        <w:framePr w:w="9639" w:h="6974" w:hRule="exact" w:wrap="around" w:vAnchor="page" w:hAnchor="page" w:x="1419" w:y="6408" w:anchorLock="1"/>
        <w:textAlignment w:val="bottom"/>
        <w:rPr>
          <w:rFonts w:hint="eastAsia" w:eastAsia="黑体"/>
          <w:szCs w:val="28"/>
          <w:highlight w:val="none"/>
          <w:lang w:eastAsia="zh-CN"/>
        </w:rPr>
      </w:pPr>
      <w:r>
        <w:rPr>
          <w:rFonts w:hint="eastAsia" w:eastAsia="黑体"/>
          <w:szCs w:val="28"/>
          <w:highlight w:val="none"/>
          <w:lang w:eastAsia="zh-CN"/>
        </w:rPr>
        <w:t>（</w:t>
      </w:r>
      <w:r>
        <w:rPr>
          <w:rFonts w:hint="eastAsia" w:eastAsia="黑体"/>
          <w:szCs w:val="28"/>
          <w:highlight w:val="none"/>
          <w:lang w:val="en-US" w:eastAsia="zh-CN"/>
        </w:rPr>
        <w:t>征求意见稿</w:t>
      </w:r>
      <w:r>
        <w:rPr>
          <w:rFonts w:hint="eastAsia" w:eastAsia="黑体"/>
          <w:szCs w:val="28"/>
          <w:highlight w:val="none"/>
          <w:lang w:eastAsia="zh-CN"/>
        </w:rPr>
        <w:t>）</w:t>
      </w:r>
    </w:p>
    <w:p w14:paraId="6F19792F">
      <w:pPr>
        <w:pStyle w:val="128"/>
        <w:framePr w:w="9639" w:h="6974" w:hRule="exact" w:wrap="around" w:vAnchor="page" w:hAnchor="page" w:x="1419" w:y="6408" w:anchorLock="1"/>
        <w:spacing w:before="440" w:after="160"/>
        <w:textAlignment w:val="bottom"/>
        <w:rPr>
          <w:sz w:val="24"/>
          <w:szCs w:val="28"/>
          <w:highlight w:val="none"/>
        </w:rPr>
      </w:pPr>
      <w:r>
        <w:rPr>
          <w:sz w:val="24"/>
          <w:szCs w:val="28"/>
          <w:highlight w:val="none"/>
        </w:rPr>
        <w:fldChar w:fldCharType="begin"/>
      </w:r>
      <w:bookmarkStart w:id="6" w:name="下拉1"/>
      <w:r>
        <w:rPr>
          <w:sz w:val="24"/>
          <w:szCs w:val="28"/>
          <w:highlight w:val="none"/>
        </w:rPr>
        <w:instrText xml:space="preserve"> FORMDROPDOWN </w:instrText>
      </w:r>
      <w:r>
        <w:rPr>
          <w:sz w:val="24"/>
          <w:szCs w:val="28"/>
          <w:highlight w:val="none"/>
        </w:rPr>
        <w:fldChar w:fldCharType="separate"/>
      </w:r>
      <w:r>
        <w:rPr>
          <w:sz w:val="24"/>
          <w:szCs w:val="28"/>
          <w:highlight w:val="none"/>
        </w:rPr>
        <w:fldChar w:fldCharType="end"/>
      </w:r>
      <w:bookmarkEnd w:id="6"/>
    </w:p>
    <w:p w14:paraId="3F4B000D">
      <w:pPr>
        <w:pStyle w:val="128"/>
        <w:framePr w:w="9639" w:h="6974" w:hRule="exact" w:wrap="around" w:vAnchor="page" w:hAnchor="page" w:x="1419" w:y="6408" w:anchorLock="1"/>
        <w:spacing w:before="180" w:line="240" w:lineRule="atLeast"/>
        <w:textAlignment w:val="bottom"/>
        <w:rPr>
          <w:sz w:val="21"/>
          <w:szCs w:val="28"/>
          <w:highlight w:val="none"/>
        </w:rPr>
      </w:pPr>
      <w:r>
        <w:rPr>
          <w:sz w:val="21"/>
          <w:szCs w:val="28"/>
          <w:highlight w:val="none"/>
        </w:rPr>
        <w:fldChar w:fldCharType="begin"/>
      </w:r>
      <w:bookmarkStart w:id="7" w:name="CMPLSH_DATE"/>
      <w:r>
        <w:rPr>
          <w:sz w:val="21"/>
          <w:szCs w:val="28"/>
          <w:highlight w:val="none"/>
        </w:rPr>
        <w:instrText xml:space="preserve"> FORMTEXT </w:instrText>
      </w:r>
      <w:r>
        <w:rPr>
          <w:sz w:val="21"/>
          <w:szCs w:val="28"/>
          <w:highlight w:val="none"/>
        </w:rPr>
        <w:fldChar w:fldCharType="separate"/>
      </w:r>
      <w:r>
        <w:rPr>
          <w:sz w:val="21"/>
          <w:szCs w:val="28"/>
          <w:highlight w:val="none"/>
        </w:rPr>
        <w:t>     </w:t>
      </w:r>
      <w:r>
        <w:rPr>
          <w:sz w:val="21"/>
          <w:szCs w:val="28"/>
          <w:highlight w:val="none"/>
        </w:rPr>
        <w:fldChar w:fldCharType="end"/>
      </w:r>
      <w:bookmarkEnd w:id="7"/>
    </w:p>
    <w:p w14:paraId="3B4DD5DA">
      <w:pPr>
        <w:pStyle w:val="196"/>
        <w:framePr w:wrap="around" w:y="14176"/>
        <w:rPr>
          <w:highlight w:val="none"/>
        </w:rPr>
      </w:pPr>
      <w:r>
        <w:rPr>
          <w:rFonts w:ascii="黑体"/>
          <w:highlight w:val="none"/>
        </w:rPr>
        <w:fldChar w:fldCharType="begin"/>
      </w:r>
      <w:bookmarkStart w:id="8" w:name="PLSH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8"/>
      <w:r>
        <w:rPr>
          <w:highlight w:val="none"/>
        </w:rPr>
        <w:t xml:space="preserve"> </w:t>
      </w:r>
      <w:r>
        <w:rPr>
          <w:rFonts w:ascii="黑体"/>
          <w:highlight w:val="none"/>
        </w:rPr>
        <w:t>-</w:t>
      </w:r>
      <w:r>
        <w:rPr>
          <w:highlight w:val="none"/>
        </w:rPr>
        <w:t xml:space="preserve"> </w:t>
      </w:r>
      <w:r>
        <w:rPr>
          <w:rFonts w:ascii="黑体"/>
          <w:highlight w:val="none"/>
        </w:rPr>
        <w:fldChar w:fldCharType="begin"/>
      </w:r>
      <w:bookmarkStart w:id="9" w:name="PLSH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9"/>
      <w:r>
        <w:rPr>
          <w:highlight w:val="none"/>
        </w:rPr>
        <w:t xml:space="preserve"> </w:t>
      </w:r>
      <w:r>
        <w:rPr>
          <w:rFonts w:ascii="黑体"/>
          <w:highlight w:val="none"/>
        </w:rPr>
        <w:t>-</w:t>
      </w:r>
      <w:r>
        <w:rPr>
          <w:highlight w:val="none"/>
        </w:rPr>
        <w:t xml:space="preserve"> </w:t>
      </w:r>
      <w:r>
        <w:rPr>
          <w:rFonts w:ascii="黑体"/>
          <w:highlight w:val="none"/>
        </w:rPr>
        <w:fldChar w:fldCharType="begin"/>
      </w:r>
      <w:bookmarkStart w:id="10" w:name="PLSH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0"/>
      <w:r>
        <w:rPr>
          <w:rFonts w:hint="eastAsia"/>
          <w:highlight w:val="none"/>
        </w:rPr>
        <w:t>发布</w:t>
      </w:r>
    </w:p>
    <w:p w14:paraId="3411F1F3">
      <w:pPr>
        <w:pStyle w:val="197"/>
        <w:framePr w:wrap="around" w:y="14176"/>
        <w:rPr>
          <w:highlight w:val="none"/>
        </w:rPr>
      </w:pPr>
      <w:r>
        <w:rPr>
          <w:rFonts w:ascii="黑体"/>
          <w:highlight w:val="none"/>
        </w:rPr>
        <w:fldChar w:fldCharType="begin"/>
      </w:r>
      <w:bookmarkStart w:id="11" w:name="CROT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1"/>
      <w:r>
        <w:rPr>
          <w:highlight w:val="none"/>
        </w:rPr>
        <w:t xml:space="preserve"> </w:t>
      </w:r>
      <w:r>
        <w:rPr>
          <w:rFonts w:ascii="黑体"/>
          <w:highlight w:val="none"/>
        </w:rPr>
        <w:t>-</w:t>
      </w:r>
      <w:r>
        <w:rPr>
          <w:highlight w:val="none"/>
        </w:rPr>
        <w:t xml:space="preserve"> </w:t>
      </w:r>
      <w:r>
        <w:rPr>
          <w:rFonts w:ascii="黑体"/>
          <w:highlight w:val="none"/>
        </w:rPr>
        <w:fldChar w:fldCharType="begin"/>
      </w:r>
      <w:bookmarkStart w:id="12" w:name="CROT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2"/>
      <w:r>
        <w:rPr>
          <w:highlight w:val="none"/>
        </w:rPr>
        <w:t xml:space="preserve"> </w:t>
      </w:r>
      <w:r>
        <w:rPr>
          <w:rFonts w:ascii="黑体"/>
          <w:highlight w:val="none"/>
        </w:rPr>
        <w:t>-</w:t>
      </w:r>
      <w:r>
        <w:rPr>
          <w:highlight w:val="none"/>
        </w:rPr>
        <w:t xml:space="preserve"> </w:t>
      </w:r>
      <w:r>
        <w:rPr>
          <w:rFonts w:ascii="黑体"/>
          <w:highlight w:val="none"/>
        </w:rPr>
        <w:fldChar w:fldCharType="begin"/>
      </w:r>
      <w:bookmarkStart w:id="13" w:name="CROT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3"/>
      <w:r>
        <w:rPr>
          <w:rFonts w:hint="eastAsia"/>
          <w:highlight w:val="none"/>
        </w:rPr>
        <w:t>实施</w:t>
      </w:r>
    </w:p>
    <w:p w14:paraId="2F7BC461">
      <w:pPr>
        <w:pStyle w:val="154"/>
        <w:framePr w:h="584" w:hRule="exact" w:hSpace="181" w:vSpace="181" w:wrap="around" w:y="15027"/>
        <w:rPr>
          <w:rFonts w:hint="eastAsia" w:hAnsi="黑体"/>
          <w:highlight w:val="none"/>
        </w:rPr>
      </w:pPr>
      <w:r>
        <w:rPr>
          <w:rFonts w:hAnsi="黑体"/>
          <w:w w:val="100"/>
          <w:sz w:val="28"/>
          <w:highlight w:val="none"/>
        </w:rPr>
        <w:fldChar w:fldCharType="begin"/>
      </w:r>
      <w:bookmarkStart w:id="14" w:name="fm"/>
      <w:r>
        <w:rPr>
          <w:rFonts w:hAnsi="黑体"/>
          <w:w w:val="100"/>
          <w:sz w:val="28"/>
          <w:highlight w:val="none"/>
        </w:rPr>
        <w:instrText xml:space="preserve"> FORMTEXT </w:instrText>
      </w:r>
      <w:r>
        <w:rPr>
          <w:rFonts w:hAnsi="黑体"/>
          <w:w w:val="100"/>
          <w:sz w:val="28"/>
          <w:highlight w:val="none"/>
        </w:rPr>
        <w:fldChar w:fldCharType="separate"/>
      </w:r>
      <w:r>
        <w:rPr>
          <w:rFonts w:hint="eastAsia" w:hAnsi="黑体"/>
          <w:w w:val="100"/>
          <w:sz w:val="28"/>
          <w:highlight w:val="none"/>
        </w:rPr>
        <w:t>中华环保联合会</w:t>
      </w:r>
      <w:r>
        <w:rPr>
          <w:rFonts w:hAnsi="黑体"/>
          <w:w w:val="100"/>
          <w:sz w:val="28"/>
          <w:highlight w:val="none"/>
        </w:rPr>
        <w:fldChar w:fldCharType="end"/>
      </w:r>
      <w:bookmarkEnd w:id="14"/>
      <w:r>
        <w:rPr>
          <w:rFonts w:ascii="Times New Roman"/>
          <w:w w:val="100"/>
          <w:sz w:val="28"/>
          <w:highlight w:val="none"/>
        </w:rPr>
        <w:t>  </w:t>
      </w:r>
      <w:r>
        <w:rPr>
          <w:rStyle w:val="232"/>
          <w:rFonts w:hint="eastAsia" w:hAnsi="黑体"/>
          <w:position w:val="0"/>
          <w:highlight w:val="none"/>
        </w:rPr>
        <w:t>发</w:t>
      </w:r>
      <w:r>
        <w:rPr>
          <w:rStyle w:val="232"/>
          <w:rFonts w:hint="eastAsia" w:hAnsi="黑体"/>
          <w:spacing w:val="0"/>
          <w:position w:val="0"/>
          <w:highlight w:val="none"/>
        </w:rPr>
        <w:t>布</w:t>
      </w:r>
    </w:p>
    <w:p w14:paraId="3A29938E">
      <w:pPr>
        <w:rPr>
          <w:rFonts w:hint="eastAsia" w:ascii="宋体" w:hAnsi="宋体"/>
          <w:sz w:val="28"/>
          <w:szCs w:val="28"/>
          <w:highlight w:val="none"/>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highlight w:val="none"/>
        </w:rPr>
        <mc:AlternateContent>
          <mc:Choice Requires="wps">
            <w:drawing>
              <wp:anchor distT="0" distB="0" distL="0" distR="0" simplePos="0" relativeHeight="251661312" behindDoc="0" locked="1" layoutInCell="1" allowOverlap="1">
                <wp:simplePos x="0" y="0"/>
                <wp:positionH relativeFrom="page">
                  <wp:posOffset>899160</wp:posOffset>
                </wp:positionH>
                <wp:positionV relativeFrom="page">
                  <wp:posOffset>9253220</wp:posOffset>
                </wp:positionV>
                <wp:extent cx="6120130" cy="0"/>
                <wp:effectExtent l="0" t="0" r="0" b="0"/>
                <wp:wrapNone/>
                <wp:docPr id="1027"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round/>
                        </a:ln>
                      </wps:spPr>
                      <wps:bodyPr/>
                    </wps:wsp>
                  </a:graphicData>
                </a:graphic>
              </wp:anchor>
            </w:drawing>
          </mc:Choice>
          <mc:Fallback>
            <w:pict>
              <v:line id="直接连接符 5" o:spid="_x0000_s1026" o:spt="20" style="position:absolute;left:0pt;margin-left:70.8pt;margin-top:728.6pt;height:0pt;width:481.9pt;mso-position-horizontal-relative:page;mso-position-vertical-relative:page;z-index:251661312;mso-width-relative:page;mso-height-relative:page;" filled="f" stroked="t" coordsize="21600,21600" o:gfxdata="UEsDBAoAAAAAAIdO4kAAAAAAAAAAAAAAAAAEAAAAZHJzL1BLAwQUAAAACACHTuJAnMVDF9gAAAAO&#10;AQAADwAAAGRycy9kb3ducmV2LnhtbE2PzU7DMBCE70i8g7VIXCpqJ7QFpXF6AHLjQlvEdRsvSdR4&#10;ncbuDzw9zgHBbWd3NPtNvrrYTpxo8K1jDclUgSCunGm51rDdlHePIHxANtg5Jg1f5GFVXF/lmBl3&#10;5jc6rUMtYgj7DDU0IfSZlL5qyKKfup443j7dYDFEOdTSDHiO4baTqVILabHl+KHBnp4aqvbro9Xg&#10;y3c6lN+TaqI+7mtH6eH59QW1vr1J1BJEoEv4M8OIH9GhiEw7d2TjRRf1LFlE6zjMH1IQoyVR8xmI&#10;3e9OFrn8X6P4AVBLAwQUAAAACACHTuJAGmw+XNIBAACRAwAADgAAAGRycy9lMm9Eb2MueG1srVNL&#10;jhMxEN0jcQfLe9KdoAzQSmcWEw0bBJGAAzhuO23JP1U56eQSXACJHaxYsuc2zByDsjuTgWEzC3rh&#10;Ltfnld9zeXF5cJbtFaAJvuXTSc2Z8jJ0xm9b/vHD9bOXnGESvhM2eNXyo0J+uXz6ZDHERs1CH2yn&#10;gBGIx2aILe9Tik1VoeyVEzgJUXkK6gBOJNrCtupADITubDWr64tqCNBFCFIhknc1BvkJER4DGLQ2&#10;Uq2C3Dnl04gKyopElLA3EfmynFZrJdM7rVElZltOTFNZqQnZm7xWy4VotiBib+TpCOIxR3jAyQnj&#10;qekZaiWSYDsw/0A5IyFg0Gkig6tGIkURYjGtH2jzvhdRFS4kNcaz6Pj/YOXb/RqY6WgS6tkLzrxw&#10;dOc3n3/8+vT19ucXWm++f2PzrNMQsaH0K7+G0w7jGjLpgwaX/0SHHYq2x7O26pCYJOfFlAg+J9nl&#10;Xay6L4yA6bUKjmWj5db4TFs0Yv8GEzWj1LuU7LaeDS1/NZ/NCU7QDGq6ezJdJB7ot6UWgzXdtbE2&#10;VyBsN1cW2F7kOShfpkS4f6XlJiuB/ZhXQuOEQNj5biywnuqyFiP7bG1CdyyiFD/dVEE+TVUehT/3&#10;pfr+JS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zFQxfYAAAADgEAAA8AAAAAAAAAAQAgAAAA&#10;IgAAAGRycy9kb3ducmV2LnhtbFBLAQIUABQAAAAIAIdO4kAabD5c0gEAAJEDAAAOAAAAAAAAAAEA&#10;IAAAACcBAABkcnMvZTJvRG9jLnhtbFBLBQYAAAAABgAGAFkBAABrBQAAAAA=&#10;">
                <v:fill on="f" focussize="0,0"/>
                <v:stroke color="#000000" joinstyle="round"/>
                <v:imagedata o:title=""/>
                <o:lock v:ext="edit" aspectratio="f"/>
                <w10:anchorlock/>
              </v:line>
            </w:pict>
          </mc:Fallback>
        </mc:AlternateContent>
      </w:r>
      <w:bookmarkStart w:id="89" w:name="_GoBack"/>
      <w:bookmarkEnd w:id="89"/>
    </w:p>
    <w:p w14:paraId="7B38D7F7">
      <w:pPr>
        <w:pStyle w:val="94"/>
        <w:tabs>
          <w:tab w:val="right" w:leader="dot" w:pos="9354"/>
        </w:tabs>
        <w:adjustRightInd/>
        <w:spacing w:after="468"/>
        <w:jc w:val="center"/>
        <w:rPr>
          <w:rFonts w:ascii="Times New Roman" w:hAnsi="Times New Roman" w:eastAsia="黑体" w:cs="Times New Roman"/>
          <w:kern w:val="2"/>
          <w:sz w:val="32"/>
          <w:szCs w:val="21"/>
          <w:highlight w:val="none"/>
          <w:lang w:val="en-US" w:eastAsia="zh-CN" w:bidi="ar-SA"/>
        </w:rPr>
      </w:pPr>
      <w:bookmarkStart w:id="15" w:name="BookMark1"/>
      <w:bookmarkStart w:id="16" w:name="_Toc55409472"/>
      <w:r>
        <w:rPr>
          <w:rFonts w:hint="eastAsia"/>
          <w:b/>
          <w:bCs/>
          <w:spacing w:val="320"/>
          <w:sz w:val="24"/>
          <w:szCs w:val="24"/>
          <w:highlight w:val="none"/>
          <w:lang w:val="en-US" w:eastAsia="zh-CN"/>
        </w:rPr>
        <w:t>目录</w:t>
      </w:r>
      <w:r>
        <w:rPr>
          <w:rFonts w:ascii="Times New Roman" w:hAnsi="Times New Roman"/>
          <w:highlight w:val="none"/>
        </w:rPr>
        <w:fldChar w:fldCharType="begin"/>
      </w:r>
      <w:r>
        <w:rPr>
          <w:rFonts w:ascii="Times New Roman" w:hAnsi="Times New Roman"/>
          <w:highlight w:val="none"/>
        </w:rPr>
        <w:instrText xml:space="preserve"> TOC \o "1-1" \h </w:instrText>
      </w:r>
      <w:r>
        <w:rPr>
          <w:rFonts w:ascii="Times New Roman" w:hAnsi="Times New Roman"/>
          <w:highlight w:val="none"/>
        </w:rPr>
        <w:fldChar w:fldCharType="separate"/>
      </w:r>
    </w:p>
    <w:p w14:paraId="18C42EDD">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_Toc30635 </w:instrText>
      </w:r>
      <w:r>
        <w:rPr>
          <w:rFonts w:ascii="Times New Roman" w:hAnsi="Times New Roman"/>
          <w:highlight w:val="none"/>
        </w:rPr>
        <w:fldChar w:fldCharType="separate"/>
      </w:r>
      <w:r>
        <w:rPr>
          <w:rFonts w:hint="eastAsia" w:ascii="Times New Roman" w:hAnsi="Times New Roman"/>
          <w:highlight w:val="none"/>
          <w:lang w:val="en-US" w:eastAsia="zh-CN"/>
        </w:rPr>
        <w:t>前</w:t>
      </w:r>
      <w:r>
        <w:rPr>
          <w:highlight w:val="none"/>
        </w:rPr>
        <w:t>言</w:t>
      </w:r>
      <w:r>
        <w:rPr>
          <w:highlight w:val="none"/>
        </w:rPr>
        <w:tab/>
      </w:r>
      <w:r>
        <w:rPr>
          <w:highlight w:val="none"/>
        </w:rPr>
        <w:fldChar w:fldCharType="begin"/>
      </w:r>
      <w:r>
        <w:rPr>
          <w:highlight w:val="none"/>
        </w:rPr>
        <w:instrText xml:space="preserve"> PAGEREF _Toc30635 \h </w:instrText>
      </w:r>
      <w:r>
        <w:rPr>
          <w:highlight w:val="none"/>
        </w:rPr>
        <w:fldChar w:fldCharType="separate"/>
      </w:r>
      <w:r>
        <w:rPr>
          <w:highlight w:val="none"/>
        </w:rPr>
        <w:t>II</w:t>
      </w:r>
      <w:r>
        <w:rPr>
          <w:highlight w:val="none"/>
        </w:rPr>
        <w:fldChar w:fldCharType="end"/>
      </w:r>
      <w:r>
        <w:rPr>
          <w:rFonts w:ascii="Times New Roman" w:hAnsi="Times New Roman"/>
          <w:highlight w:val="none"/>
        </w:rPr>
        <w:fldChar w:fldCharType="end"/>
      </w:r>
    </w:p>
    <w:p w14:paraId="0653C977">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_Toc16580 </w:instrText>
      </w:r>
      <w:r>
        <w:rPr>
          <w:rFonts w:ascii="Times New Roman" w:hAnsi="Times New Roman"/>
          <w:highlight w:val="none"/>
        </w:rPr>
        <w:fldChar w:fldCharType="separate"/>
      </w:r>
      <w:r>
        <w:rPr>
          <w:rFonts w:hint="default" w:ascii="Times New Roman" w:hAnsi="Times New Roman" w:eastAsia="黑体" w:cs="Times New Roman"/>
          <w:i w:val="0"/>
          <w:highlight w:val="none"/>
          <w:lang w:val="en-US" w:eastAsia="zh-CN" w:bidi="ar-SA"/>
        </w:rPr>
        <w:t>1</w:t>
      </w:r>
      <w:r>
        <w:rPr>
          <w:rFonts w:hint="eastAsia"/>
          <w:highlight w:val="none"/>
        </w:rPr>
        <w:t>范围</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1</w:t>
      </w:r>
      <w:r>
        <w:rPr>
          <w:highlight w:val="none"/>
        </w:rPr>
        <w:fldChar w:fldCharType="end"/>
      </w:r>
      <w:r>
        <w:rPr>
          <w:rFonts w:ascii="Times New Roman" w:hAnsi="Times New Roman"/>
          <w:highlight w:val="none"/>
        </w:rPr>
        <w:fldChar w:fldCharType="end"/>
      </w:r>
    </w:p>
    <w:p w14:paraId="4624B032">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_Toc23950 </w:instrText>
      </w:r>
      <w:r>
        <w:rPr>
          <w:rFonts w:ascii="Times New Roman" w:hAnsi="Times New Roman"/>
          <w:highlight w:val="none"/>
        </w:rPr>
        <w:fldChar w:fldCharType="separate"/>
      </w:r>
      <w:r>
        <w:rPr>
          <w:rFonts w:hint="default" w:ascii="Times New Roman" w:hAnsi="Times New Roman" w:eastAsia="黑体" w:cs="Times New Roman"/>
          <w:i w:val="0"/>
          <w:highlight w:val="none"/>
          <w:lang w:val="en-US" w:eastAsia="zh-CN" w:bidi="ar-SA"/>
        </w:rPr>
        <w:t>2</w:t>
      </w:r>
      <w:r>
        <w:rPr>
          <w:rFonts w:hint="eastAsia"/>
          <w:highlight w:val="none"/>
        </w:rPr>
        <w:t>规范性引用文件</w:t>
      </w:r>
      <w:r>
        <w:rPr>
          <w:highlight w:val="none"/>
        </w:rPr>
        <w:tab/>
      </w:r>
      <w:r>
        <w:rPr>
          <w:highlight w:val="none"/>
        </w:rPr>
        <w:fldChar w:fldCharType="begin"/>
      </w:r>
      <w:r>
        <w:rPr>
          <w:highlight w:val="none"/>
        </w:rPr>
        <w:instrText xml:space="preserve"> PAGEREF _Toc23950 \h </w:instrText>
      </w:r>
      <w:r>
        <w:rPr>
          <w:highlight w:val="none"/>
        </w:rPr>
        <w:fldChar w:fldCharType="separate"/>
      </w:r>
      <w:r>
        <w:rPr>
          <w:highlight w:val="none"/>
        </w:rPr>
        <w:t>1</w:t>
      </w:r>
      <w:r>
        <w:rPr>
          <w:highlight w:val="none"/>
        </w:rPr>
        <w:fldChar w:fldCharType="end"/>
      </w:r>
      <w:r>
        <w:rPr>
          <w:rFonts w:ascii="Times New Roman" w:hAnsi="Times New Roman"/>
          <w:highlight w:val="none"/>
        </w:rPr>
        <w:fldChar w:fldCharType="end"/>
      </w:r>
    </w:p>
    <w:p w14:paraId="4000A106">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_Toc10398 </w:instrText>
      </w:r>
      <w:r>
        <w:rPr>
          <w:rFonts w:ascii="Times New Roman" w:hAnsi="Times New Roman"/>
          <w:highlight w:val="none"/>
        </w:rPr>
        <w:fldChar w:fldCharType="separate"/>
      </w:r>
      <w:r>
        <w:rPr>
          <w:rFonts w:hint="default" w:ascii="Times New Roman" w:hAnsi="Times New Roman" w:eastAsia="黑体" w:cs="Times New Roman"/>
          <w:i w:val="0"/>
          <w:highlight w:val="none"/>
          <w:lang w:val="en-US" w:eastAsia="zh-CN" w:bidi="ar-SA"/>
        </w:rPr>
        <w:t>3</w:t>
      </w:r>
      <w:r>
        <w:rPr>
          <w:rFonts w:hint="eastAsia"/>
          <w:highlight w:val="none"/>
        </w:rPr>
        <w:t>术语和定义</w:t>
      </w:r>
      <w:r>
        <w:rPr>
          <w:highlight w:val="none"/>
        </w:rPr>
        <w:tab/>
      </w:r>
      <w:r>
        <w:rPr>
          <w:highlight w:val="none"/>
        </w:rPr>
        <w:fldChar w:fldCharType="begin"/>
      </w:r>
      <w:r>
        <w:rPr>
          <w:highlight w:val="none"/>
        </w:rPr>
        <w:instrText xml:space="preserve"> PAGEREF _Toc10398 \h </w:instrText>
      </w:r>
      <w:r>
        <w:rPr>
          <w:highlight w:val="none"/>
        </w:rPr>
        <w:fldChar w:fldCharType="separate"/>
      </w:r>
      <w:r>
        <w:rPr>
          <w:highlight w:val="none"/>
        </w:rPr>
        <w:t>1</w:t>
      </w:r>
      <w:r>
        <w:rPr>
          <w:highlight w:val="none"/>
        </w:rPr>
        <w:fldChar w:fldCharType="end"/>
      </w:r>
      <w:r>
        <w:rPr>
          <w:rFonts w:ascii="Times New Roman" w:hAnsi="Times New Roman"/>
          <w:highlight w:val="none"/>
        </w:rPr>
        <w:fldChar w:fldCharType="end"/>
      </w:r>
    </w:p>
    <w:p w14:paraId="4606DC5D">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_Toc5655 </w:instrText>
      </w:r>
      <w:r>
        <w:rPr>
          <w:rFonts w:ascii="Times New Roman" w:hAnsi="Times New Roman"/>
          <w:highlight w:val="none"/>
        </w:rPr>
        <w:fldChar w:fldCharType="separate"/>
      </w:r>
      <w:r>
        <w:rPr>
          <w:rFonts w:hint="default" w:ascii="Times New Roman" w:hAnsi="Times New Roman" w:eastAsia="黑体" w:cs="Times New Roman"/>
          <w:i w:val="0"/>
          <w:highlight w:val="none"/>
          <w:lang w:val="en-US" w:eastAsia="zh-CN" w:bidi="ar-SA"/>
        </w:rPr>
        <w:t>4</w:t>
      </w:r>
      <w:r>
        <w:rPr>
          <w:rFonts w:hint="eastAsia"/>
          <w:highlight w:val="none"/>
        </w:rPr>
        <w:t>总体要求</w:t>
      </w:r>
      <w:r>
        <w:rPr>
          <w:highlight w:val="none"/>
        </w:rPr>
        <w:tab/>
      </w:r>
      <w:r>
        <w:rPr>
          <w:highlight w:val="none"/>
        </w:rPr>
        <w:fldChar w:fldCharType="begin"/>
      </w:r>
      <w:r>
        <w:rPr>
          <w:highlight w:val="none"/>
        </w:rPr>
        <w:instrText xml:space="preserve"> PAGEREF _Toc5655 \h </w:instrText>
      </w:r>
      <w:r>
        <w:rPr>
          <w:highlight w:val="none"/>
        </w:rPr>
        <w:fldChar w:fldCharType="separate"/>
      </w:r>
      <w:r>
        <w:rPr>
          <w:highlight w:val="none"/>
        </w:rPr>
        <w:t>2</w:t>
      </w:r>
      <w:r>
        <w:rPr>
          <w:highlight w:val="none"/>
        </w:rPr>
        <w:fldChar w:fldCharType="end"/>
      </w:r>
      <w:r>
        <w:rPr>
          <w:rFonts w:ascii="Times New Roman" w:hAnsi="Times New Roman"/>
          <w:highlight w:val="none"/>
        </w:rPr>
        <w:fldChar w:fldCharType="end"/>
      </w:r>
    </w:p>
    <w:p w14:paraId="3DBA26CC">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_Toc2360 </w:instrText>
      </w:r>
      <w:r>
        <w:rPr>
          <w:rFonts w:ascii="Times New Roman" w:hAnsi="Times New Roman"/>
          <w:highlight w:val="none"/>
        </w:rPr>
        <w:fldChar w:fldCharType="separate"/>
      </w:r>
      <w:r>
        <w:rPr>
          <w:rFonts w:hint="default" w:ascii="Times New Roman" w:hAnsi="Times New Roman" w:eastAsia="黑体" w:cs="Times New Roman"/>
          <w:i w:val="0"/>
          <w:highlight w:val="none"/>
          <w:lang w:val="en-US" w:eastAsia="zh-CN" w:bidi="ar-SA"/>
        </w:rPr>
        <w:t>5</w:t>
      </w:r>
      <w:r>
        <w:rPr>
          <w:rFonts w:hint="eastAsia"/>
          <w:highlight w:val="none"/>
        </w:rPr>
        <w:t>无异味工厂创建要求</w:t>
      </w:r>
      <w:r>
        <w:rPr>
          <w:highlight w:val="none"/>
        </w:rPr>
        <w:tab/>
      </w:r>
      <w:r>
        <w:rPr>
          <w:highlight w:val="none"/>
        </w:rPr>
        <w:fldChar w:fldCharType="begin"/>
      </w:r>
      <w:r>
        <w:rPr>
          <w:highlight w:val="none"/>
        </w:rPr>
        <w:instrText xml:space="preserve"> PAGEREF _Toc2360 \h </w:instrText>
      </w:r>
      <w:r>
        <w:rPr>
          <w:highlight w:val="none"/>
        </w:rPr>
        <w:fldChar w:fldCharType="separate"/>
      </w:r>
      <w:r>
        <w:rPr>
          <w:highlight w:val="none"/>
        </w:rPr>
        <w:t>3</w:t>
      </w:r>
      <w:r>
        <w:rPr>
          <w:highlight w:val="none"/>
        </w:rPr>
        <w:fldChar w:fldCharType="end"/>
      </w:r>
      <w:r>
        <w:rPr>
          <w:rFonts w:ascii="Times New Roman" w:hAnsi="Times New Roman"/>
          <w:highlight w:val="none"/>
        </w:rPr>
        <w:fldChar w:fldCharType="end"/>
      </w:r>
    </w:p>
    <w:p w14:paraId="102ADAC0">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_Toc11704 </w:instrText>
      </w:r>
      <w:r>
        <w:rPr>
          <w:rFonts w:ascii="Times New Roman" w:hAnsi="Times New Roman"/>
          <w:highlight w:val="none"/>
        </w:rPr>
        <w:fldChar w:fldCharType="separate"/>
      </w:r>
      <w:r>
        <w:rPr>
          <w:rFonts w:hint="eastAsia" w:ascii="Times New Roman" w:cs="Times New Roman"/>
          <w:i w:val="0"/>
          <w:highlight w:val="none"/>
          <w:lang w:val="en-US" w:eastAsia="zh-CN" w:bidi="ar-SA"/>
        </w:rPr>
        <w:t>6建设指标</w:t>
      </w:r>
      <w:r>
        <w:rPr>
          <w:highlight w:val="none"/>
        </w:rPr>
        <w:tab/>
      </w:r>
      <w:r>
        <w:rPr>
          <w:highlight w:val="none"/>
        </w:rPr>
        <w:fldChar w:fldCharType="begin"/>
      </w:r>
      <w:r>
        <w:rPr>
          <w:highlight w:val="none"/>
        </w:rPr>
        <w:instrText xml:space="preserve"> PAGEREF _Toc11704 \h </w:instrText>
      </w:r>
      <w:r>
        <w:rPr>
          <w:highlight w:val="none"/>
        </w:rPr>
        <w:fldChar w:fldCharType="separate"/>
      </w:r>
      <w:r>
        <w:rPr>
          <w:highlight w:val="none"/>
        </w:rPr>
        <w:t>7</w:t>
      </w:r>
      <w:r>
        <w:rPr>
          <w:highlight w:val="none"/>
        </w:rPr>
        <w:fldChar w:fldCharType="end"/>
      </w:r>
      <w:r>
        <w:rPr>
          <w:rFonts w:ascii="Times New Roman" w:hAnsi="Times New Roman"/>
          <w:highlight w:val="none"/>
        </w:rPr>
        <w:fldChar w:fldCharType="end"/>
      </w:r>
    </w:p>
    <w:p w14:paraId="5DB4DA6C">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_Toc20570 </w:instrText>
      </w:r>
      <w:r>
        <w:rPr>
          <w:rFonts w:ascii="Times New Roman" w:hAnsi="Times New Roman"/>
          <w:highlight w:val="none"/>
        </w:rPr>
        <w:fldChar w:fldCharType="separate"/>
      </w:r>
      <w:r>
        <w:rPr>
          <w:rFonts w:hint="default" w:ascii="Times New Roman" w:hAnsi="Times New Roman" w:cs="Times New Roman"/>
          <w:highlight w:val="none"/>
          <w:lang w:val="en-US" w:eastAsia="zh-CN"/>
        </w:rPr>
        <w:t>附录</w:t>
      </w:r>
      <w:r>
        <w:rPr>
          <w:rFonts w:hint="default" w:ascii="Times New Roman" w:hAnsi="Times New Roman" w:cs="Times New Roman"/>
          <w:spacing w:val="100"/>
          <w:highlight w:val="none"/>
        </w:rPr>
        <w:t>A</w:t>
      </w:r>
      <w:r>
        <w:rPr>
          <w:rFonts w:hint="default" w:ascii="Times New Roman" w:hAnsi="Times New Roman" w:cs="Times New Roman"/>
          <w:highlight w:val="none"/>
        </w:rPr>
        <w:t>（资料性） 异味管理计划（OMP）编制框架</w:t>
      </w:r>
      <w:r>
        <w:rPr>
          <w:highlight w:val="none"/>
        </w:rPr>
        <w:tab/>
      </w:r>
      <w:r>
        <w:rPr>
          <w:highlight w:val="none"/>
        </w:rPr>
        <w:fldChar w:fldCharType="begin"/>
      </w:r>
      <w:r>
        <w:rPr>
          <w:highlight w:val="none"/>
        </w:rPr>
        <w:instrText xml:space="preserve"> PAGEREF _Toc20570 \h </w:instrText>
      </w:r>
      <w:r>
        <w:rPr>
          <w:highlight w:val="none"/>
        </w:rPr>
        <w:fldChar w:fldCharType="separate"/>
      </w:r>
      <w:r>
        <w:rPr>
          <w:highlight w:val="none"/>
        </w:rPr>
        <w:t>9</w:t>
      </w:r>
      <w:r>
        <w:rPr>
          <w:highlight w:val="none"/>
        </w:rPr>
        <w:fldChar w:fldCharType="end"/>
      </w:r>
      <w:r>
        <w:rPr>
          <w:rFonts w:ascii="Times New Roman" w:hAnsi="Times New Roman"/>
          <w:highlight w:val="none"/>
        </w:rPr>
        <w:fldChar w:fldCharType="end"/>
      </w:r>
    </w:p>
    <w:p w14:paraId="1AD0004C">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_Toc32567 </w:instrText>
      </w:r>
      <w:r>
        <w:rPr>
          <w:rFonts w:ascii="Times New Roman" w:hAnsi="Times New Roman"/>
          <w:highlight w:val="none"/>
        </w:rPr>
        <w:fldChar w:fldCharType="separate"/>
      </w:r>
      <w:r>
        <w:rPr>
          <w:rFonts w:hint="default" w:ascii="Times New Roman" w:hAnsi="Times New Roman" w:cs="Times New Roman"/>
          <w:highlight w:val="none"/>
          <w:lang w:val="en-US" w:eastAsia="zh-CN"/>
        </w:rPr>
        <w:t>附录</w:t>
      </w:r>
      <w:r>
        <w:rPr>
          <w:rFonts w:hint="default" w:ascii="Times New Roman" w:hAnsi="Times New Roman" w:cs="Times New Roman"/>
          <w:spacing w:val="100"/>
          <w:highlight w:val="none"/>
        </w:rPr>
        <w:t>B</w:t>
      </w:r>
      <w:r>
        <w:rPr>
          <w:rFonts w:hint="default" w:ascii="Times New Roman" w:hAnsi="Times New Roman" w:cs="Times New Roman"/>
          <w:highlight w:val="none"/>
        </w:rPr>
        <w:t>（资料性） 无异味工厂建设指标解释及判定说明</w:t>
      </w:r>
      <w:r>
        <w:rPr>
          <w:highlight w:val="none"/>
        </w:rPr>
        <w:tab/>
      </w:r>
      <w:r>
        <w:rPr>
          <w:highlight w:val="none"/>
        </w:rPr>
        <w:fldChar w:fldCharType="begin"/>
      </w:r>
      <w:r>
        <w:rPr>
          <w:highlight w:val="none"/>
        </w:rPr>
        <w:instrText xml:space="preserve"> PAGEREF _Toc32567 \h </w:instrText>
      </w:r>
      <w:r>
        <w:rPr>
          <w:highlight w:val="none"/>
        </w:rPr>
        <w:fldChar w:fldCharType="separate"/>
      </w:r>
      <w:r>
        <w:rPr>
          <w:highlight w:val="none"/>
        </w:rPr>
        <w:t>12</w:t>
      </w:r>
      <w:r>
        <w:rPr>
          <w:highlight w:val="none"/>
        </w:rPr>
        <w:fldChar w:fldCharType="end"/>
      </w:r>
      <w:r>
        <w:rPr>
          <w:rFonts w:ascii="Times New Roman" w:hAnsi="Times New Roman"/>
          <w:highlight w:val="none"/>
        </w:rPr>
        <w:fldChar w:fldCharType="end"/>
      </w:r>
    </w:p>
    <w:p w14:paraId="4E3768E6">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_Toc8582 </w:instrText>
      </w:r>
      <w:r>
        <w:rPr>
          <w:rFonts w:ascii="Times New Roman" w:hAnsi="Times New Roman"/>
          <w:highlight w:val="none"/>
        </w:rPr>
        <w:fldChar w:fldCharType="separate"/>
      </w:r>
      <w:r>
        <w:rPr>
          <w:rFonts w:hint="default" w:ascii="Times New Roman" w:hAnsi="Times New Roman" w:cs="Times New Roman"/>
          <w:highlight w:val="none"/>
          <w:lang w:val="en-US" w:eastAsia="zh-CN"/>
        </w:rPr>
        <w:t>附录</w:t>
      </w:r>
      <w:r>
        <w:rPr>
          <w:rFonts w:hint="default" w:ascii="Times New Roman" w:hAnsi="Times New Roman" w:cs="Times New Roman"/>
          <w:spacing w:val="100"/>
          <w:highlight w:val="none"/>
        </w:rPr>
        <w:t>C</w:t>
      </w:r>
      <w:r>
        <w:rPr>
          <w:rFonts w:hint="default" w:ascii="Times New Roman" w:hAnsi="Times New Roman" w:cs="Times New Roman"/>
          <w:highlight w:val="none"/>
        </w:rPr>
        <w:t>（资料性） 无异味工厂创建自评表</w:t>
      </w:r>
      <w:r>
        <w:rPr>
          <w:highlight w:val="none"/>
        </w:rPr>
        <w:tab/>
      </w:r>
      <w:r>
        <w:rPr>
          <w:highlight w:val="none"/>
        </w:rPr>
        <w:fldChar w:fldCharType="begin"/>
      </w:r>
      <w:r>
        <w:rPr>
          <w:highlight w:val="none"/>
        </w:rPr>
        <w:instrText xml:space="preserve"> PAGEREF _Toc8582 \h </w:instrText>
      </w:r>
      <w:r>
        <w:rPr>
          <w:highlight w:val="none"/>
        </w:rPr>
        <w:fldChar w:fldCharType="separate"/>
      </w:r>
      <w:r>
        <w:rPr>
          <w:highlight w:val="none"/>
        </w:rPr>
        <w:t>18</w:t>
      </w:r>
      <w:r>
        <w:rPr>
          <w:highlight w:val="none"/>
        </w:rPr>
        <w:fldChar w:fldCharType="end"/>
      </w:r>
      <w:r>
        <w:rPr>
          <w:rFonts w:ascii="Times New Roman" w:hAnsi="Times New Roman"/>
          <w:highlight w:val="none"/>
        </w:rPr>
        <w:fldChar w:fldCharType="end"/>
      </w:r>
    </w:p>
    <w:p w14:paraId="6423FB2A">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_Toc5206 </w:instrText>
      </w:r>
      <w:r>
        <w:rPr>
          <w:rFonts w:ascii="Times New Roman" w:hAnsi="Times New Roman"/>
          <w:highlight w:val="none"/>
        </w:rPr>
        <w:fldChar w:fldCharType="separate"/>
      </w:r>
      <w:r>
        <w:rPr>
          <w:rFonts w:hint="eastAsia" w:ascii="Times New Roman" w:hAnsi="Times New Roman"/>
          <w:highlight w:val="none"/>
          <w:lang w:val="en-US" w:eastAsia="zh-CN"/>
        </w:rPr>
        <w:t>参考文</w:t>
      </w:r>
      <w:r>
        <w:rPr>
          <w:rFonts w:hint="eastAsia"/>
          <w:highlight w:val="none"/>
        </w:rPr>
        <w:t>献</w:t>
      </w:r>
      <w:r>
        <w:rPr>
          <w:highlight w:val="none"/>
        </w:rPr>
        <w:tab/>
      </w:r>
      <w:r>
        <w:rPr>
          <w:highlight w:val="none"/>
        </w:rPr>
        <w:fldChar w:fldCharType="begin"/>
      </w:r>
      <w:r>
        <w:rPr>
          <w:highlight w:val="none"/>
        </w:rPr>
        <w:instrText xml:space="preserve"> PAGEREF _Toc5206 \h </w:instrText>
      </w:r>
      <w:r>
        <w:rPr>
          <w:highlight w:val="none"/>
        </w:rPr>
        <w:fldChar w:fldCharType="separate"/>
      </w:r>
      <w:r>
        <w:rPr>
          <w:highlight w:val="none"/>
        </w:rPr>
        <w:t>22</w:t>
      </w:r>
      <w:r>
        <w:rPr>
          <w:highlight w:val="none"/>
        </w:rPr>
        <w:fldChar w:fldCharType="end"/>
      </w:r>
      <w:r>
        <w:rPr>
          <w:rFonts w:ascii="Times New Roman" w:hAnsi="Times New Roman"/>
          <w:highlight w:val="none"/>
        </w:rPr>
        <w:fldChar w:fldCharType="end"/>
      </w:r>
    </w:p>
    <w:p w14:paraId="64BFFB1D">
      <w:pPr>
        <w:pStyle w:val="20"/>
        <w:tabs>
          <w:tab w:val="right" w:leader="dot" w:pos="9354"/>
        </w:tabs>
        <w:adjustRightInd/>
        <w:spacing w:after="468"/>
        <w:jc w:val="center"/>
        <w:rPr>
          <w:highlight w:val="none"/>
        </w:rPr>
        <w:sectPr>
          <w:headerReference r:id="rId9" w:type="default"/>
          <w:footerReference r:id="rId11" w:type="default"/>
          <w:headerReference r:id="rId10" w:type="even"/>
          <w:pgSz w:w="11906" w:h="16838"/>
          <w:pgMar w:top="1871" w:right="1134" w:bottom="1134" w:left="1134" w:header="1418" w:footer="1134" w:gutter="284"/>
          <w:pgNumType w:fmt="upperRoman" w:start="1"/>
          <w:cols w:space="425" w:num="1"/>
          <w:docGrid w:type="lines" w:linePitch="312" w:charSpace="0"/>
        </w:sectPr>
      </w:pPr>
      <w:r>
        <w:rPr>
          <w:rFonts w:ascii="Times New Roman" w:hAnsi="Times New Roman"/>
          <w:highlight w:val="none"/>
        </w:rPr>
        <w:fldChar w:fldCharType="end"/>
      </w:r>
    </w:p>
    <w:bookmarkEnd w:id="15"/>
    <w:p w14:paraId="341182A5">
      <w:pPr>
        <w:pStyle w:val="92"/>
        <w:numPr>
          <w:ilvl w:val="0"/>
          <w:numId w:val="0"/>
        </w:numPr>
        <w:spacing w:after="468"/>
        <w:rPr>
          <w:highlight w:val="none"/>
        </w:rPr>
      </w:pPr>
      <w:bookmarkStart w:id="17" w:name="_Toc16174"/>
      <w:bookmarkStart w:id="18" w:name="_Toc30635"/>
      <w:bookmarkStart w:id="19" w:name="BookMark2"/>
      <w:r>
        <w:rPr>
          <w:spacing w:val="320"/>
          <w:highlight w:val="none"/>
        </w:rPr>
        <w:t>前</w:t>
      </w:r>
      <w:r>
        <w:rPr>
          <w:highlight w:val="none"/>
        </w:rPr>
        <w:t>言</w:t>
      </w:r>
      <w:bookmarkEnd w:id="16"/>
      <w:bookmarkEnd w:id="17"/>
      <w:bookmarkEnd w:id="18"/>
    </w:p>
    <w:p w14:paraId="1ECDB821">
      <w:pPr>
        <w:pStyle w:val="59"/>
        <w:ind w:firstLine="420"/>
        <w:rPr>
          <w:rFonts w:ascii="Times New Roman"/>
          <w:highlight w:val="none"/>
        </w:rPr>
      </w:pPr>
      <w:r>
        <w:rPr>
          <w:rFonts w:ascii="Times New Roman"/>
          <w:highlight w:val="none"/>
        </w:rPr>
        <w:t>本文件按照GB/T 1.1—2020《标准化工作导则  第1部分：标准化文件的结构和起草规则》的规定起草。</w:t>
      </w:r>
    </w:p>
    <w:p w14:paraId="551D88B4">
      <w:pPr>
        <w:pStyle w:val="59"/>
        <w:ind w:firstLine="420"/>
        <w:rPr>
          <w:rFonts w:ascii="Times New Roman"/>
          <w:highlight w:val="none"/>
        </w:rPr>
      </w:pPr>
      <w:r>
        <w:rPr>
          <w:rFonts w:ascii="Times New Roman"/>
          <w:highlight w:val="none"/>
        </w:rPr>
        <w:t>本文件规定了</w:t>
      </w:r>
      <w:r>
        <w:rPr>
          <w:rFonts w:hint="eastAsia" w:ascii="Times New Roman"/>
          <w:highlight w:val="none"/>
        </w:rPr>
        <w:t>无异味工厂创建的基本原则、技术要求和</w:t>
      </w:r>
      <w:r>
        <w:rPr>
          <w:rFonts w:hint="eastAsia" w:ascii="Times New Roman"/>
          <w:highlight w:val="none"/>
          <w:lang w:val="en-US" w:eastAsia="zh-CN"/>
        </w:rPr>
        <w:t>建设指标</w:t>
      </w:r>
      <w:r>
        <w:rPr>
          <w:rFonts w:hint="eastAsia" w:ascii="Times New Roman"/>
          <w:highlight w:val="none"/>
        </w:rPr>
        <w:t>等内容，旨在规范和引导工业企业建立异味污染全过程精细化管控体系，通过源头削减、过程密闭、末端治理与长效管理相结合的方式，有效防控企业厂区、厂界及周边敏感目标异味影响，提升企业环境管理水平和异味污染治理能力，推动减污降碳协同和绿色高质量发展。无异味工厂创建不表示企业在任何条件下均无气味感知，而是指企业通过系统治理和长效管理，使异味污染风险得到有效识别、控制、监测、评估和持续改进。</w:t>
      </w:r>
    </w:p>
    <w:p w14:paraId="69123C80">
      <w:pPr>
        <w:pStyle w:val="59"/>
        <w:ind w:firstLine="420"/>
        <w:rPr>
          <w:rFonts w:ascii="Times New Roman"/>
          <w:highlight w:val="none"/>
        </w:rPr>
      </w:pPr>
      <w:r>
        <w:rPr>
          <w:rFonts w:ascii="Times New Roman"/>
          <w:highlight w:val="none"/>
        </w:rPr>
        <w:t>本文件为指导性文件。</w:t>
      </w:r>
    </w:p>
    <w:p w14:paraId="7BA7F5E7">
      <w:pPr>
        <w:pStyle w:val="59"/>
        <w:ind w:firstLine="420"/>
        <w:rPr>
          <w:rFonts w:ascii="Times New Roman"/>
          <w:highlight w:val="none"/>
        </w:rPr>
      </w:pPr>
      <w:r>
        <w:rPr>
          <w:rFonts w:ascii="Times New Roman"/>
          <w:highlight w:val="none"/>
        </w:rPr>
        <w:t>本文件为首次发布。</w:t>
      </w:r>
    </w:p>
    <w:p w14:paraId="7591A556">
      <w:pPr>
        <w:pStyle w:val="59"/>
        <w:ind w:firstLine="420"/>
        <w:rPr>
          <w:rFonts w:ascii="Times New Roman"/>
          <w:highlight w:val="none"/>
        </w:rPr>
      </w:pPr>
      <w:r>
        <w:rPr>
          <w:rFonts w:ascii="Times New Roman"/>
          <w:highlight w:val="none"/>
        </w:rPr>
        <w:t>本文件附录A</w:t>
      </w:r>
      <w:r>
        <w:rPr>
          <w:rFonts w:hint="eastAsia" w:ascii="Times New Roman"/>
          <w:highlight w:val="none"/>
        </w:rPr>
        <w:t>、</w:t>
      </w:r>
      <w:r>
        <w:rPr>
          <w:rFonts w:ascii="Times New Roman"/>
          <w:highlight w:val="none"/>
        </w:rPr>
        <w:t>附录</w:t>
      </w:r>
      <w:r>
        <w:rPr>
          <w:rFonts w:hint="eastAsia" w:ascii="Times New Roman"/>
          <w:highlight w:val="none"/>
        </w:rPr>
        <w:t>B、</w:t>
      </w:r>
      <w:r>
        <w:rPr>
          <w:rFonts w:ascii="Times New Roman"/>
          <w:highlight w:val="none"/>
        </w:rPr>
        <w:t>附录</w:t>
      </w:r>
      <w:r>
        <w:rPr>
          <w:rFonts w:hint="eastAsia" w:ascii="Times New Roman"/>
          <w:highlight w:val="none"/>
        </w:rPr>
        <w:t>C均</w:t>
      </w:r>
      <w:r>
        <w:rPr>
          <w:rFonts w:ascii="Times New Roman"/>
          <w:highlight w:val="none"/>
        </w:rPr>
        <w:t>为资料性附录。</w:t>
      </w:r>
    </w:p>
    <w:p w14:paraId="6F80CF59">
      <w:pPr>
        <w:pStyle w:val="59"/>
        <w:ind w:firstLine="420"/>
        <w:rPr>
          <w:rFonts w:ascii="Times New Roman"/>
          <w:highlight w:val="none"/>
        </w:rPr>
      </w:pPr>
      <w:r>
        <w:rPr>
          <w:rFonts w:ascii="Times New Roman"/>
          <w:highlight w:val="none"/>
        </w:rPr>
        <w:t>本文件的某些内容可能涉及专利；本文件发布机构不承担识别这些专利的责任。</w:t>
      </w:r>
    </w:p>
    <w:p w14:paraId="3B9F73F5">
      <w:pPr>
        <w:pStyle w:val="59"/>
        <w:ind w:firstLine="420"/>
        <w:rPr>
          <w:rFonts w:ascii="Times New Roman"/>
          <w:highlight w:val="none"/>
        </w:rPr>
      </w:pPr>
      <w:r>
        <w:rPr>
          <w:rFonts w:ascii="Times New Roman"/>
          <w:highlight w:val="none"/>
        </w:rPr>
        <w:t>本文件由中华环保联合会提出。</w:t>
      </w:r>
    </w:p>
    <w:p w14:paraId="6F3043C2">
      <w:pPr>
        <w:pStyle w:val="59"/>
        <w:ind w:firstLine="420"/>
        <w:rPr>
          <w:rFonts w:ascii="Times New Roman"/>
          <w:highlight w:val="none"/>
        </w:rPr>
      </w:pPr>
      <w:r>
        <w:rPr>
          <w:rFonts w:ascii="Times New Roman"/>
          <w:highlight w:val="none"/>
        </w:rPr>
        <w:t>本文件由中华环保联合会归口。</w:t>
      </w:r>
    </w:p>
    <w:p w14:paraId="29A46DCD">
      <w:pPr>
        <w:pStyle w:val="59"/>
        <w:ind w:firstLine="420"/>
        <w:rPr>
          <w:rFonts w:ascii="Times New Roman"/>
          <w:highlight w:val="none"/>
        </w:rPr>
      </w:pPr>
      <w:r>
        <w:rPr>
          <w:rFonts w:ascii="Times New Roman"/>
          <w:highlight w:val="none"/>
        </w:rPr>
        <w:t>本文件起草单位：。</w:t>
      </w:r>
    </w:p>
    <w:p w14:paraId="241522EC">
      <w:pPr>
        <w:pStyle w:val="59"/>
        <w:ind w:firstLine="420"/>
        <w:rPr>
          <w:highlight w:val="none"/>
        </w:rPr>
      </w:pPr>
      <w:r>
        <w:rPr>
          <w:rFonts w:hint="eastAsia"/>
          <w:highlight w:val="none"/>
        </w:rPr>
        <w:t>本文件主要起草人：</w:t>
      </w:r>
    </w:p>
    <w:p w14:paraId="59E97C38">
      <w:pPr>
        <w:pStyle w:val="59"/>
        <w:ind w:firstLine="420"/>
        <w:rPr>
          <w:highlight w:val="none"/>
        </w:rPr>
      </w:pPr>
      <w:r>
        <w:rPr>
          <w:rFonts w:hint="eastAsia"/>
          <w:highlight w:val="none"/>
        </w:rPr>
        <w:t>本标准自</w:t>
      </w:r>
      <w:r>
        <w:rPr>
          <w:rFonts w:ascii="Times New Roman"/>
          <w:highlight w:val="none"/>
        </w:rPr>
        <w:t>202</w:t>
      </w:r>
      <w:r>
        <w:rPr>
          <w:rFonts w:hint="eastAsia"/>
          <w:highlight w:val="none"/>
        </w:rPr>
        <w:t>□年□□月□□日起实施。</w:t>
      </w:r>
    </w:p>
    <w:p w14:paraId="6D4F4AEE">
      <w:pPr>
        <w:pStyle w:val="59"/>
        <w:ind w:firstLine="420"/>
        <w:rPr>
          <w:highlight w:val="none"/>
        </w:rPr>
      </w:pPr>
    </w:p>
    <w:p w14:paraId="15FA7D75">
      <w:pPr>
        <w:pStyle w:val="59"/>
        <w:ind w:firstLine="420"/>
        <w:rPr>
          <w:highlight w:val="none"/>
        </w:rPr>
        <w:sectPr>
          <w:pgSz w:w="11906" w:h="16838"/>
          <w:pgMar w:top="1871" w:right="1134" w:bottom="1134" w:left="1134" w:header="1418" w:footer="1134" w:gutter="284"/>
          <w:pgNumType w:fmt="upperRoman"/>
          <w:cols w:space="425" w:num="1"/>
          <w:docGrid w:type="lines" w:linePitch="312" w:charSpace="0"/>
        </w:sectPr>
      </w:pPr>
    </w:p>
    <w:bookmarkEnd w:id="19"/>
    <w:p w14:paraId="45ABA1AF">
      <w:pPr>
        <w:spacing w:line="20" w:lineRule="exact"/>
        <w:jc w:val="center"/>
        <w:rPr>
          <w:rFonts w:hint="eastAsia" w:ascii="黑体" w:hAnsi="黑体" w:eastAsia="黑体"/>
          <w:sz w:val="32"/>
          <w:szCs w:val="32"/>
          <w:highlight w:val="none"/>
        </w:rPr>
      </w:pPr>
      <w:bookmarkStart w:id="20" w:name="BookMark4"/>
    </w:p>
    <w:p w14:paraId="6466888B">
      <w:pPr>
        <w:spacing w:line="20" w:lineRule="exact"/>
        <w:jc w:val="center"/>
        <w:rPr>
          <w:rFonts w:hint="eastAsia" w:ascii="黑体" w:hAnsi="黑体" w:eastAsia="黑体"/>
          <w:sz w:val="32"/>
          <w:szCs w:val="32"/>
          <w:highlight w:val="none"/>
        </w:rPr>
      </w:pPr>
    </w:p>
    <w:p w14:paraId="4C9131C2">
      <w:pPr>
        <w:pStyle w:val="180"/>
        <w:spacing w:before="3" w:beforeLines="1" w:after="680"/>
        <w:rPr>
          <w:rFonts w:hint="eastAsia"/>
          <w:highlight w:val="none"/>
        </w:rPr>
      </w:pPr>
      <w:bookmarkStart w:id="21" w:name="NEW_STAND_NAME"/>
      <w:r>
        <w:rPr>
          <w:rFonts w:hint="eastAsia"/>
          <w:highlight w:val="none"/>
        </w:rPr>
        <w:t>无异味工厂创建技术指南</w:t>
      </w:r>
    </w:p>
    <w:bookmarkEnd w:id="21"/>
    <w:p w14:paraId="792EC394">
      <w:pPr>
        <w:pStyle w:val="107"/>
        <w:numPr>
          <w:ilvl w:val="1"/>
          <w:numId w:val="0"/>
        </w:numPr>
        <w:spacing w:before="312" w:after="312"/>
        <w:ind w:left="0"/>
        <w:rPr>
          <w:highlight w:val="none"/>
        </w:rPr>
      </w:pPr>
      <w:bookmarkStart w:id="22" w:name="_Toc17233333"/>
      <w:bookmarkStart w:id="23" w:name="_Toc26648465"/>
      <w:bookmarkStart w:id="24" w:name="_Toc26986771"/>
      <w:bookmarkStart w:id="25" w:name="_Toc26718930"/>
      <w:bookmarkStart w:id="26" w:name="_Toc16580"/>
      <w:bookmarkStart w:id="27" w:name="_Toc26986530"/>
      <w:bookmarkStart w:id="28" w:name="_Toc24884218"/>
      <w:bookmarkStart w:id="29" w:name="_Toc24884211"/>
      <w:bookmarkStart w:id="30" w:name="_Toc55409473"/>
      <w:bookmarkStart w:id="31" w:name="_Toc17233325"/>
      <w:r>
        <w:rPr>
          <w:rFonts w:hint="default" w:ascii="Times New Roman" w:hAnsi="Times New Roman" w:eastAsia="黑体" w:cs="Times New Roman"/>
          <w:b w:val="0"/>
          <w:i w:val="0"/>
          <w:sz w:val="21"/>
          <w:highlight w:val="none"/>
          <w:lang w:val="en-US" w:eastAsia="zh-CN" w:bidi="ar-SA"/>
        </w:rPr>
        <w:t>1　</w:t>
      </w:r>
      <w:r>
        <w:rPr>
          <w:rFonts w:hint="eastAsia"/>
          <w:highlight w:val="none"/>
        </w:rPr>
        <w:t>范围</w:t>
      </w:r>
      <w:bookmarkEnd w:id="22"/>
      <w:bookmarkEnd w:id="23"/>
      <w:bookmarkEnd w:id="24"/>
      <w:bookmarkEnd w:id="25"/>
      <w:bookmarkEnd w:id="26"/>
      <w:bookmarkEnd w:id="27"/>
      <w:bookmarkEnd w:id="28"/>
      <w:bookmarkEnd w:id="29"/>
      <w:bookmarkEnd w:id="30"/>
      <w:bookmarkEnd w:id="31"/>
    </w:p>
    <w:p w14:paraId="1211F862">
      <w:pPr>
        <w:pStyle w:val="59"/>
        <w:ind w:firstLine="420"/>
        <w:rPr>
          <w:highlight w:val="none"/>
        </w:rPr>
      </w:pPr>
      <w:bookmarkStart w:id="32" w:name="_Toc24884212"/>
      <w:bookmarkStart w:id="33" w:name="_Toc26648466"/>
      <w:bookmarkStart w:id="34" w:name="_Toc17233334"/>
      <w:bookmarkStart w:id="35" w:name="_Toc17233326"/>
      <w:bookmarkStart w:id="36" w:name="_Toc24884219"/>
      <w:r>
        <w:rPr>
          <w:rFonts w:hint="eastAsia"/>
          <w:highlight w:val="none"/>
        </w:rPr>
        <w:t>本文件规定了无异味工厂创建的基本原则、技术要求和</w:t>
      </w:r>
      <w:r>
        <w:rPr>
          <w:rFonts w:hint="eastAsia"/>
          <w:highlight w:val="none"/>
          <w:lang w:val="en-US" w:eastAsia="zh-CN"/>
        </w:rPr>
        <w:t>建设指标</w:t>
      </w:r>
      <w:r>
        <w:rPr>
          <w:rFonts w:hint="eastAsia"/>
          <w:highlight w:val="none"/>
        </w:rPr>
        <w:t>等内容。</w:t>
      </w:r>
    </w:p>
    <w:p w14:paraId="027AEDD6">
      <w:pPr>
        <w:pStyle w:val="59"/>
        <w:ind w:firstLine="420"/>
        <w:rPr>
          <w:highlight w:val="none"/>
        </w:rPr>
      </w:pPr>
      <w:r>
        <w:rPr>
          <w:rFonts w:hint="eastAsia"/>
          <w:highlight w:val="none"/>
        </w:rPr>
        <w:t>本文件适用于生产经营活动中涉及异味物质产生、使用、储存、转运、处理处置等环节，可能对厂区、厂界或周边敏感目标产生异味影响的工业企业</w:t>
      </w:r>
      <w:r>
        <w:rPr>
          <w:rFonts w:hint="eastAsia"/>
          <w:highlight w:val="none"/>
          <w:lang w:val="en-US" w:eastAsia="zh-CN"/>
        </w:rPr>
        <w:t>开展的</w:t>
      </w:r>
      <w:r>
        <w:rPr>
          <w:rFonts w:hint="eastAsia"/>
          <w:highlight w:val="none"/>
        </w:rPr>
        <w:t>无异味工厂创建工作。</w:t>
      </w:r>
    </w:p>
    <w:p w14:paraId="25C91F62">
      <w:pPr>
        <w:pStyle w:val="107"/>
        <w:numPr>
          <w:ilvl w:val="1"/>
          <w:numId w:val="0"/>
        </w:numPr>
        <w:spacing w:before="312" w:after="312"/>
        <w:ind w:left="0"/>
        <w:rPr>
          <w:highlight w:val="none"/>
        </w:rPr>
      </w:pPr>
      <w:bookmarkStart w:id="37" w:name="_Toc26718931"/>
      <w:bookmarkStart w:id="38" w:name="_Toc23950"/>
      <w:bookmarkStart w:id="39" w:name="_Toc26986531"/>
      <w:bookmarkStart w:id="40" w:name="_Toc55409474"/>
      <w:bookmarkStart w:id="41" w:name="_Toc26986772"/>
      <w:r>
        <w:rPr>
          <w:rFonts w:hint="default" w:ascii="Times New Roman" w:hAnsi="Times New Roman" w:eastAsia="黑体" w:cs="Times New Roman"/>
          <w:b w:val="0"/>
          <w:i w:val="0"/>
          <w:sz w:val="21"/>
          <w:highlight w:val="none"/>
          <w:lang w:val="en-US" w:eastAsia="zh-CN" w:bidi="ar-SA"/>
        </w:rPr>
        <w:t>2　</w:t>
      </w:r>
      <w:r>
        <w:rPr>
          <w:rFonts w:hint="eastAsia"/>
          <w:highlight w:val="none"/>
        </w:rPr>
        <w:t>规范性引用文件</w:t>
      </w:r>
      <w:bookmarkEnd w:id="32"/>
      <w:bookmarkEnd w:id="33"/>
      <w:bookmarkEnd w:id="34"/>
      <w:bookmarkEnd w:id="35"/>
      <w:bookmarkEnd w:id="36"/>
      <w:bookmarkEnd w:id="37"/>
      <w:bookmarkEnd w:id="38"/>
      <w:bookmarkEnd w:id="39"/>
      <w:bookmarkEnd w:id="40"/>
      <w:bookmarkEnd w:id="41"/>
    </w:p>
    <w:p w14:paraId="2FC5B4B1">
      <w:pPr>
        <w:pStyle w:val="59"/>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F79593F">
      <w:pPr>
        <w:pStyle w:val="59"/>
        <w:numPr>
          <w:ilvl w:val="-1"/>
          <w:numId w:val="0"/>
        </w:numPr>
        <w:ind w:firstLine="420"/>
        <w:rPr>
          <w:rFonts w:hint="eastAsia" w:ascii="Times New Roman"/>
          <w:highlight w:val="none"/>
        </w:rPr>
      </w:pPr>
      <w:r>
        <w:rPr>
          <w:rFonts w:hint="eastAsia" w:ascii="Times New Roman"/>
          <w:highlight w:val="none"/>
        </w:rPr>
        <w:t>GB 14554</w:t>
      </w:r>
      <w:r>
        <w:rPr>
          <w:rFonts w:ascii="Times New Roman"/>
          <w:highlight w:val="none"/>
        </w:rPr>
        <w:t xml:space="preserve">  </w:t>
      </w:r>
      <w:r>
        <w:rPr>
          <w:rFonts w:hint="eastAsia" w:ascii="Times New Roman"/>
          <w:highlight w:val="none"/>
        </w:rPr>
        <w:t>恶臭污染物排放标准</w:t>
      </w:r>
    </w:p>
    <w:p w14:paraId="4E1551CE">
      <w:pPr>
        <w:pStyle w:val="59"/>
        <w:numPr>
          <w:ilvl w:val="-1"/>
          <w:numId w:val="0"/>
        </w:numPr>
        <w:ind w:firstLine="420"/>
        <w:rPr>
          <w:rFonts w:hint="eastAsia" w:ascii="Times New Roman" w:eastAsia="宋体" w:cs="Times New Roman"/>
          <w:b w:val="0"/>
          <w:i w:val="0"/>
          <w:sz w:val="21"/>
          <w:highlight w:val="none"/>
          <w:lang w:val="en-US" w:eastAsia="zh" w:bidi="ar-SA"/>
          <w:woUserID w:val="1"/>
        </w:rPr>
      </w:pPr>
      <w:r>
        <w:rPr>
          <w:rFonts w:hint="eastAsia" w:ascii="Times New Roman" w:eastAsia="宋体" w:cs="Times New Roman"/>
          <w:b w:val="0"/>
          <w:i w:val="0"/>
          <w:sz w:val="21"/>
          <w:highlight w:val="none"/>
          <w:lang w:val="en-US" w:eastAsia="zh" w:bidi="ar-SA"/>
          <w:woUserID w:val="1"/>
        </w:rPr>
        <w:t>GB</w:t>
      </w:r>
      <w:r>
        <w:rPr>
          <w:rFonts w:hint="eastAsia" w:ascii="Times New Roman" w:cs="Times New Roman"/>
          <w:b w:val="0"/>
          <w:i w:val="0"/>
          <w:sz w:val="21"/>
          <w:highlight w:val="none"/>
          <w:lang w:val="en-US" w:eastAsia="zh-CN" w:bidi="ar-SA"/>
          <w:woUserID w:val="1"/>
        </w:rPr>
        <w:t xml:space="preserve"> </w:t>
      </w:r>
      <w:r>
        <w:rPr>
          <w:rFonts w:hint="eastAsia" w:ascii="Times New Roman" w:eastAsia="宋体" w:cs="Times New Roman"/>
          <w:b w:val="0"/>
          <w:i w:val="0"/>
          <w:sz w:val="21"/>
          <w:highlight w:val="none"/>
          <w:lang w:val="en-US" w:eastAsia="zh" w:bidi="ar-SA"/>
          <w:woUserID w:val="1"/>
        </w:rPr>
        <w:t>20101</w:t>
      </w:r>
      <w:r>
        <w:rPr>
          <w:rFonts w:hint="eastAsia" w:ascii="Times New Roman" w:cs="Times New Roman"/>
          <w:b w:val="0"/>
          <w:i w:val="0"/>
          <w:sz w:val="21"/>
          <w:highlight w:val="none"/>
          <w:lang w:val="en-US" w:eastAsia="zh-CN" w:bidi="ar-SA"/>
          <w:woUserID w:val="1"/>
        </w:rPr>
        <w:t xml:space="preserve">  </w:t>
      </w:r>
      <w:r>
        <w:rPr>
          <w:rFonts w:hint="eastAsia" w:ascii="Times New Roman" w:eastAsia="宋体" w:cs="Times New Roman"/>
          <w:b w:val="0"/>
          <w:i w:val="0"/>
          <w:sz w:val="21"/>
          <w:highlight w:val="none"/>
          <w:lang w:val="en-US" w:eastAsia="zh" w:bidi="ar-SA"/>
          <w:woUserID w:val="1"/>
        </w:rPr>
        <w:t>涂装有机废气净化装置安全技术要求</w:t>
      </w:r>
    </w:p>
    <w:p w14:paraId="3F6D9945">
      <w:pPr>
        <w:pStyle w:val="59"/>
        <w:numPr>
          <w:ilvl w:val="-1"/>
          <w:numId w:val="0"/>
        </w:numPr>
        <w:ind w:firstLine="420"/>
        <w:rPr>
          <w:rFonts w:hint="eastAsia" w:ascii="Times New Roman"/>
          <w:highlight w:val="none"/>
          <w:woUserID w:val="1"/>
        </w:rPr>
      </w:pPr>
      <w:r>
        <w:rPr>
          <w:rFonts w:hint="eastAsia" w:ascii="Times New Roman"/>
          <w:highlight w:val="none"/>
          <w:woUserID w:val="0"/>
        </w:rPr>
        <w:t>GB</w:t>
      </w:r>
      <w:r>
        <w:rPr>
          <w:rFonts w:hint="eastAsia" w:ascii="Times New Roman"/>
          <w:highlight w:val="none"/>
          <w:woUserID w:val="1"/>
        </w:rPr>
        <w:t>/T</w:t>
      </w:r>
      <w:r>
        <w:rPr>
          <w:rFonts w:hint="eastAsia" w:ascii="Times New Roman"/>
          <w:highlight w:val="none"/>
          <w:lang w:val="en-US" w:eastAsia="zh-CN"/>
          <w:woUserID w:val="1"/>
        </w:rPr>
        <w:t xml:space="preserve"> </w:t>
      </w:r>
      <w:r>
        <w:rPr>
          <w:rFonts w:hint="eastAsia" w:ascii="Times New Roman"/>
          <w:highlight w:val="none"/>
          <w:woUserID w:val="1"/>
        </w:rPr>
        <w:t xml:space="preserve">16157 </w:t>
      </w:r>
      <w:r>
        <w:rPr>
          <w:rFonts w:hint="eastAsia" w:ascii="Times New Roman"/>
          <w:highlight w:val="none"/>
          <w:lang w:val="en-US" w:eastAsia="zh-CN"/>
          <w:woUserID w:val="1"/>
        </w:rPr>
        <w:t xml:space="preserve"> </w:t>
      </w:r>
      <w:r>
        <w:rPr>
          <w:rFonts w:hint="eastAsia" w:ascii="Times New Roman"/>
          <w:highlight w:val="none"/>
          <w:woUserID w:val="1"/>
        </w:rPr>
        <w:t>固定污染源排气中颗粒物测定与气态污染物采样方法</w:t>
      </w:r>
    </w:p>
    <w:p w14:paraId="669DF3F6">
      <w:pPr>
        <w:pStyle w:val="59"/>
        <w:numPr>
          <w:ilvl w:val="-1"/>
          <w:numId w:val="0"/>
        </w:numPr>
        <w:ind w:firstLine="420"/>
        <w:rPr>
          <w:rFonts w:hint="eastAsia" w:ascii="Times New Roman" w:eastAsia="宋体" w:cs="Times New Roman"/>
          <w:b w:val="0"/>
          <w:i w:val="0"/>
          <w:sz w:val="21"/>
          <w:highlight w:val="none"/>
          <w:lang w:val="en-US" w:eastAsia="zh" w:bidi="ar-SA"/>
          <w:woUserID w:val="1"/>
        </w:rPr>
      </w:pPr>
      <w:r>
        <w:rPr>
          <w:rFonts w:hint="eastAsia" w:ascii="Times New Roman" w:eastAsia="宋体" w:cs="Times New Roman"/>
          <w:b w:val="0"/>
          <w:i w:val="0"/>
          <w:sz w:val="21"/>
          <w:highlight w:val="none"/>
          <w:lang w:val="en-US" w:eastAsia="zh" w:bidi="ar-SA"/>
          <w:woUserID w:val="1"/>
        </w:rPr>
        <w:t xml:space="preserve">GB/T 35077 </w:t>
      </w:r>
      <w:r>
        <w:rPr>
          <w:rFonts w:hint="eastAsia" w:ascii="Times New Roman" w:cs="Times New Roman"/>
          <w:b w:val="0"/>
          <w:i w:val="0"/>
          <w:sz w:val="21"/>
          <w:highlight w:val="none"/>
          <w:lang w:val="en-US" w:eastAsia="zh-CN" w:bidi="ar-SA"/>
          <w:woUserID w:val="1"/>
        </w:rPr>
        <w:t xml:space="preserve"> </w:t>
      </w:r>
      <w:r>
        <w:rPr>
          <w:rFonts w:hint="eastAsia" w:ascii="Times New Roman" w:eastAsia="宋体" w:cs="Times New Roman"/>
          <w:b w:val="0"/>
          <w:i w:val="0"/>
          <w:sz w:val="21"/>
          <w:highlight w:val="none"/>
          <w:lang w:val="en-US" w:eastAsia="zh" w:bidi="ar-SA"/>
          <w:woUserID w:val="1"/>
        </w:rPr>
        <w:t>机械安全 局部排气通风系统 安全要求</w:t>
      </w:r>
    </w:p>
    <w:p w14:paraId="44AED752">
      <w:pPr>
        <w:pStyle w:val="59"/>
        <w:numPr>
          <w:ilvl w:val="-1"/>
          <w:numId w:val="0"/>
        </w:numPr>
        <w:ind w:firstLine="420"/>
        <w:rPr>
          <w:rFonts w:hint="default" w:ascii="Times New Roman" w:eastAsia="宋体" w:cs="Times New Roman"/>
          <w:b w:val="0"/>
          <w:i w:val="0"/>
          <w:sz w:val="21"/>
          <w:highlight w:val="none"/>
          <w:lang w:val="en-US" w:eastAsia="zh-CN" w:bidi="ar-SA"/>
          <w:woUserID w:val="1"/>
        </w:rPr>
      </w:pPr>
      <w:r>
        <w:rPr>
          <w:rFonts w:hint="eastAsia" w:ascii="Times New Roman" w:cs="Times New Roman"/>
          <w:b w:val="0"/>
          <w:i w:val="0"/>
          <w:sz w:val="21"/>
          <w:highlight w:val="none"/>
          <w:lang w:val="en-US" w:eastAsia="zh-CN" w:bidi="ar-SA"/>
          <w:woUserID w:val="1"/>
        </w:rPr>
        <w:t>HJ 2300  污染防治可行技术指南编制导则</w:t>
      </w:r>
    </w:p>
    <w:p w14:paraId="55BD020E">
      <w:pPr>
        <w:pStyle w:val="59"/>
        <w:ind w:firstLine="420"/>
        <w:rPr>
          <w:rFonts w:hint="eastAsia" w:ascii="Times New Roman"/>
          <w:highlight w:val="none"/>
          <w:lang w:val="en-US" w:eastAsia="zh-CN"/>
        </w:rPr>
      </w:pPr>
      <w:r>
        <w:rPr>
          <w:rFonts w:hint="eastAsia" w:ascii="Times New Roman"/>
          <w:highlight w:val="none"/>
          <w:lang w:val="en-US" w:eastAsia="zh-CN"/>
        </w:rPr>
        <w:t>HJ 1230  工业企业挥发性有机物泄漏检测与修复技术指南</w:t>
      </w:r>
    </w:p>
    <w:p w14:paraId="440FF7EC">
      <w:pPr>
        <w:pStyle w:val="59"/>
        <w:ind w:firstLine="420"/>
        <w:rPr>
          <w:rFonts w:hint="eastAsia" w:ascii="Times New Roman"/>
          <w:highlight w:val="none"/>
          <w:lang w:val="en-US" w:eastAsia="zh-CN"/>
        </w:rPr>
      </w:pPr>
      <w:r>
        <w:rPr>
          <w:rFonts w:hint="eastAsia" w:ascii="Times New Roman"/>
          <w:highlight w:val="none"/>
          <w:lang w:val="en-US" w:eastAsia="zh-CN"/>
        </w:rPr>
        <w:t>HJ 905  恶臭污染环境监测技术规范</w:t>
      </w:r>
    </w:p>
    <w:p w14:paraId="01A053D8">
      <w:pPr>
        <w:pStyle w:val="59"/>
        <w:ind w:firstLine="420"/>
        <w:rPr>
          <w:rFonts w:hint="eastAsia" w:ascii="Times New Roman"/>
          <w:highlight w:val="none"/>
          <w:lang w:val="en-US" w:eastAsia="zh-CN"/>
        </w:rPr>
      </w:pPr>
      <w:r>
        <w:rPr>
          <w:rFonts w:hint="eastAsia" w:ascii="Times New Roman"/>
          <w:highlight w:val="none"/>
          <w:lang w:val="en-US" w:eastAsia="zh-CN"/>
        </w:rPr>
        <w:t>HJ 733  泄漏和敞开液面排放的挥发性有机物检测技术导则</w:t>
      </w:r>
    </w:p>
    <w:p w14:paraId="0AD079B7">
      <w:pPr>
        <w:pStyle w:val="59"/>
        <w:ind w:firstLine="420"/>
        <w:rPr>
          <w:rFonts w:hint="default" w:ascii="Times New Roman"/>
          <w:highlight w:val="none"/>
          <w:lang w:val="en-US" w:eastAsia="zh-CN"/>
        </w:rPr>
      </w:pPr>
      <w:r>
        <w:rPr>
          <w:rFonts w:hint="default" w:ascii="Times New Roman"/>
          <w:highlight w:val="none"/>
          <w:lang w:val="en-US" w:eastAsia="zh-CN"/>
        </w:rPr>
        <w:t>HJ/T 55  大气污染物无组织排放监测技术导则</w:t>
      </w:r>
    </w:p>
    <w:p w14:paraId="7D9AAA0A">
      <w:pPr>
        <w:pStyle w:val="59"/>
        <w:ind w:firstLine="420"/>
        <w:rPr>
          <w:rFonts w:hint="eastAsia" w:ascii="Times New Roman"/>
          <w:highlight w:val="none"/>
          <w:lang w:val="en-US" w:eastAsia="zh-CN"/>
        </w:rPr>
      </w:pPr>
      <w:r>
        <w:rPr>
          <w:rFonts w:hint="default" w:ascii="Times New Roman"/>
          <w:highlight w:val="none"/>
          <w:lang w:val="en-US" w:eastAsia="zh-CN"/>
        </w:rPr>
        <w:t>T/ACEF 207</w:t>
      </w:r>
      <w:r>
        <w:rPr>
          <w:rFonts w:hint="eastAsia" w:ascii="Times New Roman"/>
          <w:highlight w:val="none"/>
          <w:lang w:val="en-US" w:eastAsia="zh-CN"/>
        </w:rPr>
        <w:t xml:space="preserve">  工业有机废气收集系统技术规范</w:t>
      </w:r>
    </w:p>
    <w:p w14:paraId="2E57B10E">
      <w:pPr>
        <w:pStyle w:val="107"/>
        <w:numPr>
          <w:ilvl w:val="1"/>
          <w:numId w:val="0"/>
        </w:numPr>
        <w:spacing w:before="312" w:after="312"/>
        <w:ind w:left="0"/>
        <w:rPr>
          <w:highlight w:val="none"/>
        </w:rPr>
      </w:pPr>
      <w:bookmarkStart w:id="42" w:name="_Toc10398"/>
      <w:bookmarkStart w:id="43" w:name="_Toc55409475"/>
      <w:r>
        <w:rPr>
          <w:rFonts w:hint="default" w:ascii="Times New Roman" w:hAnsi="Times New Roman" w:eastAsia="黑体" w:cs="Times New Roman"/>
          <w:b w:val="0"/>
          <w:i w:val="0"/>
          <w:sz w:val="21"/>
          <w:highlight w:val="none"/>
          <w:lang w:val="en-US" w:eastAsia="zh-CN" w:bidi="ar-SA"/>
        </w:rPr>
        <w:t>3　</w:t>
      </w:r>
      <w:r>
        <w:rPr>
          <w:rFonts w:hint="eastAsia"/>
          <w:highlight w:val="none"/>
        </w:rPr>
        <w:t>术语和定义</w:t>
      </w:r>
      <w:bookmarkEnd w:id="42"/>
      <w:bookmarkEnd w:id="43"/>
    </w:p>
    <w:p w14:paraId="75302193">
      <w:pPr>
        <w:pStyle w:val="59"/>
        <w:ind w:firstLine="420"/>
        <w:rPr>
          <w:highlight w:val="none"/>
        </w:rPr>
      </w:pPr>
      <w:bookmarkStart w:id="44" w:name="_Toc26986532"/>
      <w:bookmarkEnd w:id="44"/>
      <w:r>
        <w:rPr>
          <w:highlight w:val="none"/>
        </w:rPr>
        <w:t>下列术语和定义适用于本文件。</w:t>
      </w:r>
    </w:p>
    <w:p w14:paraId="52850D25">
      <w:pPr>
        <w:pStyle w:val="107"/>
        <w:numPr>
          <w:ilvl w:val="1"/>
          <w:numId w:val="0"/>
        </w:numPr>
        <w:autoSpaceDE w:val="0"/>
        <w:autoSpaceDN w:val="0"/>
        <w:spacing w:before="0" w:beforeLines="0" w:after="0" w:afterLines="0"/>
        <w:rPr>
          <w:highlight w:val="none"/>
        </w:rPr>
      </w:pPr>
      <w:bookmarkStart w:id="45" w:name="_Toc12502"/>
      <w:bookmarkStart w:id="46" w:name="_Toc1560"/>
      <w:bookmarkStart w:id="47" w:name="_Toc12526"/>
      <w:bookmarkStart w:id="48" w:name="_Toc289"/>
      <w:r>
        <w:rPr>
          <w:rFonts w:hint="eastAsia" w:ascii="Times New Roman"/>
          <w:highlight w:val="none"/>
        </w:rPr>
        <w:t>3.1</w:t>
      </w:r>
      <w:bookmarkEnd w:id="45"/>
      <w:bookmarkEnd w:id="46"/>
      <w:bookmarkEnd w:id="47"/>
      <w:r>
        <w:rPr>
          <w:rFonts w:ascii="Times New Roman"/>
          <w:highlight w:val="none"/>
        </w:rPr>
        <w:t>　</w:t>
      </w:r>
    </w:p>
    <w:p w14:paraId="66AEA0FA">
      <w:pPr>
        <w:pStyle w:val="59"/>
        <w:ind w:firstLine="420"/>
        <w:rPr>
          <w:rFonts w:ascii="Times New Roman" w:eastAsia="黑体"/>
          <w:highlight w:val="none"/>
        </w:rPr>
      </w:pPr>
      <w:r>
        <w:rPr>
          <w:rFonts w:hint="eastAsia" w:ascii="Times New Roman" w:eastAsia="黑体"/>
          <w:highlight w:val="none"/>
        </w:rPr>
        <w:t>异味</w:t>
      </w:r>
      <w:r>
        <w:rPr>
          <w:rFonts w:ascii="Times New Roman" w:eastAsia="黑体"/>
          <w:highlight w:val="none"/>
        </w:rPr>
        <w:t xml:space="preserve"> </w:t>
      </w:r>
      <w:r>
        <w:rPr>
          <w:rFonts w:hint="eastAsia" w:ascii="Times New Roman" w:eastAsia="黑体"/>
          <w:highlight w:val="none"/>
        </w:rPr>
        <w:t>odor</w:t>
      </w:r>
    </w:p>
    <w:p w14:paraId="54628BA2">
      <w:pPr>
        <w:pStyle w:val="59"/>
        <w:ind w:firstLine="420"/>
        <w:rPr>
          <w:rFonts w:hint="eastAsia" w:ascii="Times New Roman"/>
          <w:highlight w:val="none"/>
        </w:rPr>
      </w:pPr>
      <w:r>
        <w:rPr>
          <w:rFonts w:hint="eastAsia" w:ascii="Times New Roman"/>
          <w:highlight w:val="none"/>
        </w:rPr>
        <w:t>一切刺激嗅觉器官引起人们不愉快感觉及损害生活环境的气味</w:t>
      </w:r>
      <w:r>
        <w:rPr>
          <w:rFonts w:ascii="Times New Roman"/>
          <w:highlight w:val="none"/>
        </w:rPr>
        <w:t>。</w:t>
      </w:r>
      <w:r>
        <w:rPr>
          <w:rFonts w:ascii="Times New Roman"/>
          <w:highlight w:val="none"/>
        </w:rPr>
        <w:br w:type="textWrapping"/>
      </w:r>
      <w:r>
        <w:rPr>
          <w:rFonts w:hint="eastAsia" w:ascii="Times New Roman"/>
          <w:highlight w:val="none"/>
        </w:rPr>
        <w:tab/>
      </w:r>
      <w:r>
        <w:rPr>
          <w:rFonts w:hint="eastAsia" w:ascii="Times New Roman"/>
          <w:highlight w:val="none"/>
        </w:rPr>
        <w:t>[来源：HJ</w:t>
      </w:r>
      <w:r>
        <w:rPr>
          <w:rFonts w:hint="eastAsia" w:ascii="Times New Roman"/>
          <w:highlight w:val="none"/>
          <w:lang w:val="en-US" w:eastAsia="zh-CN"/>
        </w:rPr>
        <w:t xml:space="preserve"> </w:t>
      </w:r>
      <w:r>
        <w:rPr>
          <w:rFonts w:hint="eastAsia" w:ascii="Times New Roman"/>
          <w:highlight w:val="none"/>
        </w:rPr>
        <w:t>905—2017</w:t>
      </w:r>
      <w:r>
        <w:rPr>
          <w:rFonts w:hint="eastAsia" w:ascii="Times New Roman"/>
          <w:highlight w:val="none"/>
          <w:lang w:eastAsia="zh-CN"/>
        </w:rPr>
        <w:t>，</w:t>
      </w:r>
      <w:r>
        <w:rPr>
          <w:rFonts w:hint="eastAsia" w:ascii="Times New Roman"/>
          <w:highlight w:val="none"/>
        </w:rPr>
        <w:t>有修改]</w:t>
      </w:r>
    </w:p>
    <w:p w14:paraId="7D245E9E">
      <w:pPr>
        <w:pStyle w:val="107"/>
        <w:numPr>
          <w:ilvl w:val="1"/>
          <w:numId w:val="0"/>
        </w:numPr>
        <w:autoSpaceDE w:val="0"/>
        <w:autoSpaceDN w:val="0"/>
        <w:spacing w:before="0" w:beforeLines="0" w:after="0" w:afterLines="0"/>
        <w:rPr>
          <w:highlight w:val="none"/>
        </w:rPr>
      </w:pPr>
      <w:r>
        <w:rPr>
          <w:rFonts w:hint="eastAsia" w:ascii="Times New Roman"/>
          <w:highlight w:val="none"/>
        </w:rPr>
        <w:t>3.</w:t>
      </w:r>
      <w:r>
        <w:rPr>
          <w:rFonts w:hint="eastAsia" w:ascii="Times New Roman"/>
          <w:highlight w:val="none"/>
          <w:lang w:val="en-US" w:eastAsia="zh-CN"/>
        </w:rPr>
        <w:t>2</w:t>
      </w:r>
      <w:r>
        <w:rPr>
          <w:rFonts w:ascii="Times New Roman"/>
          <w:highlight w:val="none"/>
        </w:rPr>
        <w:t>　</w:t>
      </w:r>
    </w:p>
    <w:p w14:paraId="2E7ADAD3">
      <w:pPr>
        <w:pStyle w:val="59"/>
        <w:ind w:firstLine="420"/>
        <w:rPr>
          <w:rFonts w:ascii="Times New Roman" w:eastAsia="黑体"/>
          <w:highlight w:val="none"/>
        </w:rPr>
      </w:pPr>
      <w:r>
        <w:rPr>
          <w:rFonts w:hint="eastAsia" w:ascii="Times New Roman" w:eastAsia="黑体"/>
          <w:highlight w:val="none"/>
        </w:rPr>
        <w:t>异味源 odor source</w:t>
      </w:r>
    </w:p>
    <w:p w14:paraId="4B0AC33A">
      <w:pPr>
        <w:pStyle w:val="59"/>
        <w:ind w:firstLine="420"/>
        <w:rPr>
          <w:rFonts w:hint="eastAsia" w:ascii="Times New Roman"/>
          <w:highlight w:val="none"/>
        </w:rPr>
      </w:pPr>
      <w:r>
        <w:rPr>
          <w:rFonts w:hint="eastAsia" w:ascii="Times New Roman"/>
          <w:highlight w:val="none"/>
        </w:rPr>
        <w:t>在生产经营活动中产生、释放或可能释放异味物质，并可能对厂区、厂界或周边敏感目标产生异味影响的生产装置、储存设施、装卸转运环节、废水处理设施、固体废物或危险废物贮存设施、废气治理设施及其他相关场所或作业活动</w:t>
      </w:r>
      <w:r>
        <w:rPr>
          <w:rFonts w:ascii="Times New Roman"/>
          <w:highlight w:val="none"/>
        </w:rPr>
        <w:t>。</w:t>
      </w:r>
    </w:p>
    <w:p w14:paraId="390CAD32">
      <w:pPr>
        <w:pStyle w:val="59"/>
        <w:ind w:firstLine="420"/>
        <w:rPr>
          <w:rFonts w:hint="eastAsia" w:ascii="Times New Roman"/>
          <w:highlight w:val="none"/>
        </w:rPr>
      </w:pPr>
    </w:p>
    <w:p w14:paraId="6393A682">
      <w:pPr>
        <w:pStyle w:val="107"/>
        <w:numPr>
          <w:ilvl w:val="1"/>
          <w:numId w:val="0"/>
        </w:numPr>
        <w:autoSpaceDE w:val="0"/>
        <w:autoSpaceDN w:val="0"/>
        <w:spacing w:before="0" w:beforeLines="0" w:after="0" w:afterLines="0"/>
        <w:rPr>
          <w:highlight w:val="none"/>
        </w:rPr>
      </w:pPr>
      <w:bookmarkStart w:id="49" w:name="_Toc30663"/>
      <w:bookmarkStart w:id="50" w:name="_Toc21384"/>
      <w:bookmarkStart w:id="51" w:name="_Toc2263"/>
      <w:r>
        <w:rPr>
          <w:rFonts w:hint="eastAsia" w:ascii="Times New Roman"/>
          <w:highlight w:val="none"/>
        </w:rPr>
        <w:t>3.</w:t>
      </w:r>
      <w:bookmarkEnd w:id="49"/>
      <w:bookmarkEnd w:id="50"/>
      <w:bookmarkEnd w:id="51"/>
      <w:r>
        <w:rPr>
          <w:rFonts w:hint="eastAsia" w:ascii="Times New Roman"/>
          <w:highlight w:val="none"/>
          <w:lang w:val="en-US" w:eastAsia="zh-CN"/>
        </w:rPr>
        <w:t>3</w:t>
      </w:r>
      <w:r>
        <w:rPr>
          <w:rFonts w:ascii="Times New Roman"/>
          <w:highlight w:val="none"/>
        </w:rPr>
        <w:t>　</w:t>
      </w:r>
    </w:p>
    <w:p w14:paraId="4EB93FE5">
      <w:pPr>
        <w:pStyle w:val="59"/>
        <w:ind w:firstLine="420"/>
        <w:rPr>
          <w:rFonts w:ascii="Times New Roman" w:eastAsia="黑体"/>
          <w:highlight w:val="none"/>
        </w:rPr>
      </w:pPr>
      <w:r>
        <w:rPr>
          <w:rFonts w:hint="eastAsia" w:ascii="Times New Roman" w:eastAsia="黑体"/>
          <w:highlight w:val="none"/>
        </w:rPr>
        <w:t>臭气浓度</w:t>
      </w:r>
      <w:r>
        <w:rPr>
          <w:rFonts w:ascii="Times New Roman" w:eastAsia="黑体"/>
          <w:highlight w:val="none"/>
        </w:rPr>
        <w:t xml:space="preserve"> </w:t>
      </w:r>
      <w:r>
        <w:rPr>
          <w:rFonts w:hint="eastAsia" w:ascii="Times New Roman" w:eastAsia="黑体"/>
          <w:highlight w:val="none"/>
          <w:lang w:val="en-US" w:eastAsia="zh-CN"/>
        </w:rPr>
        <w:t>o</w:t>
      </w:r>
      <w:r>
        <w:rPr>
          <w:rFonts w:hint="eastAsia" w:ascii="Times New Roman" w:eastAsia="黑体"/>
          <w:highlight w:val="none"/>
        </w:rPr>
        <w:t xml:space="preserve">dor </w:t>
      </w:r>
      <w:r>
        <w:rPr>
          <w:rFonts w:hint="eastAsia" w:ascii="Times New Roman" w:eastAsia="黑体"/>
          <w:highlight w:val="none"/>
          <w:lang w:val="en-US" w:eastAsia="zh-CN"/>
        </w:rPr>
        <w:t>c</w:t>
      </w:r>
      <w:r>
        <w:rPr>
          <w:rFonts w:hint="eastAsia" w:ascii="Times New Roman" w:eastAsia="黑体"/>
          <w:highlight w:val="none"/>
        </w:rPr>
        <w:t>oncentration</w:t>
      </w:r>
    </w:p>
    <w:p w14:paraId="33D52483">
      <w:pPr>
        <w:pStyle w:val="59"/>
        <w:ind w:firstLine="420"/>
        <w:rPr>
          <w:rFonts w:ascii="Times New Roman"/>
          <w:highlight w:val="none"/>
        </w:rPr>
      </w:pPr>
      <w:r>
        <w:rPr>
          <w:rFonts w:hint="eastAsia" w:ascii="Times New Roman"/>
          <w:highlight w:val="none"/>
        </w:rPr>
        <w:t>用无臭空气对异味空气样品进行稀释，直至刚好无臭时所需的稀释倍数</w:t>
      </w:r>
      <w:r>
        <w:rPr>
          <w:rFonts w:ascii="Times New Roman"/>
          <w:highlight w:val="none"/>
        </w:rPr>
        <w:t>。</w:t>
      </w:r>
    </w:p>
    <w:p w14:paraId="24620C4E">
      <w:pPr>
        <w:pStyle w:val="59"/>
        <w:ind w:firstLine="420"/>
        <w:rPr>
          <w:rFonts w:hint="eastAsia" w:ascii="Times New Roman"/>
          <w:highlight w:val="none"/>
        </w:rPr>
      </w:pPr>
      <w:r>
        <w:rPr>
          <w:rFonts w:hint="eastAsia" w:ascii="Times New Roman"/>
          <w:highlight w:val="none"/>
        </w:rPr>
        <w:t>[来源：GB</w:t>
      </w:r>
      <w:r>
        <w:rPr>
          <w:rFonts w:hint="eastAsia" w:ascii="Times New Roman"/>
          <w:highlight w:val="none"/>
          <w:lang w:val="en-US" w:eastAsia="zh-CN"/>
        </w:rPr>
        <w:t xml:space="preserve"> </w:t>
      </w:r>
      <w:r>
        <w:rPr>
          <w:rFonts w:hint="eastAsia" w:ascii="Times New Roman"/>
          <w:highlight w:val="none"/>
        </w:rPr>
        <w:t>14554]</w:t>
      </w:r>
    </w:p>
    <w:p w14:paraId="1BE2AC75">
      <w:pPr>
        <w:pStyle w:val="107"/>
        <w:numPr>
          <w:ilvl w:val="1"/>
          <w:numId w:val="0"/>
        </w:numPr>
        <w:autoSpaceDE w:val="0"/>
        <w:autoSpaceDN w:val="0"/>
        <w:spacing w:before="0" w:beforeLines="0" w:after="0" w:afterLines="0"/>
        <w:rPr>
          <w:highlight w:val="none"/>
        </w:rPr>
      </w:pPr>
      <w:bookmarkStart w:id="52" w:name="_Toc19776"/>
      <w:bookmarkStart w:id="53" w:name="_Toc27015"/>
      <w:r>
        <w:rPr>
          <w:rFonts w:hint="eastAsia" w:ascii="Times New Roman"/>
          <w:highlight w:val="none"/>
        </w:rPr>
        <w:t>3.</w:t>
      </w:r>
      <w:bookmarkEnd w:id="52"/>
      <w:bookmarkEnd w:id="53"/>
      <w:r>
        <w:rPr>
          <w:rFonts w:hint="eastAsia" w:ascii="Times New Roman"/>
          <w:highlight w:val="none"/>
          <w:lang w:val="en-US" w:eastAsia="zh-CN"/>
        </w:rPr>
        <w:t>4</w:t>
      </w:r>
      <w:r>
        <w:rPr>
          <w:rFonts w:ascii="Times New Roman"/>
          <w:highlight w:val="none"/>
        </w:rPr>
        <w:t>　</w:t>
      </w:r>
    </w:p>
    <w:p w14:paraId="05BEEB24">
      <w:pPr>
        <w:pStyle w:val="59"/>
        <w:ind w:firstLine="420"/>
        <w:rPr>
          <w:rFonts w:ascii="Times New Roman" w:eastAsia="黑体"/>
          <w:highlight w:val="none"/>
        </w:rPr>
      </w:pPr>
      <w:r>
        <w:rPr>
          <w:rFonts w:hint="eastAsia" w:ascii="Times New Roman" w:eastAsia="黑体"/>
          <w:highlight w:val="none"/>
        </w:rPr>
        <w:t>特征异味污染物</w:t>
      </w:r>
      <w:r>
        <w:rPr>
          <w:rFonts w:ascii="Times New Roman" w:eastAsia="黑体"/>
          <w:highlight w:val="none"/>
        </w:rPr>
        <w:t xml:space="preserve"> </w:t>
      </w:r>
      <w:r>
        <w:rPr>
          <w:rFonts w:hint="eastAsia" w:ascii="Times New Roman" w:eastAsia="黑体"/>
          <w:highlight w:val="none"/>
          <w:lang w:val="en-US" w:eastAsia="zh-CN"/>
        </w:rPr>
        <w:t>c</w:t>
      </w:r>
      <w:r>
        <w:rPr>
          <w:rFonts w:hint="eastAsia" w:ascii="Times New Roman" w:eastAsia="黑体"/>
          <w:highlight w:val="none"/>
        </w:rPr>
        <w:t xml:space="preserve">haracteristic </w:t>
      </w:r>
      <w:r>
        <w:rPr>
          <w:rFonts w:hint="eastAsia" w:ascii="Times New Roman" w:eastAsia="黑体"/>
          <w:highlight w:val="none"/>
          <w:lang w:val="en-US" w:eastAsia="zh-CN"/>
        </w:rPr>
        <w:t>o</w:t>
      </w:r>
      <w:r>
        <w:rPr>
          <w:rFonts w:hint="eastAsia" w:ascii="Times New Roman" w:eastAsia="黑体"/>
          <w:highlight w:val="none"/>
        </w:rPr>
        <w:t xml:space="preserve">dor </w:t>
      </w:r>
      <w:r>
        <w:rPr>
          <w:rFonts w:hint="eastAsia" w:ascii="Times New Roman" w:eastAsia="黑体"/>
          <w:highlight w:val="none"/>
          <w:lang w:val="en-US" w:eastAsia="zh-CN"/>
        </w:rPr>
        <w:t>p</w:t>
      </w:r>
      <w:r>
        <w:rPr>
          <w:rFonts w:hint="eastAsia" w:ascii="Times New Roman" w:eastAsia="黑体"/>
          <w:highlight w:val="none"/>
        </w:rPr>
        <w:t>ollutants</w:t>
      </w:r>
    </w:p>
    <w:p w14:paraId="5E1E0B2F">
      <w:pPr>
        <w:pStyle w:val="59"/>
        <w:ind w:firstLine="420"/>
        <w:rPr>
          <w:rFonts w:ascii="Times New Roman"/>
          <w:highlight w:val="none"/>
        </w:rPr>
      </w:pPr>
      <w:r>
        <w:rPr>
          <w:rFonts w:hint="eastAsia" w:ascii="Times New Roman"/>
          <w:highlight w:val="none"/>
        </w:rPr>
        <w:t>企业的原辅材料、中间产品、产品或排放的废气中，具有较低嗅阈值、较强异味贡献或典型气味特征，可用于表征企业异味来源、排放特征和溯源识别的污染物</w:t>
      </w:r>
      <w:r>
        <w:rPr>
          <w:rFonts w:ascii="Times New Roman"/>
          <w:highlight w:val="none"/>
        </w:rPr>
        <w:t>。</w:t>
      </w:r>
    </w:p>
    <w:bookmarkEnd w:id="48"/>
    <w:p w14:paraId="12E673C9">
      <w:pPr>
        <w:pStyle w:val="107"/>
        <w:numPr>
          <w:ilvl w:val="1"/>
          <w:numId w:val="0"/>
        </w:numPr>
        <w:autoSpaceDE w:val="0"/>
        <w:autoSpaceDN w:val="0"/>
        <w:spacing w:before="0" w:beforeLines="0" w:after="0" w:afterLines="0"/>
        <w:rPr>
          <w:highlight w:val="none"/>
        </w:rPr>
      </w:pPr>
      <w:bookmarkStart w:id="54" w:name="_Toc7520"/>
      <w:bookmarkStart w:id="55" w:name="_Toc25593"/>
      <w:bookmarkStart w:id="56" w:name="_Toc7999"/>
      <w:bookmarkStart w:id="57" w:name="_Toc749"/>
      <w:r>
        <w:rPr>
          <w:rFonts w:hint="eastAsia" w:ascii="Times New Roman"/>
          <w:highlight w:val="none"/>
        </w:rPr>
        <w:t>3.</w:t>
      </w:r>
      <w:bookmarkEnd w:id="54"/>
      <w:bookmarkEnd w:id="55"/>
      <w:bookmarkEnd w:id="56"/>
      <w:r>
        <w:rPr>
          <w:rFonts w:hint="eastAsia" w:ascii="Times New Roman"/>
          <w:highlight w:val="none"/>
          <w:lang w:val="en-US" w:eastAsia="zh-CN"/>
        </w:rPr>
        <w:t>5</w:t>
      </w:r>
      <w:r>
        <w:rPr>
          <w:rFonts w:ascii="Times New Roman"/>
          <w:highlight w:val="none"/>
        </w:rPr>
        <w:t>　</w:t>
      </w:r>
    </w:p>
    <w:bookmarkEnd w:id="57"/>
    <w:p w14:paraId="1A52BE97">
      <w:pPr>
        <w:pStyle w:val="59"/>
        <w:ind w:firstLine="420"/>
        <w:rPr>
          <w:rFonts w:ascii="Times New Roman" w:eastAsia="黑体"/>
          <w:highlight w:val="none"/>
        </w:rPr>
      </w:pPr>
      <w:r>
        <w:rPr>
          <w:rFonts w:hint="eastAsia" w:ascii="Times New Roman" w:eastAsia="黑体"/>
          <w:highlight w:val="none"/>
        </w:rPr>
        <w:t>无异味工厂 odorless factory</w:t>
      </w:r>
    </w:p>
    <w:p w14:paraId="73665DED">
      <w:pPr>
        <w:pStyle w:val="59"/>
        <w:ind w:firstLine="420"/>
        <w:rPr>
          <w:rFonts w:hint="eastAsia" w:ascii="Times New Roman"/>
          <w:highlight w:val="none"/>
        </w:rPr>
      </w:pPr>
      <w:r>
        <w:rPr>
          <w:rFonts w:hint="eastAsia" w:ascii="Times New Roman"/>
          <w:highlight w:val="none"/>
        </w:rPr>
        <w:t>通过源头削减、过程控制、末端治理、监测评估和长效管理，建立异味污染全过程管控体系，使异味源得到有效识别和控制，厂区、厂界及周边敏感目标异味影响得到有效防控，异味投诉得到及时响应和闭环处置，并持续改进异味污染治理绩效的工业企业。</w:t>
      </w:r>
    </w:p>
    <w:p w14:paraId="6585A0B2">
      <w:pPr>
        <w:pStyle w:val="107"/>
        <w:numPr>
          <w:ilvl w:val="1"/>
          <w:numId w:val="0"/>
        </w:numPr>
        <w:autoSpaceDE w:val="0"/>
        <w:autoSpaceDN w:val="0"/>
        <w:spacing w:before="0" w:beforeLines="0" w:after="0" w:afterLines="0"/>
        <w:rPr>
          <w:highlight w:val="none"/>
        </w:rPr>
      </w:pPr>
      <w:bookmarkStart w:id="58" w:name="_Toc1024"/>
      <w:bookmarkStart w:id="59" w:name="_Toc11702"/>
      <w:bookmarkStart w:id="60" w:name="_Toc31466"/>
      <w:r>
        <w:rPr>
          <w:rFonts w:hint="eastAsia" w:ascii="Times New Roman"/>
          <w:highlight w:val="none"/>
        </w:rPr>
        <w:t>3.</w:t>
      </w:r>
      <w:bookmarkEnd w:id="58"/>
      <w:bookmarkEnd w:id="59"/>
      <w:bookmarkEnd w:id="60"/>
      <w:r>
        <w:rPr>
          <w:rFonts w:hint="eastAsia" w:ascii="Times New Roman"/>
          <w:highlight w:val="none"/>
          <w:lang w:val="en-US" w:eastAsia="zh-CN"/>
        </w:rPr>
        <w:t>6</w:t>
      </w:r>
      <w:r>
        <w:rPr>
          <w:rFonts w:ascii="Times New Roman"/>
          <w:highlight w:val="none"/>
        </w:rPr>
        <w:t>　</w:t>
      </w:r>
    </w:p>
    <w:p w14:paraId="17C5C25C">
      <w:pPr>
        <w:pStyle w:val="59"/>
        <w:ind w:firstLine="420"/>
        <w:rPr>
          <w:rFonts w:ascii="Times New Roman" w:cs="黑体"/>
          <w:highlight w:val="none"/>
        </w:rPr>
      </w:pPr>
      <w:r>
        <w:rPr>
          <w:rFonts w:hint="eastAsia" w:ascii="Times New Roman" w:eastAsia="黑体"/>
          <w:highlight w:val="none"/>
        </w:rPr>
        <w:t>源头</w:t>
      </w:r>
      <w:r>
        <w:rPr>
          <w:rFonts w:hint="eastAsia" w:ascii="Times New Roman" w:eastAsia="黑体"/>
          <w:highlight w:val="none"/>
          <w:lang w:val="en-US" w:eastAsia="zh-CN"/>
        </w:rPr>
        <w:t>削减</w:t>
      </w:r>
      <w:r>
        <w:rPr>
          <w:rFonts w:ascii="Times New Roman" w:eastAsia="黑体"/>
          <w:highlight w:val="none"/>
        </w:rPr>
        <w:t>措施</w:t>
      </w:r>
      <w:r>
        <w:rPr>
          <w:rFonts w:hint="eastAsia" w:ascii="Times New Roman" w:eastAsia="黑体"/>
          <w:highlight w:val="none"/>
        </w:rPr>
        <w:t xml:space="preserve"> source control measures</w:t>
      </w:r>
    </w:p>
    <w:p w14:paraId="4C7BD2CB">
      <w:pPr>
        <w:pStyle w:val="233"/>
        <w:rPr>
          <w:rFonts w:ascii="Times New Roman" w:hAnsi="Times New Roman" w:cs="黑体"/>
          <w:szCs w:val="21"/>
          <w:highlight w:val="none"/>
        </w:rPr>
      </w:pPr>
      <w:r>
        <w:rPr>
          <w:rFonts w:hint="eastAsia" w:ascii="Times New Roman" w:hAnsi="Times New Roman"/>
          <w:szCs w:val="22"/>
          <w:highlight w:val="none"/>
        </w:rPr>
        <w:t>通过采用清洁原辅材料、优化工艺路线、改进设备或装置等方式，减少异味物质产生或降低异味产生强度的措施</w:t>
      </w:r>
      <w:r>
        <w:rPr>
          <w:rFonts w:hint="eastAsia" w:ascii="Times New Roman" w:hAnsi="Times New Roman" w:cs="黑体"/>
          <w:szCs w:val="21"/>
          <w:highlight w:val="none"/>
        </w:rPr>
        <w:t>。</w:t>
      </w:r>
    </w:p>
    <w:p w14:paraId="4552902F">
      <w:pPr>
        <w:pStyle w:val="107"/>
        <w:numPr>
          <w:ilvl w:val="1"/>
          <w:numId w:val="0"/>
        </w:numPr>
        <w:autoSpaceDE w:val="0"/>
        <w:autoSpaceDN w:val="0"/>
        <w:spacing w:before="0" w:beforeLines="0" w:after="0" w:afterLines="0"/>
        <w:rPr>
          <w:highlight w:val="none"/>
        </w:rPr>
      </w:pPr>
      <w:bookmarkStart w:id="61" w:name="_Toc25418"/>
      <w:bookmarkStart w:id="62" w:name="_Toc30514"/>
      <w:bookmarkStart w:id="63" w:name="_Toc5908"/>
      <w:r>
        <w:rPr>
          <w:rFonts w:hint="eastAsia" w:ascii="Times New Roman"/>
          <w:highlight w:val="none"/>
        </w:rPr>
        <w:t>3.</w:t>
      </w:r>
      <w:bookmarkEnd w:id="61"/>
      <w:bookmarkEnd w:id="62"/>
      <w:bookmarkEnd w:id="63"/>
      <w:r>
        <w:rPr>
          <w:rFonts w:hint="eastAsia" w:ascii="Times New Roman"/>
          <w:highlight w:val="none"/>
          <w:lang w:val="en-US" w:eastAsia="zh-CN"/>
        </w:rPr>
        <w:t>7</w:t>
      </w:r>
      <w:r>
        <w:rPr>
          <w:rFonts w:ascii="Times New Roman"/>
          <w:highlight w:val="none"/>
        </w:rPr>
        <w:t>　</w:t>
      </w:r>
    </w:p>
    <w:p w14:paraId="38C656C6">
      <w:pPr>
        <w:pStyle w:val="59"/>
        <w:ind w:firstLine="420"/>
        <w:rPr>
          <w:rFonts w:ascii="Times New Roman" w:eastAsia="黑体"/>
          <w:highlight w:val="none"/>
        </w:rPr>
      </w:pPr>
      <w:r>
        <w:rPr>
          <w:rFonts w:hint="eastAsia" w:ascii="Times New Roman" w:eastAsia="黑体"/>
          <w:highlight w:val="none"/>
        </w:rPr>
        <w:t>过程</w:t>
      </w:r>
      <w:r>
        <w:rPr>
          <w:rFonts w:hint="eastAsia" w:ascii="Times New Roman" w:eastAsia="黑体"/>
          <w:highlight w:val="none"/>
          <w:lang w:val="en-US" w:eastAsia="zh-CN"/>
        </w:rPr>
        <w:t>控制</w:t>
      </w:r>
      <w:r>
        <w:rPr>
          <w:rFonts w:ascii="Times New Roman" w:eastAsia="黑体"/>
          <w:highlight w:val="none"/>
        </w:rPr>
        <w:t>措施</w:t>
      </w:r>
      <w:r>
        <w:rPr>
          <w:rFonts w:hint="eastAsia" w:ascii="Times New Roman" w:eastAsia="黑体"/>
          <w:highlight w:val="none"/>
        </w:rPr>
        <w:t xml:space="preserve"> process control measures</w:t>
      </w:r>
    </w:p>
    <w:p w14:paraId="73479D1C">
      <w:pPr>
        <w:pStyle w:val="233"/>
        <w:rPr>
          <w:rFonts w:ascii="Times New Roman" w:hAnsi="Times New Roman" w:cs="黑体"/>
          <w:szCs w:val="21"/>
          <w:highlight w:val="none"/>
        </w:rPr>
      </w:pPr>
      <w:r>
        <w:rPr>
          <w:rFonts w:hint="eastAsia" w:ascii="Times New Roman"/>
          <w:highlight w:val="none"/>
        </w:rPr>
        <w:t>在生产、储存、装卸、转运、废水处理、固体废物和危险废物贮存等过程中，通过密闭、收集、负压控制、泄漏检测、清洁维护和规范操作等方式，减少异味物质逸散和无组织排放的措施。</w:t>
      </w:r>
    </w:p>
    <w:p w14:paraId="1D632220">
      <w:pPr>
        <w:pStyle w:val="107"/>
        <w:numPr>
          <w:ilvl w:val="1"/>
          <w:numId w:val="0"/>
        </w:numPr>
        <w:autoSpaceDE w:val="0"/>
        <w:autoSpaceDN w:val="0"/>
        <w:spacing w:before="0" w:beforeLines="0" w:after="0" w:afterLines="0"/>
        <w:rPr>
          <w:highlight w:val="none"/>
        </w:rPr>
      </w:pPr>
      <w:bookmarkStart w:id="64" w:name="_Toc11910"/>
      <w:bookmarkStart w:id="65" w:name="_Toc26819"/>
      <w:bookmarkStart w:id="66" w:name="_Toc26878"/>
      <w:r>
        <w:rPr>
          <w:rFonts w:hint="eastAsia" w:ascii="Times New Roman"/>
          <w:highlight w:val="none"/>
        </w:rPr>
        <w:t>3.</w:t>
      </w:r>
      <w:bookmarkEnd w:id="64"/>
      <w:bookmarkEnd w:id="65"/>
      <w:bookmarkEnd w:id="66"/>
      <w:r>
        <w:rPr>
          <w:rFonts w:hint="eastAsia" w:ascii="Times New Roman"/>
          <w:highlight w:val="none"/>
          <w:lang w:val="en-US" w:eastAsia="zh-CN"/>
        </w:rPr>
        <w:t>8</w:t>
      </w:r>
      <w:r>
        <w:rPr>
          <w:rFonts w:ascii="Times New Roman"/>
          <w:highlight w:val="none"/>
        </w:rPr>
        <w:t>　</w:t>
      </w:r>
    </w:p>
    <w:p w14:paraId="2D8865D7">
      <w:pPr>
        <w:pStyle w:val="59"/>
        <w:ind w:firstLine="420"/>
        <w:rPr>
          <w:rFonts w:ascii="Times New Roman" w:eastAsia="黑体"/>
          <w:highlight w:val="none"/>
        </w:rPr>
      </w:pPr>
      <w:bookmarkStart w:id="67" w:name="_Toc27814"/>
      <w:r>
        <w:rPr>
          <w:rFonts w:hint="eastAsia" w:ascii="Times New Roman" w:eastAsia="黑体"/>
          <w:highlight w:val="none"/>
        </w:rPr>
        <w:t>末端治理</w:t>
      </w:r>
      <w:r>
        <w:rPr>
          <w:rFonts w:ascii="Times New Roman" w:eastAsia="黑体"/>
          <w:highlight w:val="none"/>
        </w:rPr>
        <w:t>措施</w:t>
      </w:r>
      <w:r>
        <w:rPr>
          <w:rFonts w:hint="eastAsia" w:ascii="Times New Roman" w:eastAsia="黑体"/>
          <w:highlight w:val="none"/>
        </w:rPr>
        <w:t xml:space="preserve"> end-of-pipe treatment measures</w:t>
      </w:r>
    </w:p>
    <w:p w14:paraId="741E44DE">
      <w:pPr>
        <w:pStyle w:val="233"/>
        <w:rPr>
          <w:rFonts w:ascii="Times New Roman" w:hAnsi="Times New Roman"/>
          <w:szCs w:val="22"/>
          <w:highlight w:val="none"/>
        </w:rPr>
      </w:pPr>
      <w:r>
        <w:rPr>
          <w:rFonts w:hint="eastAsia" w:ascii="Times New Roman"/>
          <w:highlight w:val="none"/>
        </w:rPr>
        <w:t>对已产生并收集的含异味物质废气，在排放前采用物理、化学、生物或组合工艺进行净化处理，以降低其异味影响、污染物浓度或排放强度的措施。</w:t>
      </w:r>
      <w:bookmarkEnd w:id="67"/>
    </w:p>
    <w:p w14:paraId="4844DBEE">
      <w:pPr>
        <w:pStyle w:val="107"/>
        <w:numPr>
          <w:ilvl w:val="1"/>
          <w:numId w:val="0"/>
        </w:numPr>
        <w:autoSpaceDE w:val="0"/>
        <w:autoSpaceDN w:val="0"/>
        <w:spacing w:before="0" w:beforeLines="0" w:after="0" w:afterLines="0"/>
        <w:rPr>
          <w:highlight w:val="none"/>
        </w:rPr>
      </w:pPr>
      <w:bookmarkStart w:id="68" w:name="_Toc4252"/>
      <w:bookmarkStart w:id="69" w:name="_Toc7631"/>
      <w:bookmarkStart w:id="70" w:name="_Toc4850"/>
      <w:bookmarkStart w:id="71" w:name="_Toc26389"/>
      <w:r>
        <w:rPr>
          <w:rFonts w:hint="eastAsia" w:ascii="Times New Roman"/>
          <w:highlight w:val="none"/>
        </w:rPr>
        <w:t>3.</w:t>
      </w:r>
      <w:bookmarkEnd w:id="68"/>
      <w:bookmarkEnd w:id="69"/>
      <w:bookmarkEnd w:id="70"/>
      <w:r>
        <w:rPr>
          <w:rFonts w:hint="eastAsia" w:ascii="Times New Roman"/>
          <w:highlight w:val="none"/>
          <w:lang w:val="en-US" w:eastAsia="zh-CN"/>
        </w:rPr>
        <w:t>9</w:t>
      </w:r>
      <w:r>
        <w:rPr>
          <w:rFonts w:ascii="Times New Roman"/>
          <w:highlight w:val="none"/>
        </w:rPr>
        <w:t>　</w:t>
      </w:r>
    </w:p>
    <w:p w14:paraId="2632181D">
      <w:pPr>
        <w:pStyle w:val="59"/>
        <w:ind w:firstLine="420"/>
        <w:rPr>
          <w:rFonts w:ascii="Times New Roman" w:eastAsia="黑体"/>
          <w:highlight w:val="none"/>
        </w:rPr>
      </w:pPr>
      <w:r>
        <w:rPr>
          <w:rFonts w:hint="eastAsia" w:ascii="Times New Roman" w:eastAsia="黑体"/>
          <w:highlight w:val="none"/>
        </w:rPr>
        <w:t>敏感目标 sensitive receptor</w:t>
      </w:r>
    </w:p>
    <w:p w14:paraId="5DCAC271">
      <w:pPr>
        <w:pStyle w:val="233"/>
        <w:rPr>
          <w:rFonts w:ascii="Times New Roman" w:hAnsi="Times New Roman"/>
          <w:highlight w:val="none"/>
        </w:rPr>
      </w:pPr>
      <w:r>
        <w:rPr>
          <w:rFonts w:hint="eastAsia" w:ascii="Times New Roman" w:cs="黑体"/>
          <w:szCs w:val="21"/>
          <w:highlight w:val="none"/>
        </w:rPr>
        <w:t>指居住区、学校、医院、养老院、行政办公区等对异味影响较为敏感的人群集中区域或环境保护目标</w:t>
      </w:r>
      <w:bookmarkEnd w:id="71"/>
      <w:r>
        <w:rPr>
          <w:rFonts w:ascii="Times New Roman" w:hAnsi="Times New Roman"/>
          <w:highlight w:val="none"/>
        </w:rPr>
        <w:t>。</w:t>
      </w:r>
    </w:p>
    <w:p w14:paraId="46926475">
      <w:pPr>
        <w:pStyle w:val="107"/>
        <w:numPr>
          <w:ilvl w:val="1"/>
          <w:numId w:val="0"/>
        </w:numPr>
        <w:autoSpaceDE w:val="0"/>
        <w:autoSpaceDN w:val="0"/>
        <w:spacing w:before="0" w:beforeLines="0" w:after="0" w:afterLines="0"/>
        <w:rPr>
          <w:highlight w:val="none"/>
        </w:rPr>
      </w:pPr>
      <w:bookmarkStart w:id="72" w:name="_Toc17731"/>
      <w:bookmarkStart w:id="73" w:name="_Toc705"/>
      <w:bookmarkStart w:id="74" w:name="_Toc7414"/>
      <w:bookmarkStart w:id="75" w:name="_Toc552"/>
      <w:r>
        <w:rPr>
          <w:rFonts w:hint="eastAsia" w:ascii="Times New Roman"/>
          <w:highlight w:val="none"/>
        </w:rPr>
        <w:t>3.</w:t>
      </w:r>
      <w:bookmarkEnd w:id="72"/>
      <w:bookmarkEnd w:id="73"/>
      <w:bookmarkEnd w:id="74"/>
      <w:r>
        <w:rPr>
          <w:rFonts w:hint="eastAsia" w:ascii="Times New Roman"/>
          <w:highlight w:val="none"/>
          <w:lang w:val="en-US" w:eastAsia="zh-CN"/>
        </w:rPr>
        <w:t>10</w:t>
      </w:r>
      <w:r>
        <w:rPr>
          <w:rFonts w:ascii="Times New Roman"/>
          <w:highlight w:val="none"/>
        </w:rPr>
        <w:t>　</w:t>
      </w:r>
    </w:p>
    <w:p w14:paraId="1162B4E9">
      <w:pPr>
        <w:pStyle w:val="59"/>
        <w:ind w:firstLine="420"/>
        <w:rPr>
          <w:rFonts w:ascii="Times New Roman" w:eastAsia="黑体"/>
          <w:highlight w:val="none"/>
        </w:rPr>
      </w:pPr>
      <w:r>
        <w:rPr>
          <w:rFonts w:hint="eastAsia" w:ascii="Times New Roman" w:eastAsia="黑体"/>
          <w:highlight w:val="none"/>
        </w:rPr>
        <w:t>异味管理计划 odor management plan (OMP)</w:t>
      </w:r>
      <w:bookmarkEnd w:id="75"/>
    </w:p>
    <w:p w14:paraId="12C304F8">
      <w:pPr>
        <w:pStyle w:val="233"/>
        <w:rPr>
          <w:rFonts w:ascii="Times New Roman" w:hAnsi="Times New Roman"/>
          <w:highlight w:val="none"/>
        </w:rPr>
      </w:pPr>
      <w:r>
        <w:rPr>
          <w:rFonts w:hint="eastAsia" w:ascii="Times New Roman" w:hAnsi="Times New Roman"/>
          <w:highlight w:val="none"/>
        </w:rPr>
        <w:t>工厂为有效防控异味污染，基于风险思维和全过程控制理念制定的涵盖异味源识别、风险分级、控制措施、监测评估、异常工况管理、投诉响应、公众沟通及持续改进等内容的动态管理文件</w:t>
      </w:r>
      <w:r>
        <w:rPr>
          <w:rFonts w:ascii="Times New Roman" w:hAnsi="Times New Roman"/>
          <w:highlight w:val="none"/>
        </w:rPr>
        <w:t>。</w:t>
      </w:r>
    </w:p>
    <w:p w14:paraId="5EA26C05">
      <w:pPr>
        <w:pStyle w:val="107"/>
        <w:numPr>
          <w:ilvl w:val="1"/>
          <w:numId w:val="0"/>
        </w:numPr>
        <w:autoSpaceDE w:val="0"/>
        <w:autoSpaceDN w:val="0"/>
        <w:spacing w:before="0" w:beforeLines="0" w:after="0" w:afterLines="0"/>
        <w:rPr>
          <w:highlight w:val="none"/>
        </w:rPr>
      </w:pPr>
      <w:bookmarkStart w:id="76" w:name="_Toc119"/>
      <w:bookmarkStart w:id="77" w:name="_Toc25525"/>
      <w:bookmarkStart w:id="78" w:name="_Toc5540"/>
      <w:r>
        <w:rPr>
          <w:rFonts w:hint="eastAsia" w:ascii="Times New Roman"/>
          <w:highlight w:val="none"/>
        </w:rPr>
        <w:t>3.</w:t>
      </w:r>
      <w:bookmarkEnd w:id="76"/>
      <w:bookmarkEnd w:id="77"/>
      <w:bookmarkEnd w:id="78"/>
      <w:r>
        <w:rPr>
          <w:rFonts w:hint="eastAsia" w:ascii="Times New Roman"/>
          <w:highlight w:val="none"/>
        </w:rPr>
        <w:t>1</w:t>
      </w:r>
      <w:r>
        <w:rPr>
          <w:rFonts w:hint="eastAsia" w:ascii="Times New Roman"/>
          <w:highlight w:val="none"/>
          <w:lang w:val="en-US" w:eastAsia="zh-CN"/>
        </w:rPr>
        <w:t>1</w:t>
      </w:r>
      <w:r>
        <w:rPr>
          <w:rFonts w:ascii="Times New Roman"/>
          <w:highlight w:val="none"/>
        </w:rPr>
        <w:t>　</w:t>
      </w:r>
    </w:p>
    <w:p w14:paraId="71B9230B">
      <w:pPr>
        <w:pStyle w:val="233"/>
        <w:rPr>
          <w:rFonts w:hint="eastAsia" w:ascii="Times New Roman" w:hAnsi="Times New Roman" w:cs="黑体"/>
          <w:szCs w:val="21"/>
          <w:highlight w:val="none"/>
        </w:rPr>
      </w:pPr>
      <w:r>
        <w:rPr>
          <w:rFonts w:hint="eastAsia" w:ascii="Times New Roman" w:eastAsia="黑体"/>
          <w:highlight w:val="none"/>
        </w:rPr>
        <w:t>污染防治可行技术</w:t>
      </w:r>
      <w:r>
        <w:rPr>
          <w:rFonts w:hint="eastAsia" w:ascii="Times New Roman" w:eastAsia="黑体"/>
          <w:highlight w:val="none"/>
          <w:lang w:val="en-US" w:eastAsia="zh-CN"/>
        </w:rPr>
        <w:t xml:space="preserve"> </w:t>
      </w:r>
      <w:r>
        <w:rPr>
          <w:rFonts w:hint="eastAsia" w:ascii="Times New Roman" w:hAnsi="Times New Roman" w:cs="黑体"/>
          <w:szCs w:val="21"/>
          <w:highlight w:val="none"/>
        </w:rPr>
        <w:t>available</w:t>
      </w:r>
      <w:r>
        <w:rPr>
          <w:rFonts w:hint="eastAsia" w:ascii="Times New Roman" w:hAnsi="Times New Roman" w:cs="黑体"/>
          <w:szCs w:val="21"/>
          <w:highlight w:val="none"/>
          <w:lang w:val="en-US" w:eastAsia="zh-CN"/>
        </w:rPr>
        <w:t xml:space="preserve"> </w:t>
      </w:r>
      <w:r>
        <w:rPr>
          <w:rFonts w:hint="eastAsia" w:ascii="Times New Roman" w:hAnsi="Times New Roman" w:cs="黑体"/>
          <w:szCs w:val="21"/>
          <w:highlight w:val="none"/>
        </w:rPr>
        <w:t>techni</w:t>
      </w:r>
      <w:r>
        <w:rPr>
          <w:rFonts w:hint="eastAsia" w:ascii="Times New Roman" w:hAnsi="Times New Roman" w:cs="黑体"/>
          <w:szCs w:val="21"/>
          <w:highlight w:val="none"/>
          <w:lang w:val="en-US" w:eastAsia="zh-CN"/>
        </w:rPr>
        <w:t>qu</w:t>
      </w:r>
      <w:r>
        <w:rPr>
          <w:rFonts w:hint="eastAsia" w:ascii="Times New Roman" w:hAnsi="Times New Roman" w:cs="黑体"/>
          <w:szCs w:val="21"/>
          <w:highlight w:val="none"/>
        </w:rPr>
        <w:t>es of pollution prevention and control</w:t>
      </w:r>
    </w:p>
    <w:p w14:paraId="724A1079">
      <w:pPr>
        <w:pStyle w:val="233"/>
        <w:rPr>
          <w:rFonts w:hint="eastAsia" w:ascii="Times New Roman" w:hAnsi="Times New Roman" w:cs="黑体"/>
          <w:szCs w:val="21"/>
          <w:highlight w:val="none"/>
        </w:rPr>
      </w:pPr>
      <w:r>
        <w:rPr>
          <w:rFonts w:hint="eastAsia" w:ascii="Times New Roman" w:hAnsi="Times New Roman" w:cs="黑体"/>
          <w:szCs w:val="21"/>
          <w:highlight w:val="none"/>
        </w:rPr>
        <w:t>根据我国一定时期内环境需求和经济水平，在污染防治过程中综合采用污染预防技术、污染治理技术和环境管理措施，使污染物排放稳定达到国家污染物排放标准、规模应用的技术。</w:t>
      </w:r>
    </w:p>
    <w:p w14:paraId="6A4586A3">
      <w:pPr>
        <w:pStyle w:val="233"/>
        <w:rPr>
          <w:rFonts w:hint="eastAsia" w:ascii="Times New Roman" w:hAnsi="Times New Roman" w:cs="黑体"/>
          <w:szCs w:val="21"/>
          <w:highlight w:val="none"/>
        </w:rPr>
      </w:pPr>
      <w:r>
        <w:rPr>
          <w:rFonts w:hint="eastAsia" w:ascii="Times New Roman" w:hAnsi="Times New Roman" w:cs="黑体"/>
          <w:szCs w:val="21"/>
          <w:highlight w:val="none"/>
        </w:rPr>
        <w:t>[来源：</w:t>
      </w:r>
      <w:r>
        <w:rPr>
          <w:rFonts w:hint="eastAsia" w:ascii="Times New Roman" w:hAnsi="Times New Roman" w:cs="黑体"/>
          <w:szCs w:val="21"/>
          <w:highlight w:val="none"/>
          <w:lang w:val="en-US" w:eastAsia="zh-CN"/>
        </w:rPr>
        <w:t>HJ 2300</w:t>
      </w:r>
      <w:r>
        <w:rPr>
          <w:rFonts w:hint="eastAsia" w:ascii="Times New Roman" w:hAnsi="Times New Roman" w:cs="黑体"/>
          <w:szCs w:val="21"/>
          <w:highlight w:val="none"/>
        </w:rPr>
        <w:t>]</w:t>
      </w:r>
    </w:p>
    <w:p w14:paraId="1EA37B08">
      <w:pPr>
        <w:pStyle w:val="107"/>
        <w:numPr>
          <w:ilvl w:val="1"/>
          <w:numId w:val="0"/>
        </w:numPr>
        <w:spacing w:before="312" w:after="312"/>
        <w:ind w:left="0"/>
        <w:rPr>
          <w:highlight w:val="none"/>
        </w:rPr>
      </w:pPr>
      <w:bookmarkStart w:id="79" w:name="_Toc5655"/>
      <w:bookmarkStart w:id="80" w:name="_Toc55409476"/>
      <w:r>
        <w:rPr>
          <w:rFonts w:hint="default" w:ascii="Times New Roman" w:hAnsi="Times New Roman" w:eastAsia="黑体" w:cs="Times New Roman"/>
          <w:b w:val="0"/>
          <w:i w:val="0"/>
          <w:sz w:val="21"/>
          <w:highlight w:val="none"/>
          <w:lang w:val="en-US" w:eastAsia="zh-CN" w:bidi="ar-SA"/>
        </w:rPr>
        <w:t>4　</w:t>
      </w:r>
      <w:r>
        <w:rPr>
          <w:rFonts w:hint="eastAsia"/>
          <w:highlight w:val="none"/>
        </w:rPr>
        <w:t>总体要求</w:t>
      </w:r>
      <w:bookmarkEnd w:id="79"/>
      <w:bookmarkEnd w:id="80"/>
    </w:p>
    <w:p w14:paraId="00B39E27">
      <w:pPr>
        <w:pStyle w:val="108"/>
        <w:spacing w:before="156" w:after="156"/>
        <w:rPr>
          <w:highlight w:val="none"/>
        </w:rPr>
      </w:pPr>
      <w:r>
        <w:rPr>
          <w:rFonts w:hint="eastAsia"/>
          <w:highlight w:val="none"/>
        </w:rPr>
        <w:t>4.1　</w:t>
      </w:r>
      <w:r>
        <w:rPr>
          <w:rFonts w:hint="eastAsia"/>
          <w:highlight w:val="none"/>
          <w:lang w:val="en-US" w:eastAsia="zh-CN"/>
        </w:rPr>
        <w:t>基本</w:t>
      </w:r>
      <w:r>
        <w:rPr>
          <w:rFonts w:hint="eastAsia"/>
          <w:highlight w:val="none"/>
        </w:rPr>
        <w:t>要求</w:t>
      </w:r>
    </w:p>
    <w:p w14:paraId="76B70164">
      <w:pPr>
        <w:pStyle w:val="68"/>
        <w:numPr>
          <w:ilvl w:val="3"/>
          <w:numId w:val="0"/>
        </w:numPr>
        <w:spacing w:before="0" w:beforeLines="0" w:after="0" w:afterLines="0"/>
        <w:rPr>
          <w:rFonts w:hint="eastAsia" w:asci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.1.1　</w:t>
      </w:r>
      <w:r>
        <w:rPr>
          <w:rFonts w:hint="eastAsia" w:ascii="Times New Roman" w:hAnsi="Times New Roman" w:eastAsia="宋体" w:cs="黑体"/>
          <w:b w:val="0"/>
          <w:i w:val="0"/>
          <w:sz w:val="21"/>
          <w:szCs w:val="21"/>
          <w:highlight w:val="none"/>
          <w:lang w:val="en-US" w:eastAsia="zh-CN" w:bidi="ar-SA"/>
        </w:rPr>
        <w:t>工厂近3年内应未发生重大环境污染事故、生产安全事故或因异味问题引发的重大社会影响事件</w:t>
      </w:r>
      <w:r>
        <w:rPr>
          <w:rFonts w:hint="eastAsia" w:ascii="Times New Roman" w:eastAsia="宋体" w:cs="黑体"/>
          <w:b w:val="0"/>
          <w:i w:val="0"/>
          <w:sz w:val="21"/>
          <w:szCs w:val="21"/>
          <w:highlight w:val="none"/>
          <w:lang w:val="en-US" w:eastAsia="zh-CN" w:bidi="ar-SA"/>
        </w:rPr>
        <w:t>。</w:t>
      </w:r>
      <w:r>
        <w:rPr>
          <w:rFonts w:hint="eastAsia" w:ascii="Times New Roman" w:hAnsi="Times New Roman" w:eastAsia="宋体" w:cs="黑体"/>
          <w:b w:val="0"/>
          <w:i w:val="0"/>
          <w:sz w:val="21"/>
          <w:szCs w:val="21"/>
          <w:highlight w:val="none"/>
          <w:lang w:val="en-US" w:eastAsia="zh-CN" w:bidi="ar-SA"/>
        </w:rPr>
        <w:t>近3年内未受到重大涉异味生态环境行政处罚，或涉异味生态环境行政处罚事项已依法整改完成且近1年内未再次发生涉异味行政处罚</w:t>
      </w:r>
      <w:r>
        <w:rPr>
          <w:rFonts w:hint="eastAsia" w:ascii="Times New Roman" w:eastAsia="宋体" w:cs="黑体"/>
          <w:b w:val="0"/>
          <w:i w:val="0"/>
          <w:sz w:val="21"/>
          <w:szCs w:val="21"/>
          <w:highlight w:val="none"/>
          <w:lang w:val="en-US" w:eastAsia="zh-CN" w:bidi="ar-SA"/>
        </w:rPr>
        <w:t>。</w:t>
      </w:r>
    </w:p>
    <w:p w14:paraId="52ABE9D6">
      <w:pPr>
        <w:pStyle w:val="68"/>
        <w:numPr>
          <w:ilvl w:val="3"/>
          <w:numId w:val="0"/>
        </w:numPr>
        <w:spacing w:before="0" w:beforeLines="0" w:after="0" w:afterLines="0"/>
        <w:rPr>
          <w:rFonts w:hint="eastAsia" w:asci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.1.</w:t>
      </w:r>
      <w:r>
        <w:rPr>
          <w:rFonts w:hint="eastAsia" w:hAnsi="黑体" w:cs="黑体"/>
          <w:b w:val="0"/>
          <w:i w:val="0"/>
          <w:sz w:val="21"/>
          <w:highlight w:val="none"/>
          <w:lang w:val="en-US" w:eastAsia="zh-CN" w:bidi="ar-SA"/>
        </w:rPr>
        <w:t>2</w:t>
      </w:r>
      <w:r>
        <w:rPr>
          <w:rFonts w:hint="default" w:ascii="黑体" w:hAnsi="黑体" w:eastAsia="黑体" w:cs="黑体"/>
          <w:b w:val="0"/>
          <w:i w:val="0"/>
          <w:sz w:val="21"/>
          <w:highlight w:val="none"/>
          <w:lang w:val="en-US" w:eastAsia="zh-CN" w:bidi="ar-SA"/>
        </w:rPr>
        <w:t>　</w:t>
      </w:r>
      <w:r>
        <w:rPr>
          <w:rFonts w:hint="eastAsia" w:ascii="Times New Roman" w:eastAsia="宋体" w:cs="黑体"/>
          <w:b w:val="0"/>
          <w:i w:val="0"/>
          <w:sz w:val="21"/>
          <w:szCs w:val="21"/>
          <w:highlight w:val="none"/>
          <w:lang w:val="en-US" w:eastAsia="zh-CN" w:bidi="ar-SA"/>
        </w:rPr>
        <w:t>工厂的选址应符合当地国土空间规划及生态环境分区管控要求。厂区内部应实施严格的功能分区，生产区、储存区与办公生活区有明显的物理隔离且布局合理，异味源对内部敏感点不应产生明显异味影响。</w:t>
      </w:r>
    </w:p>
    <w:p w14:paraId="0FE6B9D0">
      <w:pPr>
        <w:pStyle w:val="68"/>
        <w:numPr>
          <w:ilvl w:val="3"/>
          <w:numId w:val="0"/>
        </w:numPr>
        <w:spacing w:before="0" w:beforeLines="0" w:after="0" w:afterLines="0"/>
        <w:rPr>
          <w:rFonts w:hint="eastAsia" w:asci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.1.</w:t>
      </w:r>
      <w:r>
        <w:rPr>
          <w:rFonts w:hint="eastAsia" w:hAnsi="黑体" w:cs="黑体"/>
          <w:b w:val="0"/>
          <w:i w:val="0"/>
          <w:sz w:val="21"/>
          <w:highlight w:val="none"/>
          <w:lang w:val="en-US" w:eastAsia="zh-CN" w:bidi="ar-SA"/>
        </w:rPr>
        <w:t>3</w:t>
      </w:r>
      <w:r>
        <w:rPr>
          <w:rFonts w:hint="default" w:ascii="黑体" w:hAnsi="黑体" w:eastAsia="黑体" w:cs="黑体"/>
          <w:b w:val="0"/>
          <w:i w:val="0"/>
          <w:sz w:val="21"/>
          <w:highlight w:val="none"/>
          <w:lang w:val="en-US" w:eastAsia="zh-CN" w:bidi="ar-SA"/>
        </w:rPr>
        <w:t>　</w:t>
      </w:r>
      <w:r>
        <w:rPr>
          <w:rFonts w:hint="eastAsia" w:ascii="Times New Roman" w:eastAsia="宋体" w:cs="黑体"/>
          <w:b w:val="0"/>
          <w:i w:val="0"/>
          <w:sz w:val="21"/>
          <w:szCs w:val="21"/>
          <w:highlight w:val="none"/>
          <w:lang w:val="en-US" w:eastAsia="zh-CN" w:bidi="ar-SA"/>
        </w:rPr>
        <w:t>工厂应采用符合行业发展方向的清洁生产技术、工艺和装备。涉及异味物质产生、使用、储存、转运、处理处置等环节的设施或作业活动，宜优先采用密闭化、连续化、自动化或低逸散方式，减少异味物质产生和逸散。</w:t>
      </w:r>
    </w:p>
    <w:p w14:paraId="017DD0A5">
      <w:pPr>
        <w:pStyle w:val="68"/>
        <w:numPr>
          <w:ilvl w:val="3"/>
          <w:numId w:val="0"/>
        </w:numPr>
        <w:spacing w:before="0" w:beforeLines="0" w:after="0" w:afterLines="0"/>
        <w:rPr>
          <w:rFonts w:hint="eastAsia" w:ascii="Times New Roman" w:hAns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.1.</w:t>
      </w: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　</w:t>
      </w:r>
      <w:r>
        <w:rPr>
          <w:rFonts w:hint="eastAsia" w:ascii="宋体" w:hAnsi="宋体" w:eastAsia="宋体" w:cs="宋体"/>
          <w:b w:val="0"/>
          <w:i w:val="0"/>
          <w:sz w:val="21"/>
          <w:highlight w:val="none"/>
          <w:lang w:val="en-US" w:eastAsia="zh-CN" w:bidi="ar-SA"/>
        </w:rPr>
        <w:t>工厂</w:t>
      </w:r>
      <w:r>
        <w:rPr>
          <w:rFonts w:hint="eastAsia" w:ascii="Times New Roman" w:eastAsia="宋体" w:cs="黑体"/>
          <w:b w:val="0"/>
          <w:i w:val="0"/>
          <w:sz w:val="21"/>
          <w:szCs w:val="21"/>
          <w:highlight w:val="none"/>
          <w:lang w:val="en-US" w:eastAsia="zh-CN" w:bidi="ar-SA"/>
        </w:rPr>
        <w:t>应</w:t>
      </w:r>
      <w:r>
        <w:rPr>
          <w:rFonts w:hint="eastAsia" w:ascii="Times New Roman" w:hAnsi="Times New Roman" w:eastAsia="宋体" w:cs="黑体"/>
          <w:b w:val="0"/>
          <w:i w:val="0"/>
          <w:sz w:val="21"/>
          <w:szCs w:val="21"/>
          <w:highlight w:val="none"/>
          <w:lang w:val="en-US" w:eastAsia="zh-CN" w:bidi="ar-SA"/>
        </w:rPr>
        <w:t>建立与其异味污染风险和管理需求相适应的环境管理制度或环境管理体系，并设有专门的环保管理机构或明确的环保管理岗位</w:t>
      </w:r>
      <w:r>
        <w:rPr>
          <w:rFonts w:hint="eastAsia" w:ascii="Times New Roman" w:eastAsia="宋体" w:cs="黑体"/>
          <w:b w:val="0"/>
          <w:i w:val="0"/>
          <w:sz w:val="21"/>
          <w:szCs w:val="21"/>
          <w:highlight w:val="none"/>
          <w:lang w:val="en-US" w:eastAsia="zh-CN" w:bidi="ar-SA"/>
        </w:rPr>
        <w:t>，应</w:t>
      </w:r>
      <w:r>
        <w:rPr>
          <w:rFonts w:hint="eastAsia" w:ascii="Times New Roman" w:hAnsi="Times New Roman" w:eastAsia="宋体" w:cs="黑体"/>
          <w:b w:val="0"/>
          <w:i w:val="0"/>
          <w:sz w:val="21"/>
          <w:szCs w:val="21"/>
          <w:highlight w:val="none"/>
          <w:lang w:val="en-US" w:eastAsia="zh-CN" w:bidi="ar-SA"/>
        </w:rPr>
        <w:t>具备编制和执行异味管理计划（OMP）的组织能力和资源保障，将OMP纳入企业日常环境管理体系，落实企业异味污染防治主体责任。</w:t>
      </w:r>
    </w:p>
    <w:p w14:paraId="6B994899">
      <w:pPr>
        <w:pStyle w:val="68"/>
        <w:numPr>
          <w:ilvl w:val="3"/>
          <w:numId w:val="0"/>
        </w:numPr>
        <w:spacing w:beforeLines="0" w:afterLines="0"/>
        <w:rPr>
          <w:rFonts w:hint="eastAsi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.1.</w:t>
      </w:r>
      <w:r>
        <w:rPr>
          <w:rFonts w:hint="eastAsia" w:hAnsi="黑体" w:cs="黑体"/>
          <w:b w:val="0"/>
          <w:i w:val="0"/>
          <w:sz w:val="21"/>
          <w:highlight w:val="none"/>
          <w:lang w:val="en-US" w:eastAsia="zh-CN" w:bidi="ar-SA"/>
        </w:rPr>
        <w:t>5</w:t>
      </w:r>
      <w:r>
        <w:rPr>
          <w:rFonts w:hint="default" w:ascii="黑体" w:hAnsi="黑体" w:eastAsia="黑体" w:cs="黑体"/>
          <w:b w:val="0"/>
          <w:i w:val="0"/>
          <w:sz w:val="21"/>
          <w:highlight w:val="none"/>
          <w:lang w:val="en-US" w:eastAsia="zh-CN" w:bidi="ar-SA"/>
        </w:rPr>
        <w:t>　</w:t>
      </w:r>
      <w:r>
        <w:rPr>
          <w:rFonts w:hint="eastAsia" w:ascii="Times New Roman" w:hAnsi="Times New Roman" w:eastAsia="宋体" w:cs="黑体"/>
          <w:b w:val="0"/>
          <w:i w:val="0"/>
          <w:sz w:val="21"/>
          <w:szCs w:val="21"/>
          <w:highlight w:val="none"/>
          <w:lang w:val="en-US" w:eastAsia="zh-CN" w:bidi="ar-SA"/>
        </w:rPr>
        <w:t>工厂</w:t>
      </w:r>
      <w:r>
        <w:rPr>
          <w:rFonts w:hint="eastAsia" w:ascii="Times New Roman" w:eastAsia="宋体" w:cs="黑体"/>
          <w:b w:val="0"/>
          <w:i w:val="0"/>
          <w:sz w:val="21"/>
          <w:szCs w:val="21"/>
          <w:highlight w:val="none"/>
          <w:lang w:val="en-US" w:eastAsia="zh-CN" w:bidi="ar-SA"/>
        </w:rPr>
        <w:t>应具有</w:t>
      </w:r>
      <w:r>
        <w:rPr>
          <w:rFonts w:hint="eastAsia" w:ascii="Times New Roman" w:hAnsi="Times New Roman" w:eastAsia="宋体" w:cs="黑体"/>
          <w:b w:val="0"/>
          <w:i w:val="0"/>
          <w:sz w:val="21"/>
          <w:szCs w:val="21"/>
          <w:highlight w:val="none"/>
          <w:lang w:val="en-US" w:eastAsia="zh-CN" w:bidi="ar-SA"/>
        </w:rPr>
        <w:t>与其异味排放特征相适应的自行监测能力或委托监测机制，重点异味源、主要异味排放口、厂界及周边敏感目标应纳入监测或巡查范围。重点涉异味排放源宜配备工况监控、运行参数记录或异常报警设施；具备条件的工厂可建设在线监测或预警设施，监测数据按有关法律法规要求与生态环境部门联网。</w:t>
      </w:r>
    </w:p>
    <w:p w14:paraId="0FA56418">
      <w:pPr>
        <w:pStyle w:val="108"/>
        <w:spacing w:before="156" w:after="156"/>
        <w:rPr>
          <w:rFonts w:hint="eastAsia"/>
          <w:highlight w:val="none"/>
        </w:rPr>
      </w:pPr>
      <w:r>
        <w:rPr>
          <w:rFonts w:hint="eastAsia"/>
          <w:highlight w:val="none"/>
        </w:rPr>
        <w:t>4.2　</w:t>
      </w:r>
      <w:r>
        <w:rPr>
          <w:rFonts w:hint="eastAsia"/>
          <w:highlight w:val="none"/>
          <w:lang w:val="en-US" w:eastAsia="zh-CN"/>
        </w:rPr>
        <w:t>创建</w:t>
      </w:r>
      <w:r>
        <w:rPr>
          <w:rFonts w:hint="eastAsia"/>
          <w:highlight w:val="none"/>
        </w:rPr>
        <w:t>原则</w:t>
      </w:r>
    </w:p>
    <w:p w14:paraId="476F2DA8">
      <w:pPr>
        <w:pStyle w:val="68"/>
        <w:numPr>
          <w:ilvl w:val="3"/>
          <w:numId w:val="0"/>
        </w:numPr>
        <w:spacing w:before="0" w:beforeLines="0" w:after="0" w:afterLines="0"/>
        <w:rPr>
          <w:rFonts w:hint="default" w:asci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2</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1</w:t>
      </w:r>
      <w:r>
        <w:rPr>
          <w:rFonts w:hint="default" w:ascii="黑体" w:hAnsi="黑体" w:eastAsia="黑体" w:cs="黑体"/>
          <w:b w:val="0"/>
          <w:i w:val="0"/>
          <w:sz w:val="21"/>
          <w:highlight w:val="none"/>
          <w:lang w:val="en-US" w:eastAsia="zh-CN" w:bidi="ar-SA"/>
        </w:rPr>
        <w:t>　</w:t>
      </w:r>
      <w:r>
        <w:rPr>
          <w:rFonts w:hint="eastAsia" w:ascii="Times New Roman" w:eastAsia="宋体" w:cs="黑体"/>
          <w:b w:val="0"/>
          <w:i w:val="0"/>
          <w:sz w:val="21"/>
          <w:szCs w:val="21"/>
          <w:highlight w:val="none"/>
          <w:lang w:val="en-US" w:eastAsia="zh-CN" w:bidi="ar-SA"/>
        </w:rPr>
        <w:t>源头优先，全过程控制。以清洁生产和前端减量为核心，通过原辅材料替代、装备升级和密闭化改造减少异味产生与逸散，实现从源头削减、过程控制到末端治理的全过程闭环管理。</w:t>
      </w:r>
    </w:p>
    <w:p w14:paraId="1D7E0978">
      <w:pPr>
        <w:pStyle w:val="68"/>
        <w:numPr>
          <w:ilvl w:val="3"/>
          <w:numId w:val="0"/>
        </w:numPr>
        <w:spacing w:before="0" w:beforeLines="0" w:after="0" w:afterLines="0"/>
        <w:rPr>
          <w:rFonts w:hint="eastAsia" w:asci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2</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2</w:t>
      </w:r>
      <w:r>
        <w:rPr>
          <w:rFonts w:hint="default" w:ascii="黑体" w:hAnsi="黑体" w:eastAsia="黑体" w:cs="黑体"/>
          <w:b w:val="0"/>
          <w:i w:val="0"/>
          <w:sz w:val="21"/>
          <w:highlight w:val="none"/>
          <w:lang w:val="en-US" w:eastAsia="zh-CN" w:bidi="ar-SA"/>
        </w:rPr>
        <w:t>　</w:t>
      </w:r>
      <w:r>
        <w:rPr>
          <w:rFonts w:hint="eastAsia" w:ascii="Times New Roman" w:eastAsia="宋体" w:cs="黑体"/>
          <w:b w:val="0"/>
          <w:i w:val="0"/>
          <w:sz w:val="21"/>
          <w:szCs w:val="21"/>
          <w:highlight w:val="none"/>
          <w:lang w:val="en-US" w:eastAsia="zh-CN" w:bidi="ar-SA"/>
        </w:rPr>
        <w:t>技管并重，长效化运行。在合理选择并稳定运行适用的异味污染防治技术和设施的同时，建立健全相关制度，强化设施运维、人员培训和精细化管控，确保治理效果长期稳定。</w:t>
      </w:r>
    </w:p>
    <w:p w14:paraId="4687EE70">
      <w:pPr>
        <w:pStyle w:val="68"/>
        <w:numPr>
          <w:ilvl w:val="3"/>
          <w:numId w:val="0"/>
        </w:numPr>
        <w:spacing w:before="0" w:beforeLines="0" w:after="0" w:afterLines="0"/>
        <w:rPr>
          <w:rFonts w:hint="eastAsia" w:asci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2</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3</w:t>
      </w:r>
      <w:r>
        <w:rPr>
          <w:rFonts w:hint="default" w:ascii="黑体" w:hAnsi="黑体" w:eastAsia="黑体" w:cs="黑体"/>
          <w:b w:val="0"/>
          <w:i w:val="0"/>
          <w:sz w:val="21"/>
          <w:highlight w:val="none"/>
          <w:lang w:val="en-US" w:eastAsia="zh-CN" w:bidi="ar-SA"/>
        </w:rPr>
        <w:t>　</w:t>
      </w:r>
      <w:r>
        <w:rPr>
          <w:rFonts w:hint="eastAsia" w:ascii="Times New Roman" w:eastAsia="宋体" w:cs="黑体"/>
          <w:b w:val="0"/>
          <w:i w:val="0"/>
          <w:sz w:val="21"/>
          <w:szCs w:val="21"/>
          <w:highlight w:val="none"/>
          <w:lang w:val="en-US" w:eastAsia="zh-CN" w:bidi="ar-SA"/>
        </w:rPr>
        <w:t>因地制宜，差异化施策。结合行业特征、异味指纹及周边环境敏感程度，科学制定OMP。针对高风险区域和特征异味污染物，实施分级分类重点管控，避免治理手段单一化。</w:t>
      </w:r>
    </w:p>
    <w:p w14:paraId="36C4BC21">
      <w:pPr>
        <w:pStyle w:val="68"/>
        <w:numPr>
          <w:ilvl w:val="3"/>
          <w:numId w:val="0"/>
        </w:numPr>
        <w:spacing w:before="0" w:beforeLines="0" w:after="0" w:afterLines="0"/>
        <w:rPr>
          <w:rFonts w:hint="eastAsia" w:hAnsi="黑体" w:cs="黑体"/>
          <w:highlight w:val="none"/>
        </w:rPr>
      </w:pPr>
      <w:r>
        <w:rPr>
          <w:rFonts w:hint="eastAsia" w:hAnsi="黑体" w:cs="黑体"/>
          <w:b w:val="0"/>
          <w:i w:val="0"/>
          <w:sz w:val="21"/>
          <w:highlight w:val="none"/>
          <w:lang w:val="en-US" w:eastAsia="zh-CN" w:bidi="ar-SA"/>
        </w:rPr>
        <w:t>4</w:t>
      </w:r>
      <w:r>
        <w:rPr>
          <w:rFonts w:hint="eastAsia"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2</w:t>
      </w:r>
      <w:r>
        <w:rPr>
          <w:rFonts w:hint="eastAsia"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4</w:t>
      </w:r>
      <w:r>
        <w:rPr>
          <w:rFonts w:hint="eastAsia" w:ascii="黑体" w:hAnsi="黑体" w:eastAsia="黑体" w:cs="黑体"/>
          <w:b w:val="0"/>
          <w:i w:val="0"/>
          <w:sz w:val="21"/>
          <w:highlight w:val="none"/>
          <w:lang w:val="en-US" w:eastAsia="zh-CN" w:bidi="ar-SA"/>
        </w:rPr>
        <w:t>　</w:t>
      </w:r>
      <w:r>
        <w:rPr>
          <w:rFonts w:hint="eastAsia" w:ascii="Times New Roman" w:hAnsi="Times New Roman" w:eastAsia="宋体" w:cs="黑体"/>
          <w:b w:val="0"/>
          <w:i w:val="0"/>
          <w:sz w:val="21"/>
          <w:szCs w:val="21"/>
          <w:highlight w:val="none"/>
          <w:lang w:val="en-US" w:eastAsia="zh-CN" w:bidi="ar-SA"/>
        </w:rPr>
        <w:t>结果导向，</w:t>
      </w:r>
      <w:r>
        <w:rPr>
          <w:rFonts w:hint="eastAsia" w:ascii="Times New Roman" w:eastAsia="宋体" w:cs="黑体"/>
          <w:b w:val="0"/>
          <w:i w:val="0"/>
          <w:sz w:val="21"/>
          <w:szCs w:val="21"/>
          <w:highlight w:val="none"/>
          <w:lang w:val="en-US" w:eastAsia="zh" w:bidi="ar-SA"/>
          <w:woUserID w:val="1"/>
        </w:rPr>
        <w:t>多元</w:t>
      </w:r>
      <w:r>
        <w:rPr>
          <w:rFonts w:hint="eastAsia" w:ascii="Times New Roman" w:hAnsi="Times New Roman" w:eastAsia="宋体" w:cs="黑体"/>
          <w:b w:val="0"/>
          <w:i w:val="0"/>
          <w:sz w:val="21"/>
          <w:szCs w:val="21"/>
          <w:highlight w:val="none"/>
          <w:lang w:val="en-US" w:eastAsia="zh-CN" w:bidi="ar-SA"/>
        </w:rPr>
        <w:t>化共治</w:t>
      </w:r>
      <w:r>
        <w:rPr>
          <w:rFonts w:hint="eastAsia" w:ascii="Times New Roman" w:eastAsia="宋体" w:cs="黑体"/>
          <w:b w:val="0"/>
          <w:i w:val="0"/>
          <w:sz w:val="21"/>
          <w:szCs w:val="21"/>
          <w:highlight w:val="none"/>
          <w:lang w:val="en-US" w:eastAsia="zh-CN" w:bidi="ar-SA"/>
        </w:rPr>
        <w:t>。</w:t>
      </w:r>
      <w:r>
        <w:rPr>
          <w:rFonts w:hint="eastAsia" w:ascii="Times New Roman" w:hAnsi="Times New Roman" w:eastAsia="宋体" w:cs="黑体"/>
          <w:b w:val="0"/>
          <w:i w:val="0"/>
          <w:sz w:val="21"/>
          <w:szCs w:val="21"/>
          <w:highlight w:val="none"/>
          <w:lang w:val="en-US" w:eastAsia="zh-CN" w:bidi="ar-SA"/>
        </w:rPr>
        <w:t>建立企业自律、园区或属地管理、公众监督相结合的共治机制，强化信息公开与沟通，以</w:t>
      </w:r>
      <w:r>
        <w:rPr>
          <w:rFonts w:hint="eastAsia" w:ascii="Times New Roman" w:eastAsia="宋体" w:cs="黑体"/>
          <w:b w:val="0"/>
          <w:i w:val="0"/>
          <w:sz w:val="21"/>
          <w:szCs w:val="21"/>
          <w:highlight w:val="none"/>
          <w:lang w:val="en-US" w:eastAsia="zh-CN" w:bidi="ar-SA"/>
        </w:rPr>
        <w:t>异味投诉率有效下降、厂界及周边无明显异味</w:t>
      </w:r>
      <w:r>
        <w:rPr>
          <w:rFonts w:hint="eastAsia" w:ascii="Times New Roman" w:hAnsi="Times New Roman" w:eastAsia="宋体" w:cs="黑体"/>
          <w:b w:val="0"/>
          <w:i w:val="0"/>
          <w:sz w:val="21"/>
          <w:szCs w:val="21"/>
          <w:highlight w:val="none"/>
          <w:lang w:val="en-US" w:eastAsia="zh-CN" w:bidi="ar-SA"/>
        </w:rPr>
        <w:t>作为检验创建成效的重要依据。</w:t>
      </w:r>
    </w:p>
    <w:p w14:paraId="3AAD5B3D">
      <w:pPr>
        <w:pStyle w:val="107"/>
        <w:numPr>
          <w:ilvl w:val="1"/>
          <w:numId w:val="0"/>
        </w:numPr>
        <w:spacing w:before="312" w:after="312"/>
        <w:ind w:left="0"/>
        <w:rPr>
          <w:highlight w:val="none"/>
        </w:rPr>
      </w:pPr>
      <w:bookmarkStart w:id="81" w:name="_Toc2360"/>
      <w:r>
        <w:rPr>
          <w:rFonts w:hint="default" w:ascii="Times New Roman" w:hAnsi="Times New Roman" w:eastAsia="黑体" w:cs="Times New Roman"/>
          <w:b w:val="0"/>
          <w:i w:val="0"/>
          <w:sz w:val="21"/>
          <w:highlight w:val="none"/>
          <w:lang w:val="en-US" w:eastAsia="zh-CN" w:bidi="ar-SA"/>
        </w:rPr>
        <w:t>5　</w:t>
      </w:r>
      <w:r>
        <w:rPr>
          <w:rFonts w:hint="eastAsia"/>
          <w:highlight w:val="none"/>
        </w:rPr>
        <w:t>无异味工厂创建要求</w:t>
      </w:r>
      <w:bookmarkEnd w:id="81"/>
    </w:p>
    <w:p w14:paraId="03F6FDAD">
      <w:pPr>
        <w:pStyle w:val="108"/>
        <w:spacing w:before="156" w:after="156"/>
        <w:rPr>
          <w:rFonts w:hint="default" w:ascii="Times New Roman" w:eastAsia="黑体"/>
          <w:highlight w:val="none"/>
          <w:lang w:val="en-US" w:eastAsia="zh-CN"/>
        </w:rPr>
      </w:pPr>
      <w:r>
        <w:rPr>
          <w:rFonts w:hint="eastAsia" w:ascii="黑体"/>
          <w:highlight w:val="none"/>
        </w:rPr>
        <w:t>5.1　</w:t>
      </w:r>
      <w:r>
        <w:rPr>
          <w:rFonts w:hint="eastAsia"/>
          <w:highlight w:val="none"/>
          <w:lang w:val="en-US" w:eastAsia="zh-CN"/>
        </w:rPr>
        <w:t>总图布置与空间隔离</w:t>
      </w:r>
    </w:p>
    <w:p w14:paraId="261C51D6">
      <w:pPr>
        <w:pStyle w:val="97"/>
        <w:spacing w:before="0" w:beforeLines="0" w:after="0" w:afterLines="0"/>
        <w:rPr>
          <w:rFonts w:hint="eastAsia" w:ascii="Times New Roman" w:eastAsia="宋体"/>
          <w:highlight w:val="none"/>
        </w:rPr>
      </w:pPr>
      <w:r>
        <w:rPr>
          <w:rFonts w:hint="default" w:ascii="黑体" w:hAnsi="黑体" w:eastAsia="黑体" w:cs="黑体"/>
          <w:b w:val="0"/>
          <w:i w:val="0"/>
          <w:sz w:val="21"/>
          <w:highlight w:val="none"/>
          <w:lang w:val="en-US" w:eastAsia="zh-CN" w:bidi="ar-SA"/>
        </w:rPr>
        <w:t>5.1.1　</w:t>
      </w:r>
      <w:r>
        <w:rPr>
          <w:rFonts w:hint="eastAsia" w:ascii="Times New Roman" w:eastAsia="宋体"/>
          <w:highlight w:val="none"/>
        </w:rPr>
        <w:t>新建、改建、扩建项目的选址及现有工厂的总平面布置调整，应严格执行环境影响评价制度，将异味影响作为重点评价内容，详细分析对周边敏感目标的环境影响。项目厂界或主要异味排放源至周边敏感目标的距离，应满足国家或地方规定的大气环境防护距离要求；选址应优先考虑常年主导风向下风向无敏感目标的区域，或地势相对开阔、扩散条件良好的区域。</w:t>
      </w:r>
    </w:p>
    <w:p w14:paraId="79FCD286">
      <w:pPr>
        <w:pStyle w:val="97"/>
        <w:spacing w:before="0" w:beforeLines="0" w:after="0" w:afterLines="0"/>
        <w:rPr>
          <w:rFonts w:hint="eastAsia" w:ascii="Times New Roman" w:eastAsia="宋体" w:cs="Times New Roman"/>
          <w:b w:val="0"/>
          <w:i w:val="0"/>
          <w:sz w:val="21"/>
          <w:highlight w:val="none"/>
          <w:lang w:val="en-US" w:eastAsia="zh-CN" w:bidi="ar-SA"/>
        </w:rPr>
      </w:pPr>
      <w:r>
        <w:rPr>
          <w:rFonts w:hint="default" w:ascii="黑体" w:hAnsi="黑体" w:eastAsia="黑体" w:cs="黑体"/>
          <w:b w:val="0"/>
          <w:i w:val="0"/>
          <w:sz w:val="21"/>
          <w:highlight w:val="none"/>
          <w:lang w:val="en-US" w:eastAsia="zh-CN" w:bidi="ar-SA"/>
        </w:rPr>
        <w:t>5.1.</w:t>
      </w:r>
      <w:r>
        <w:rPr>
          <w:rFonts w:hint="eastAsia" w:ascii="黑体" w:hAnsi="黑体" w:eastAsia="黑体" w:cs="黑体"/>
          <w:b w:val="0"/>
          <w:i w:val="0"/>
          <w:sz w:val="21"/>
          <w:highlight w:val="none"/>
          <w:lang w:val="en-US" w:eastAsia="zh-CN" w:bidi="ar-SA"/>
        </w:rPr>
        <w:t>2</w:t>
      </w:r>
      <w:r>
        <w:rPr>
          <w:rFonts w:hint="default" w:ascii="黑体" w:hAnsi="黑体" w:eastAsia="黑体" w:cs="黑体"/>
          <w:b w:val="0"/>
          <w:i w:val="0"/>
          <w:sz w:val="21"/>
          <w:highlight w:val="none"/>
          <w:lang w:val="en-US" w:eastAsia="zh-CN" w:bidi="ar-SA"/>
        </w:rPr>
        <w:t>　</w:t>
      </w:r>
      <w:r>
        <w:rPr>
          <w:rFonts w:hint="default" w:ascii="Times New Roman" w:hAnsi="Times New Roman" w:eastAsia="宋体" w:cs="Times New Roman"/>
          <w:b w:val="0"/>
          <w:i w:val="0"/>
          <w:sz w:val="21"/>
          <w:highlight w:val="none"/>
          <w:lang w:val="en-US" w:eastAsia="zh-CN" w:bidi="ar-SA"/>
        </w:rPr>
        <w:t>厂区内应明确生产、储存、办公生活等功能分区。主要异味产生装置、车间或储存区域应集中布置，其选址位置必须优先远离周边敏感目标；在满足上述前提下，宜布置在厂区常年主导风向的下风向，以及内部办公生活区的侧风向或下风向。涉及异味物料装卸与运输的物流通道，应避开办公生活区及靠近敏感目标的厂界一侧</w:t>
      </w:r>
      <w:r>
        <w:rPr>
          <w:rFonts w:hint="eastAsia" w:ascii="Times New Roman" w:eastAsia="宋体" w:cs="Times New Roman"/>
          <w:b w:val="0"/>
          <w:i w:val="0"/>
          <w:sz w:val="21"/>
          <w:highlight w:val="none"/>
          <w:lang w:val="en-US" w:eastAsia="zh-CN" w:bidi="ar-SA"/>
        </w:rPr>
        <w:t>，确因场地条件限制无法避开的，应采取密闭运输、限时作业等控制措施。</w:t>
      </w:r>
    </w:p>
    <w:p w14:paraId="70B4FDE1">
      <w:pPr>
        <w:pStyle w:val="97"/>
        <w:spacing w:before="0" w:beforeLines="0" w:after="0" w:afterLines="0"/>
        <w:rPr>
          <w:rFonts w:hint="eastAsia" w:ascii="Times New Roman" w:hAnsi="Times New Roman" w:eastAsia="宋体" w:cs="Times New Roman"/>
          <w:b w:val="0"/>
          <w:i w:val="0"/>
          <w:sz w:val="21"/>
          <w:highlight w:val="none"/>
          <w:lang w:val="en-US" w:eastAsia="zh-CN" w:bidi="ar-SA"/>
        </w:rPr>
      </w:pPr>
      <w:r>
        <w:rPr>
          <w:rFonts w:hint="eastAsia" w:ascii="黑体" w:hAnsi="黑体" w:eastAsia="黑体" w:cs="黑体"/>
          <w:b w:val="0"/>
          <w:i w:val="0"/>
          <w:sz w:val="21"/>
          <w:highlight w:val="none"/>
          <w:lang w:val="en-US" w:eastAsia="zh-CN" w:bidi="ar-SA"/>
        </w:rPr>
        <w:t>5.1.</w:t>
      </w:r>
      <w:r>
        <w:rPr>
          <w:rFonts w:hint="eastAsia" w:hAnsi="黑体" w:cs="黑体"/>
          <w:b w:val="0"/>
          <w:i w:val="0"/>
          <w:sz w:val="21"/>
          <w:highlight w:val="none"/>
          <w:lang w:val="en-US" w:eastAsia="zh-CN" w:bidi="ar-SA"/>
        </w:rPr>
        <w:t>3</w:t>
      </w:r>
      <w:r>
        <w:rPr>
          <w:rFonts w:hint="eastAsia" w:ascii="Times New Roman" w:hAnsi="Times New Roman" w:eastAsia="宋体" w:cs="Times New Roman"/>
          <w:b w:val="0"/>
          <w:i w:val="0"/>
          <w:sz w:val="21"/>
          <w:highlight w:val="none"/>
          <w:lang w:val="en-US" w:eastAsia="zh-CN" w:bidi="ar-SA"/>
        </w:rPr>
        <w:t>　具备场地条件的厂区，在厂界四周尤其是面向周边敏感目标的方向，宜设置绿化隔离带。选用高大乔木与灌木结合的复层种植结构，发挥空间缓冲和辅助削减异味影响的作用。绿化隔离带不得替代异味源密闭、废气收集和末端治理等污染控制措施。</w:t>
      </w:r>
    </w:p>
    <w:p w14:paraId="6F7C9EB8">
      <w:pPr>
        <w:pStyle w:val="59"/>
        <w:ind w:firstLine="0" w:firstLineChars="0"/>
        <w:rPr>
          <w:rFonts w:hint="eastAsia"/>
        </w:rPr>
      </w:pPr>
      <w:r>
        <w:rPr>
          <w:rFonts w:hint="eastAsia" w:ascii="黑体" w:hAnsi="黑体" w:eastAsia="黑体" w:cs="黑体"/>
          <w:highlight w:val="none"/>
        </w:rPr>
        <w:t>5.1.4</w:t>
      </w:r>
      <w:r>
        <w:rPr>
          <w:rFonts w:hint="eastAsia"/>
          <w:lang w:val="en-US" w:eastAsia="zh-CN"/>
        </w:rPr>
        <w:t>　</w:t>
      </w:r>
      <w:r>
        <w:rPr>
          <w:rFonts w:hint="eastAsia"/>
        </w:rPr>
        <w:t>厂区内异味治理设施、污水站、固废储存场所</w:t>
      </w:r>
      <w:r>
        <w:rPr>
          <w:rFonts w:hint="eastAsia"/>
          <w:lang w:val="en-US" w:eastAsia="zh-CN"/>
        </w:rPr>
        <w:t>等</w:t>
      </w:r>
      <w:r>
        <w:rPr>
          <w:rFonts w:hint="eastAsia"/>
        </w:rPr>
        <w:t>环保设施应布置在对办公生活区和周边敏感目标影响较小的区域，与办公生活区保持足够的防护距离，并采取必要的异味防控措施。</w:t>
      </w:r>
    </w:p>
    <w:p w14:paraId="2C314717">
      <w:pPr>
        <w:pStyle w:val="68"/>
        <w:numPr>
          <w:ilvl w:val="3"/>
          <w:numId w:val="0"/>
        </w:numPr>
        <w:spacing w:before="156" w:after="156" w:line="275" w:lineRule="auto"/>
        <w:rPr>
          <w:rFonts w:hint="eastAsia" w:ascii="黑体" w:hAnsi="黑体" w:cs="黑体"/>
          <w:highlight w:val="none"/>
        </w:rPr>
      </w:pPr>
      <w:r>
        <w:rPr>
          <w:rFonts w:hint="eastAsia" w:hAnsi="黑体" w:cs="黑体"/>
          <w:b w:val="0"/>
          <w:i w:val="0"/>
          <w:sz w:val="21"/>
          <w:highlight w:val="none"/>
          <w:lang w:val="en-US" w:eastAsia="zh-CN" w:bidi="ar-SA"/>
        </w:rPr>
        <w:t>5</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2</w:t>
      </w:r>
      <w:r>
        <w:rPr>
          <w:rFonts w:hint="default" w:ascii="黑体" w:hAnsi="黑体" w:eastAsia="黑体" w:cs="黑体"/>
          <w:b w:val="0"/>
          <w:i w:val="0"/>
          <w:sz w:val="21"/>
          <w:highlight w:val="none"/>
          <w:lang w:val="en-US" w:eastAsia="zh-CN" w:bidi="ar-SA"/>
        </w:rPr>
        <w:t>　</w:t>
      </w:r>
      <w:r>
        <w:rPr>
          <w:rFonts w:hint="eastAsia" w:ascii="黑体" w:hAnsi="黑体" w:cs="黑体"/>
          <w:highlight w:val="none"/>
        </w:rPr>
        <w:t>建筑设计与密闭化</w:t>
      </w:r>
    </w:p>
    <w:p w14:paraId="39DF87BF">
      <w:pPr>
        <w:pStyle w:val="97"/>
        <w:spacing w:before="0" w:beforeLines="0" w:after="0" w:afterLines="0"/>
        <w:rPr>
          <w:rFonts w:hint="eastAsia" w:ascii="Times New Roman" w:eastAsia="宋体" w:cs="Times New Roman"/>
          <w:b w:val="0"/>
          <w:i w:val="0"/>
          <w:sz w:val="21"/>
          <w:highlight w:val="none"/>
          <w:lang w:val="en-US" w:eastAsia="zh-CN" w:bidi="ar-SA"/>
        </w:rPr>
      </w:pPr>
      <w:r>
        <w:rPr>
          <w:rFonts w:hint="eastAsia" w:ascii="黑体" w:hAnsi="黑体" w:eastAsia="黑体" w:cs="黑体"/>
          <w:b w:val="0"/>
          <w:i w:val="0"/>
          <w:sz w:val="21"/>
          <w:highlight w:val="none"/>
          <w:lang w:val="en-US" w:eastAsia="zh-CN" w:bidi="ar-SA"/>
        </w:rPr>
        <w:t>5.</w:t>
      </w:r>
      <w:r>
        <w:rPr>
          <w:rFonts w:hint="eastAsia" w:hAnsi="黑体" w:cs="黑体"/>
          <w:b w:val="0"/>
          <w:i w:val="0"/>
          <w:sz w:val="21"/>
          <w:highlight w:val="none"/>
          <w:lang w:val="en-US" w:eastAsia="zh-CN" w:bidi="ar-SA"/>
        </w:rPr>
        <w:t>2</w:t>
      </w:r>
      <w:r>
        <w:rPr>
          <w:rFonts w:hint="eastAsia" w:ascii="黑体" w:hAnsi="黑体" w:eastAsia="黑体" w:cs="黑体"/>
          <w:b w:val="0"/>
          <w:i w:val="0"/>
          <w:sz w:val="21"/>
          <w:highlight w:val="none"/>
          <w:lang w:val="en-US" w:eastAsia="zh-CN" w:bidi="ar-SA"/>
        </w:rPr>
        <w:t>.1</w:t>
      </w:r>
      <w:r>
        <w:rPr>
          <w:rFonts w:hint="eastAsia" w:ascii="Times New Roman" w:hAnsi="Times New Roman" w:eastAsia="宋体" w:cs="Times New Roman"/>
          <w:b w:val="0"/>
          <w:i w:val="0"/>
          <w:sz w:val="21"/>
          <w:highlight w:val="none"/>
          <w:lang w:val="en-US" w:eastAsia="zh-CN" w:bidi="ar-SA"/>
        </w:rPr>
        <w:t>　产生异味的生产车间、储存间及辅助设施应实施密闭化改造或设计。厂房的墙体、屋顶、门窗及孔洞缝隙应采取可靠的密封措施；涉及腐蚀性异味气体的，建筑材料应具有良好的防腐性能。除必要的人员、物流通道及消防泄爆口外，涉异味区域不宜设置开放式窗户或直接向外环境排放的无组织排风口；确需设置的，应采取接入废气收集与治理系统、设置局部收集设施或采取其他防逸散措施</w:t>
      </w:r>
      <w:r>
        <w:rPr>
          <w:rFonts w:hint="eastAsia" w:ascii="Times New Roman" w:eastAsia="宋体" w:cs="Times New Roman"/>
          <w:b w:val="0"/>
          <w:i w:val="0"/>
          <w:sz w:val="21"/>
          <w:highlight w:val="none"/>
          <w:lang w:val="en-US" w:eastAsia="zh-CN" w:bidi="ar-SA"/>
        </w:rPr>
        <w:t>。</w:t>
      </w:r>
    </w:p>
    <w:p w14:paraId="14381A70">
      <w:pPr>
        <w:pStyle w:val="97"/>
        <w:spacing w:before="0" w:beforeLines="0" w:after="0" w:afterLines="0"/>
        <w:rPr>
          <w:rFonts w:hint="eastAsia" w:ascii="Times New Roman" w:eastAsia="宋体" w:cs="Times New Roman"/>
          <w:b w:val="0"/>
          <w:i w:val="0"/>
          <w:sz w:val="21"/>
          <w:highlight w:val="none"/>
          <w:lang w:val="en-US" w:eastAsia="zh-CN" w:bidi="ar-SA"/>
        </w:rPr>
      </w:pPr>
      <w:r>
        <w:rPr>
          <w:rFonts w:hint="eastAsia" w:ascii="黑体" w:hAnsi="黑体" w:eastAsia="黑体" w:cs="黑体"/>
          <w:b w:val="0"/>
          <w:i w:val="0"/>
          <w:sz w:val="21"/>
          <w:highlight w:val="none"/>
          <w:lang w:val="en-US" w:eastAsia="zh-CN" w:bidi="ar-SA"/>
        </w:rPr>
        <w:t>5.</w:t>
      </w:r>
      <w:r>
        <w:rPr>
          <w:rFonts w:hint="eastAsia" w:hAnsi="黑体" w:cs="黑体"/>
          <w:b w:val="0"/>
          <w:i w:val="0"/>
          <w:sz w:val="21"/>
          <w:highlight w:val="none"/>
          <w:lang w:val="en-US" w:eastAsia="zh-CN" w:bidi="ar-SA"/>
        </w:rPr>
        <w:t>2</w:t>
      </w:r>
      <w:r>
        <w:rPr>
          <w:rFonts w:hint="eastAsia" w:ascii="黑体" w:hAnsi="黑体" w:eastAsia="黑体" w:cs="黑体"/>
          <w:b w:val="0"/>
          <w:i w:val="0"/>
          <w:sz w:val="21"/>
          <w:highlight w:val="none"/>
          <w:lang w:val="en-US" w:eastAsia="zh-CN" w:bidi="ar-SA"/>
        </w:rPr>
        <w:t>.2</w:t>
      </w:r>
      <w:r>
        <w:rPr>
          <w:rFonts w:hint="eastAsia" w:ascii="Times New Roman" w:hAnsi="Times New Roman" w:eastAsia="宋体" w:cs="Times New Roman"/>
          <w:b w:val="0"/>
          <w:i w:val="0"/>
          <w:sz w:val="21"/>
          <w:highlight w:val="none"/>
          <w:lang w:val="en-US" w:eastAsia="zh-CN" w:bidi="ar-SA"/>
        </w:rPr>
        <w:t>　</w:t>
      </w:r>
      <w:r>
        <w:rPr>
          <w:rFonts w:hint="eastAsia" w:ascii="Times New Roman" w:hAnsi="Times New Roman" w:eastAsia="宋体" w:cs="Times New Roman"/>
          <w:b w:val="0"/>
          <w:i w:val="0"/>
          <w:sz w:val="21"/>
          <w:highlight w:val="none"/>
          <w:lang w:val="en-US" w:eastAsia="zh-CN" w:bidi="ar-SA"/>
          <w:woUserID w:val="1"/>
        </w:rPr>
        <w:t>产生异味的密闭厂房或受控空间应建立合理的负压气流组织。在正常生产工况下，应根据异味源分布、风险等级、工艺安全和职业健康要求，通过整体换风、局部收集或分区控制等方式，控制异味向非受控区域扩散。具备条件的涉异味重点区域，宜维持相对于外部环境的微负压状态，车间内部宜形成由低污染区向高污染区流动的定向气流。对于高浓度特征异味污染物产生的受限空间，宜设置压力梯度监测或指示装置，并与排风系统联动，确保负压状态稳定</w:t>
      </w:r>
      <w:r>
        <w:rPr>
          <w:rFonts w:hint="eastAsia" w:ascii="Times New Roman" w:eastAsia="宋体" w:cs="Times New Roman"/>
          <w:b w:val="0"/>
          <w:i w:val="0"/>
          <w:sz w:val="21"/>
          <w:highlight w:val="none"/>
          <w:lang w:val="en-US" w:eastAsia="zh-CN" w:bidi="ar-SA"/>
        </w:rPr>
        <w:t>。</w:t>
      </w:r>
    </w:p>
    <w:p w14:paraId="4C2221CA">
      <w:pPr>
        <w:pStyle w:val="59"/>
        <w:spacing w:beforeLines="0" w:afterLines="0"/>
        <w:ind w:firstLine="0" w:firstLineChars="0"/>
        <w:rPr>
          <w:rFonts w:hint="eastAsia" w:ascii="Times New Roman" w:cs="Times New Roman"/>
          <w:b w:val="0"/>
          <w:i w:val="0"/>
          <w:sz w:val="21"/>
          <w:highlight w:val="none"/>
          <w:lang w:val="en-US" w:eastAsia="zh-CN" w:bidi="ar-SA"/>
        </w:rPr>
      </w:pPr>
      <w:r>
        <w:rPr>
          <w:rFonts w:hint="eastAsia" w:ascii="黑体" w:eastAsia="黑体"/>
          <w:highlight w:val="none"/>
        </w:rPr>
        <w:t>5.</w:t>
      </w:r>
      <w:r>
        <w:rPr>
          <w:rFonts w:hint="eastAsia" w:ascii="黑体" w:eastAsia="黑体"/>
          <w:highlight w:val="none"/>
          <w:lang w:val="en-US" w:eastAsia="zh-CN"/>
        </w:rPr>
        <w:t>2</w:t>
      </w:r>
      <w:r>
        <w:rPr>
          <w:rFonts w:hint="eastAsia" w:ascii="黑体" w:eastAsia="黑体"/>
          <w:highlight w:val="none"/>
        </w:rPr>
        <w:t>.</w:t>
      </w:r>
      <w:r>
        <w:rPr>
          <w:rFonts w:hint="eastAsia" w:ascii="黑体" w:eastAsia="黑体"/>
          <w:highlight w:val="none"/>
          <w:lang w:val="en-US" w:eastAsia="zh-CN"/>
        </w:rPr>
        <w:t>3</w:t>
      </w:r>
      <w:r>
        <w:rPr>
          <w:rFonts w:hint="eastAsia" w:ascii="Times New Roman" w:hAnsi="Times New Roman" w:eastAsia="宋体" w:cs="Times New Roman"/>
          <w:b w:val="0"/>
          <w:i w:val="0"/>
          <w:sz w:val="21"/>
          <w:highlight w:val="none"/>
          <w:lang w:val="en-US" w:eastAsia="zh-CN" w:bidi="ar-SA"/>
        </w:rPr>
        <w:t>　产生异味的密闭厂房或受控空间，人员进出口应设置闭门器，并保持常闭状态。频繁使用的物料进出通道宜设置缓冲间，并配备双门互锁装置或快速卷帘门；受空间限制无法设置缓冲间的通道，应采用快速卷帘门，并可辅以风幕等辅助阻隔措施，</w:t>
      </w:r>
      <w:r>
        <w:rPr>
          <w:rFonts w:hint="eastAsia" w:ascii="Times New Roman" w:cs="Times New Roman"/>
          <w:b w:val="0"/>
          <w:i w:val="0"/>
          <w:sz w:val="21"/>
          <w:highlight w:val="none"/>
          <w:lang w:val="en-US" w:eastAsia="zh-CN" w:bidi="ar-SA"/>
        </w:rPr>
        <w:t>防止异味逸散。</w:t>
      </w:r>
    </w:p>
    <w:p w14:paraId="4C66743D">
      <w:pPr>
        <w:pStyle w:val="59"/>
        <w:spacing w:beforeLines="0" w:afterLines="0"/>
        <w:ind w:firstLine="0" w:firstLineChars="0"/>
        <w:rPr>
          <w:rFonts w:hint="default" w:ascii="Times New Roman" w:cs="Times New Roman"/>
          <w:b w:val="0"/>
          <w:i w:val="0"/>
          <w:sz w:val="21"/>
          <w:highlight w:val="none"/>
          <w:lang w:val="en-US" w:eastAsia="zh-CN" w:bidi="ar-SA"/>
        </w:rPr>
      </w:pPr>
      <w:r>
        <w:rPr>
          <w:rFonts w:hint="eastAsia" w:ascii="黑体" w:eastAsia="黑体"/>
          <w:highlight w:val="none"/>
        </w:rPr>
        <w:t>5.</w:t>
      </w:r>
      <w:r>
        <w:rPr>
          <w:rFonts w:hint="eastAsia" w:ascii="黑体" w:eastAsia="黑体"/>
          <w:highlight w:val="none"/>
          <w:lang w:val="en-US" w:eastAsia="zh-CN"/>
        </w:rPr>
        <w:t>2</w:t>
      </w:r>
      <w:r>
        <w:rPr>
          <w:rFonts w:hint="eastAsia" w:ascii="黑体" w:eastAsia="黑体"/>
          <w:highlight w:val="none"/>
        </w:rPr>
        <w:t>.</w:t>
      </w:r>
      <w:r>
        <w:rPr>
          <w:rFonts w:hint="eastAsia" w:ascii="黑体" w:eastAsia="黑体"/>
          <w:highlight w:val="none"/>
          <w:lang w:val="en-US" w:eastAsia="zh-CN"/>
        </w:rPr>
        <w:t>4</w:t>
      </w:r>
      <w:r>
        <w:rPr>
          <w:rFonts w:hint="eastAsia" w:ascii="Times New Roman" w:hAnsi="Times New Roman" w:eastAsia="宋体" w:cs="Times New Roman"/>
          <w:b w:val="0"/>
          <w:i w:val="0"/>
          <w:sz w:val="21"/>
          <w:highlight w:val="none"/>
          <w:lang w:val="en-US" w:eastAsia="zh-CN" w:bidi="ar-SA"/>
        </w:rPr>
        <w:t>　与废水、废液、含异味物料或含异味废气相关的地沟、地漏及检查井应采取水封、盲板等密封措施，水封高度应大于管网系统可能出现的最大静压，并定期检查补充密封液以防止异味反窜。穿越墙体、楼板的管道和电缆桥架，其缝隙应采用具有良好气密性的材料进行严密封堵</w:t>
      </w:r>
      <w:r>
        <w:rPr>
          <w:rFonts w:hint="eastAsia" w:ascii="Times New Roman" w:cs="Times New Roman"/>
          <w:b w:val="0"/>
          <w:i w:val="0"/>
          <w:sz w:val="21"/>
          <w:highlight w:val="none"/>
          <w:lang w:val="en-US" w:eastAsia="zh-CN" w:bidi="ar-SA"/>
        </w:rPr>
        <w:t>。</w:t>
      </w:r>
    </w:p>
    <w:p w14:paraId="78F48249">
      <w:pPr>
        <w:pStyle w:val="68"/>
        <w:numPr>
          <w:ilvl w:val="0"/>
          <w:numId w:val="0"/>
        </w:numPr>
        <w:spacing w:before="156" w:after="156" w:line="275" w:lineRule="auto"/>
        <w:rPr>
          <w:rFonts w:hint="eastAsia" w:ascii="宋体" w:hAnsi="宋体" w:cs="宋体"/>
          <w:highlight w:val="none"/>
        </w:rPr>
      </w:pPr>
      <w:r>
        <w:rPr>
          <w:rFonts w:hint="eastAsia" w:ascii="黑体" w:hAnsi="黑体" w:cs="黑体"/>
          <w:highlight w:val="none"/>
        </w:rPr>
        <w:t>5</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3</w:t>
      </w:r>
      <w:r>
        <w:rPr>
          <w:rFonts w:hint="default" w:ascii="黑体" w:hAnsi="黑体" w:eastAsia="黑体" w:cs="黑体"/>
          <w:b w:val="0"/>
          <w:i w:val="0"/>
          <w:sz w:val="21"/>
          <w:highlight w:val="none"/>
          <w:lang w:val="en-US" w:eastAsia="zh-CN" w:bidi="ar-SA"/>
        </w:rPr>
        <w:t>　</w:t>
      </w:r>
      <w:r>
        <w:rPr>
          <w:rFonts w:hint="eastAsia" w:hAnsi="黑体" w:cs="黑体"/>
          <w:b w:val="0"/>
          <w:i w:val="0"/>
          <w:sz w:val="21"/>
          <w:highlight w:val="none"/>
          <w:lang w:val="en-US" w:eastAsia="zh-CN" w:bidi="ar-SA"/>
        </w:rPr>
        <w:t>源头削减与工艺设备选择</w:t>
      </w:r>
    </w:p>
    <w:p w14:paraId="41E8E170">
      <w:pPr>
        <w:pStyle w:val="97"/>
        <w:spacing w:before="0" w:beforeLines="0" w:after="0" w:afterLines="0"/>
        <w:rPr>
          <w:rFonts w:hint="eastAsia"/>
          <w:highlight w:val="none"/>
        </w:rPr>
      </w:pPr>
      <w:r>
        <w:rPr>
          <w:rFonts w:hint="eastAsia"/>
          <w:highlight w:val="none"/>
        </w:rPr>
        <w:t>5.</w:t>
      </w:r>
      <w:r>
        <w:rPr>
          <w:rFonts w:hint="eastAsia"/>
          <w:highlight w:val="none"/>
          <w:lang w:val="en-US" w:eastAsia="zh-CN"/>
        </w:rPr>
        <w:t>3</w:t>
      </w:r>
      <w:r>
        <w:rPr>
          <w:rFonts w:hint="eastAsia"/>
          <w:highlight w:val="none"/>
        </w:rPr>
        <w:t>.1</w:t>
      </w:r>
      <w:r>
        <w:rPr>
          <w:rFonts w:hint="default" w:ascii="黑体" w:hAnsi="黑体" w:eastAsia="黑体" w:cs="黑体"/>
          <w:b w:val="0"/>
          <w:i w:val="0"/>
          <w:sz w:val="21"/>
          <w:highlight w:val="none"/>
          <w:lang w:val="en-US" w:eastAsia="zh-CN" w:bidi="ar-SA"/>
        </w:rPr>
        <w:t>　</w:t>
      </w:r>
      <w:r>
        <w:rPr>
          <w:rFonts w:hint="eastAsia" w:ascii="Times New Roman" w:eastAsia="宋体"/>
          <w:highlight w:val="none"/>
          <w:lang w:val="en-US" w:eastAsia="zh-CN"/>
        </w:rPr>
        <w:t>企业应建立原辅材料异味风险评估机制，优先选用低（无）异味、低挥发性、低毒性的原辅材料，减少或不使用高臭味、高挥发性溶剂型原辅材料，从源头减少异味物质产生和逸散。对于化学反应过程，应通过优化催化剂选型和反应工艺参数，抑制含异味副产物的生成。</w:t>
      </w:r>
    </w:p>
    <w:p w14:paraId="73C9A7E7">
      <w:pPr>
        <w:pStyle w:val="97"/>
        <w:spacing w:before="0" w:beforeLines="0" w:after="0" w:afterLines="0"/>
        <w:rPr>
          <w:rFonts w:hint="eastAsia" w:ascii="Times New Roman" w:eastAsia="宋体"/>
          <w:highlight w:val="none"/>
          <w:lang w:val="en-US" w:eastAsia="zh-CN"/>
        </w:rPr>
      </w:pPr>
      <w:r>
        <w:rPr>
          <w:rFonts w:hint="eastAsia" w:ascii="黑体" w:eastAsia="黑体"/>
          <w:highlight w:val="none"/>
        </w:rPr>
        <w:t>5.</w:t>
      </w:r>
      <w:r>
        <w:rPr>
          <w:rFonts w:hint="eastAsia"/>
          <w:highlight w:val="none"/>
          <w:lang w:val="en-US" w:eastAsia="zh-CN"/>
        </w:rPr>
        <w:t>3</w:t>
      </w:r>
      <w:r>
        <w:rPr>
          <w:rFonts w:hint="eastAsia" w:ascii="黑体" w:eastAsia="黑体"/>
          <w:highlight w:val="none"/>
        </w:rPr>
        <w:t>.</w:t>
      </w:r>
      <w:r>
        <w:rPr>
          <w:rFonts w:hint="eastAsia" w:ascii="黑体" w:eastAsia="黑体"/>
          <w:highlight w:val="none"/>
          <w:lang w:eastAsia="zh-CN"/>
        </w:rPr>
        <w:t>2</w:t>
      </w:r>
      <w:r>
        <w:rPr>
          <w:rFonts w:hint="default" w:ascii="黑体" w:hAnsi="黑体" w:eastAsia="黑体" w:cs="黑体"/>
          <w:b w:val="0"/>
          <w:i w:val="0"/>
          <w:sz w:val="21"/>
          <w:highlight w:val="none"/>
          <w:lang w:val="en-US" w:eastAsia="zh-CN" w:bidi="ar-SA"/>
        </w:rPr>
        <w:t>　</w:t>
      </w:r>
      <w:r>
        <w:rPr>
          <w:rFonts w:hint="eastAsia" w:ascii="Times New Roman" w:eastAsia="宋体"/>
          <w:highlight w:val="none"/>
          <w:lang w:val="en-US" w:eastAsia="zh-CN"/>
        </w:rPr>
        <w:t>涉及含异味物质的生产工艺应优先采用连续化、密闭化、自动化工艺，减少间歇式、开放式、人工敞口操作。工业涂装、包装印刷、食品加工、饲料加工等行业或工序，应结合行业特点采用低逸散、低异味工艺，减少调配、涂覆、印刷、烘干、发酵、冷却、包装等环节异味产生和逸散。</w:t>
      </w:r>
    </w:p>
    <w:p w14:paraId="0DEBBD1D">
      <w:pPr>
        <w:pStyle w:val="97"/>
        <w:spacing w:before="0" w:beforeLines="0" w:after="0" w:afterLines="0"/>
        <w:rPr>
          <w:rFonts w:hint="eastAsia" w:ascii="Times New Roman" w:hAnsi="Times New Roman" w:eastAsia="宋体" w:cs="Times New Roman"/>
          <w:b w:val="0"/>
          <w:i w:val="0"/>
          <w:sz w:val="21"/>
          <w:highlight w:val="none"/>
          <w:lang w:val="en-US" w:eastAsia="zh-CN" w:bidi="ar-SA"/>
        </w:rPr>
      </w:pPr>
      <w:r>
        <w:rPr>
          <w:rFonts w:hint="eastAsia" w:ascii="黑体" w:eastAsia="黑体"/>
          <w:highlight w:val="none"/>
        </w:rPr>
        <w:t>5.</w:t>
      </w:r>
      <w:r>
        <w:rPr>
          <w:rFonts w:hint="eastAsia"/>
          <w:highlight w:val="none"/>
          <w:lang w:val="en-US" w:eastAsia="zh-CN"/>
        </w:rPr>
        <w:t>3</w:t>
      </w:r>
      <w:r>
        <w:rPr>
          <w:rFonts w:hint="eastAsia" w:ascii="黑体" w:eastAsia="黑体"/>
          <w:highlight w:val="none"/>
        </w:rPr>
        <w:t>.</w:t>
      </w:r>
      <w:r>
        <w:rPr>
          <w:rFonts w:hint="eastAsia"/>
          <w:highlight w:val="none"/>
          <w:lang w:val="en-US" w:eastAsia="zh-CN"/>
        </w:rPr>
        <w:t>3</w:t>
      </w:r>
      <w:r>
        <w:rPr>
          <w:rFonts w:hint="eastAsia" w:ascii="Times New Roman" w:hAnsi="Times New Roman" w:eastAsia="宋体" w:cs="Times New Roman"/>
          <w:b w:val="0"/>
          <w:i w:val="0"/>
          <w:sz w:val="21"/>
          <w:highlight w:val="none"/>
          <w:lang w:val="en-US" w:eastAsia="zh-CN" w:bidi="ar-SA"/>
        </w:rPr>
        <w:t>　</w:t>
      </w:r>
      <w:r>
        <w:rPr>
          <w:rFonts w:hint="eastAsia" w:ascii="Times New Roman" w:eastAsia="宋体" w:cs="Times New Roman"/>
          <w:b w:val="0"/>
          <w:i w:val="0"/>
          <w:sz w:val="21"/>
          <w:highlight w:val="none"/>
          <w:lang w:val="en-US" w:eastAsia="zh-CN" w:bidi="ar-SA"/>
        </w:rPr>
        <w:t>反应釜、离心机、压滤机、干燥机、混合机、粉碎机、包装机等主要涉异味生产设备应保持密闭运行。固体物料投加宜采用气流输送、密闭投料站、负压投料等方式；液体物料宜采用管道输送或密闭泵送等方式，减少敞口人工加料、敞口转运和开放式暂存</w:t>
      </w:r>
      <w:r>
        <w:rPr>
          <w:rFonts w:hint="eastAsia" w:ascii="Times New Roman" w:hAnsi="Times New Roman" w:eastAsia="宋体" w:cs="Times New Roman"/>
          <w:b w:val="0"/>
          <w:i w:val="0"/>
          <w:sz w:val="21"/>
          <w:highlight w:val="none"/>
          <w:lang w:val="en-US" w:eastAsia="zh-CN" w:bidi="ar-SA"/>
        </w:rPr>
        <w:t>。</w:t>
      </w:r>
    </w:p>
    <w:p w14:paraId="501754F2">
      <w:pPr>
        <w:pStyle w:val="97"/>
        <w:spacing w:before="0" w:beforeLines="0" w:after="0" w:afterLines="0"/>
        <w:rPr>
          <w:rFonts w:hint="eastAsia" w:ascii="Times New Roman" w:hAnsi="Times New Roman" w:eastAsia="宋体" w:cs="Times New Roman"/>
          <w:b w:val="0"/>
          <w:i w:val="0"/>
          <w:sz w:val="21"/>
          <w:highlight w:val="none"/>
          <w:lang w:val="en-US" w:eastAsia="zh-CN" w:bidi="ar-SA"/>
        </w:rPr>
      </w:pPr>
      <w:r>
        <w:rPr>
          <w:rFonts w:hint="eastAsia" w:ascii="黑体" w:eastAsia="黑体"/>
          <w:highlight w:val="none"/>
        </w:rPr>
        <w:t>5.</w:t>
      </w:r>
      <w:r>
        <w:rPr>
          <w:rFonts w:hint="eastAsia"/>
          <w:highlight w:val="none"/>
          <w:lang w:val="en-US" w:eastAsia="zh-CN"/>
        </w:rPr>
        <w:t>3</w:t>
      </w:r>
      <w:r>
        <w:rPr>
          <w:rFonts w:hint="eastAsia" w:ascii="黑体" w:eastAsia="黑体"/>
          <w:highlight w:val="none"/>
        </w:rPr>
        <w:t>.</w:t>
      </w:r>
      <w:r>
        <w:rPr>
          <w:rFonts w:hint="eastAsia"/>
          <w:highlight w:val="none"/>
          <w:lang w:val="en-US" w:eastAsia="zh-CN"/>
        </w:rPr>
        <w:t>4</w:t>
      </w:r>
      <w:r>
        <w:rPr>
          <w:rFonts w:hint="eastAsia" w:ascii="Times New Roman" w:hAnsi="Times New Roman" w:eastAsia="宋体" w:cs="Times New Roman"/>
          <w:b w:val="0"/>
          <w:i w:val="0"/>
          <w:sz w:val="21"/>
          <w:highlight w:val="none"/>
          <w:lang w:val="en-US" w:eastAsia="zh-CN" w:bidi="ar-SA"/>
        </w:rPr>
        <w:t>　储存异味物料的储罐宜配置高效密封设施，并根据物料特性设置呼吸气收集、回收或处理措施；输送含异味液体的泵宜选用屏蔽泵、磁力泵或双端面机械密封泵；输送含异味气体的压缩机应设置级间和终段气体回收系统。管道连接件应优先选用焊接连接，确需法兰连接的，应采用高等级密封垫片；涉及极低嗅阈值介质的阀门选型，宜优先选用波纹管阀或具有低泄漏认证的阀门。</w:t>
      </w:r>
    </w:p>
    <w:p w14:paraId="55798285">
      <w:pPr>
        <w:pStyle w:val="97"/>
        <w:spacing w:before="0" w:beforeLines="0" w:after="0" w:afterLines="0"/>
        <w:rPr>
          <w:rFonts w:hint="eastAsia" w:ascii="Times New Roman" w:eastAsia="宋体" w:cs="Times New Roman"/>
          <w:b w:val="0"/>
          <w:i w:val="0"/>
          <w:sz w:val="21"/>
          <w:highlight w:val="none"/>
          <w:lang w:val="en-US" w:eastAsia="zh-CN" w:bidi="ar-SA"/>
        </w:rPr>
      </w:pPr>
      <w:r>
        <w:rPr>
          <w:rFonts w:hint="eastAsia" w:ascii="黑体" w:eastAsia="黑体"/>
          <w:highlight w:val="none"/>
        </w:rPr>
        <w:t>5.</w:t>
      </w:r>
      <w:r>
        <w:rPr>
          <w:rFonts w:hint="eastAsia"/>
          <w:highlight w:val="none"/>
          <w:lang w:val="en-US" w:eastAsia="zh-CN"/>
        </w:rPr>
        <w:t>3</w:t>
      </w:r>
      <w:r>
        <w:rPr>
          <w:rFonts w:hint="eastAsia" w:ascii="黑体" w:eastAsia="黑体"/>
          <w:highlight w:val="none"/>
        </w:rPr>
        <w:t>.</w:t>
      </w:r>
      <w:r>
        <w:rPr>
          <w:rFonts w:hint="eastAsia"/>
          <w:highlight w:val="none"/>
          <w:lang w:val="en-US" w:eastAsia="zh-CN"/>
        </w:rPr>
        <w:t>5</w:t>
      </w:r>
      <w:r>
        <w:rPr>
          <w:rFonts w:hint="eastAsia" w:ascii="Times New Roman" w:hAnsi="Times New Roman" w:eastAsia="宋体" w:cs="Times New Roman"/>
          <w:b w:val="0"/>
          <w:i w:val="0"/>
          <w:sz w:val="21"/>
          <w:highlight w:val="none"/>
          <w:lang w:val="en-US" w:eastAsia="zh-CN" w:bidi="ar-SA"/>
        </w:rPr>
        <w:t>　涉及含异味物质的真空系统宜优先选用干式真空泵，并将排气接入废气收集处理系统。确需使用液环真空泵的，应采用全密闭循环冷却系统，不得将含异味循环液直接排入开式冷却塔或敞开式水池</w:t>
      </w:r>
      <w:r>
        <w:rPr>
          <w:rFonts w:hint="eastAsia" w:ascii="Times New Roman" w:eastAsia="宋体" w:cs="Times New Roman"/>
          <w:b w:val="0"/>
          <w:i w:val="0"/>
          <w:sz w:val="21"/>
          <w:highlight w:val="none"/>
          <w:lang w:val="en-US" w:eastAsia="zh-CN" w:bidi="ar-SA"/>
        </w:rPr>
        <w:t>。</w:t>
      </w:r>
    </w:p>
    <w:p w14:paraId="17D55679">
      <w:pPr>
        <w:pStyle w:val="97"/>
        <w:spacing w:before="0" w:beforeLines="0" w:after="0" w:afterLines="0"/>
        <w:rPr>
          <w:rFonts w:hint="eastAsia" w:ascii="Times New Roman" w:hAnsi="Times New Roman" w:eastAsia="宋体" w:cs="Times New Roman"/>
          <w:b w:val="0"/>
          <w:i w:val="0"/>
          <w:sz w:val="21"/>
          <w:highlight w:val="none"/>
          <w:lang w:val="en-US" w:eastAsia="zh-CN" w:bidi="ar-SA"/>
        </w:rPr>
      </w:pPr>
      <w:r>
        <w:rPr>
          <w:rFonts w:hint="eastAsia" w:ascii="黑体" w:eastAsia="黑体"/>
          <w:highlight w:val="none"/>
        </w:rPr>
        <w:t>5.</w:t>
      </w:r>
      <w:r>
        <w:rPr>
          <w:rFonts w:hint="eastAsia"/>
          <w:highlight w:val="none"/>
          <w:lang w:val="en-US" w:eastAsia="zh-CN"/>
        </w:rPr>
        <w:t>3</w:t>
      </w:r>
      <w:r>
        <w:rPr>
          <w:rFonts w:hint="eastAsia" w:ascii="黑体" w:eastAsia="黑体"/>
          <w:highlight w:val="none"/>
        </w:rPr>
        <w:t>.</w:t>
      </w:r>
      <w:r>
        <w:rPr>
          <w:rFonts w:hint="eastAsia"/>
          <w:highlight w:val="none"/>
          <w:lang w:val="en-US" w:eastAsia="zh-CN"/>
        </w:rPr>
        <w:t>6</w:t>
      </w:r>
      <w:r>
        <w:rPr>
          <w:rFonts w:hint="eastAsia" w:ascii="Times New Roman" w:hAnsi="Times New Roman" w:eastAsia="宋体" w:cs="Times New Roman"/>
          <w:b w:val="0"/>
          <w:i w:val="0"/>
          <w:sz w:val="21"/>
          <w:highlight w:val="none"/>
          <w:lang w:val="en-US" w:eastAsia="zh-CN" w:bidi="ar-SA"/>
        </w:rPr>
        <w:t>　涉及含异味物质的取样口应配备密闭循环采样器，取样置换产生的物料和废气应返回生产系统或排入密闭收集系统。设备底部排污口、导淋口及排凝管应接入密闭排污系统或储罐，不得直接排入开放式沟渠或地面。</w:t>
      </w:r>
    </w:p>
    <w:p w14:paraId="5E8DDF08">
      <w:pPr>
        <w:pStyle w:val="59"/>
        <w:ind w:firstLine="0" w:firstLineChars="0"/>
        <w:rPr>
          <w:rFonts w:hint="eastAsia"/>
        </w:rPr>
      </w:pPr>
      <w:r>
        <w:rPr>
          <w:rFonts w:hint="eastAsia" w:ascii="黑体" w:eastAsia="黑体"/>
          <w:highlight w:val="none"/>
        </w:rPr>
        <w:t>5.</w:t>
      </w:r>
      <w:r>
        <w:rPr>
          <w:rFonts w:hint="eastAsia" w:ascii="黑体" w:eastAsia="黑体"/>
          <w:highlight w:val="none"/>
          <w:lang w:val="en-US" w:eastAsia="zh-CN"/>
        </w:rPr>
        <w:t>3</w:t>
      </w:r>
      <w:r>
        <w:rPr>
          <w:rFonts w:hint="eastAsia" w:ascii="黑体" w:eastAsia="黑体"/>
          <w:highlight w:val="none"/>
        </w:rPr>
        <w:t>.</w:t>
      </w:r>
      <w:r>
        <w:rPr>
          <w:rFonts w:hint="eastAsia" w:ascii="黑体" w:eastAsia="黑体"/>
          <w:highlight w:val="none"/>
          <w:lang w:val="en-US" w:eastAsia="zh-CN"/>
        </w:rPr>
        <w:t>7</w:t>
      </w:r>
      <w:r>
        <w:rPr>
          <w:rFonts w:hint="eastAsia" w:ascii="Times New Roman" w:hAnsi="Times New Roman" w:eastAsia="宋体" w:cs="Times New Roman"/>
          <w:b w:val="0"/>
          <w:i w:val="0"/>
          <w:sz w:val="21"/>
          <w:highlight w:val="none"/>
          <w:lang w:val="en-US" w:eastAsia="zh-CN" w:bidi="ar-SA"/>
        </w:rPr>
        <w:t>　涉及含异味物质的生产装置宜配备集散控制系统（DCS）或可编程逻辑控制器（PLC），对可能导致异味泄漏的温度、压力、液位等关键参数进行实时监控与报警。废气收集与治理设施应与生产工艺设施建立联锁或预警响应机制，确保在治理设施故障或停运时，生产设施能在保障工艺安全的前提下及时做出响应，防止废气直排</w:t>
      </w:r>
      <w:r>
        <w:rPr>
          <w:rFonts w:hint="eastAsia" w:ascii="Times New Roman" w:cs="Times New Roman"/>
          <w:b w:val="0"/>
          <w:i w:val="0"/>
          <w:sz w:val="21"/>
          <w:highlight w:val="none"/>
          <w:lang w:val="en-US" w:eastAsia="zh-CN" w:bidi="ar-SA"/>
        </w:rPr>
        <w:t>。</w:t>
      </w:r>
    </w:p>
    <w:p w14:paraId="7702129E">
      <w:pPr>
        <w:pStyle w:val="68"/>
        <w:numPr>
          <w:ilvl w:val="0"/>
          <w:numId w:val="0"/>
        </w:numPr>
        <w:spacing w:before="156" w:after="156" w:line="275" w:lineRule="auto"/>
        <w:rPr>
          <w:rFonts w:hint="eastAsia" w:ascii="黑体" w:hAnsi="黑体" w:cs="黑体"/>
          <w:highlight w:val="none"/>
        </w:rPr>
      </w:pPr>
      <w:r>
        <w:rPr>
          <w:rFonts w:hint="eastAsia" w:ascii="黑体" w:hAnsi="黑体" w:cs="黑体"/>
          <w:highlight w:val="none"/>
        </w:rPr>
        <w:t>5.</w:t>
      </w:r>
      <w:r>
        <w:rPr>
          <w:rFonts w:hint="eastAsia" w:hAnsi="黑体" w:cs="黑体"/>
          <w:highlight w:val="none"/>
          <w:lang w:val="en-US" w:eastAsia="zh-CN"/>
        </w:rPr>
        <w:t>4</w:t>
      </w:r>
      <w:r>
        <w:rPr>
          <w:rFonts w:hint="default" w:ascii="黑体" w:hAnsi="黑体" w:eastAsia="黑体" w:cs="黑体"/>
          <w:b w:val="0"/>
          <w:i w:val="0"/>
          <w:sz w:val="21"/>
          <w:highlight w:val="none"/>
          <w:lang w:val="en-US" w:eastAsia="zh-CN" w:bidi="ar-SA"/>
        </w:rPr>
        <w:t>　</w:t>
      </w:r>
      <w:r>
        <w:rPr>
          <w:rFonts w:hint="eastAsia" w:hAnsi="黑体" w:cs="黑体"/>
          <w:b w:val="0"/>
          <w:i w:val="0"/>
          <w:sz w:val="21"/>
          <w:highlight w:val="none"/>
          <w:lang w:val="en-US" w:eastAsia="zh-CN" w:bidi="ar-SA"/>
        </w:rPr>
        <w:t>生产过程异味管控</w:t>
      </w:r>
    </w:p>
    <w:p w14:paraId="21407F65">
      <w:pPr>
        <w:pStyle w:val="97"/>
        <w:spacing w:before="0" w:beforeLines="0" w:after="0" w:afterLines="0" w:line="240" w:lineRule="auto"/>
        <w:rPr>
          <w:rFonts w:hint="eastAsia" w:ascii="Times New Roman" w:eastAsia="宋体"/>
          <w:highlight w:val="none"/>
          <w:lang w:val="en-US" w:eastAsia="zh-CN"/>
        </w:rPr>
      </w:pPr>
      <w:r>
        <w:rPr>
          <w:rFonts w:hint="eastAsia"/>
          <w:highlight w:val="none"/>
        </w:rPr>
        <w:t>5.</w:t>
      </w:r>
      <w:r>
        <w:rPr>
          <w:rFonts w:hint="eastAsia"/>
          <w:highlight w:val="none"/>
          <w:lang w:val="en-US" w:eastAsia="zh-CN"/>
        </w:rPr>
        <w:t>4</w:t>
      </w:r>
      <w:r>
        <w:rPr>
          <w:rFonts w:hint="eastAsia"/>
          <w:highlight w:val="none"/>
        </w:rPr>
        <w:t>.</w:t>
      </w:r>
      <w:r>
        <w:rPr>
          <w:rFonts w:hint="eastAsia"/>
          <w:highlight w:val="none"/>
          <w:lang w:val="en-US" w:eastAsia="zh-CN"/>
        </w:rPr>
        <w:t>1</w:t>
      </w:r>
      <w:r>
        <w:rPr>
          <w:rFonts w:hint="default" w:ascii="黑体" w:hAnsi="黑体" w:eastAsia="黑体" w:cs="黑体"/>
          <w:b w:val="0"/>
          <w:i w:val="0"/>
          <w:sz w:val="21"/>
          <w:highlight w:val="none"/>
          <w:lang w:val="en-US" w:eastAsia="zh-CN" w:bidi="ar-SA"/>
        </w:rPr>
        <w:t>　</w:t>
      </w:r>
      <w:r>
        <w:rPr>
          <w:rFonts w:hint="eastAsia" w:ascii="Times New Roman" w:eastAsia="宋体"/>
          <w:highlight w:val="none"/>
          <w:lang w:val="en-US" w:eastAsia="zh-CN"/>
        </w:rPr>
        <w:t>企业应制定并严格执行涉异味工艺环节的标准化操作规程（SOP），明确各操作环节的异味管控要求。对于投料、出料、出渣、取样、清洗、包装、装卸、转运等高异味风险操作，应规定具体的操作条件、作业时段、操作时长和异味控制措施，作业时应采取必要的密闭、收集、清洁和现场巡查措施。</w:t>
      </w:r>
    </w:p>
    <w:p w14:paraId="1352F493">
      <w:pPr>
        <w:pStyle w:val="97"/>
        <w:spacing w:before="0" w:beforeLines="0" w:after="0" w:afterLines="0" w:line="240" w:lineRule="auto"/>
        <w:rPr>
          <w:rFonts w:hint="eastAsia" w:ascii="Times New Roman" w:eastAsia="宋体"/>
          <w:highlight w:val="none"/>
          <w:lang w:val="en-US" w:eastAsia="zh-CN"/>
        </w:rPr>
      </w:pPr>
      <w:r>
        <w:rPr>
          <w:rFonts w:hint="eastAsia"/>
          <w:highlight w:val="none"/>
        </w:rPr>
        <w:t>5.</w:t>
      </w:r>
      <w:r>
        <w:rPr>
          <w:rFonts w:hint="eastAsia"/>
          <w:highlight w:val="none"/>
          <w:lang w:val="en-US" w:eastAsia="zh-CN"/>
        </w:rPr>
        <w:t>4</w:t>
      </w:r>
      <w:r>
        <w:rPr>
          <w:rFonts w:hint="eastAsia"/>
          <w:highlight w:val="none"/>
        </w:rPr>
        <w:t>.</w:t>
      </w:r>
      <w:r>
        <w:rPr>
          <w:rFonts w:hint="eastAsia"/>
          <w:highlight w:val="none"/>
          <w:lang w:val="en-US" w:eastAsia="zh-CN"/>
        </w:rPr>
        <w:t>2</w:t>
      </w:r>
      <w:r>
        <w:rPr>
          <w:rFonts w:hint="default" w:ascii="黑体" w:hAnsi="黑体" w:eastAsia="黑体" w:cs="黑体"/>
          <w:b w:val="0"/>
          <w:i w:val="0"/>
          <w:sz w:val="21"/>
          <w:highlight w:val="none"/>
          <w:lang w:val="en-US" w:eastAsia="zh-CN" w:bidi="ar-SA"/>
        </w:rPr>
        <w:t>　</w:t>
      </w:r>
      <w:r>
        <w:rPr>
          <w:rFonts w:hint="eastAsia" w:ascii="Times New Roman" w:eastAsia="宋体"/>
          <w:highlight w:val="none"/>
          <w:lang w:val="en-US" w:eastAsia="zh-CN"/>
        </w:rPr>
        <w:t>生产期间密闭厂房、受控空间及涉异味构筑物的门窗、检修口、观察口、物料口等应保持关闭或受控状态。人员及物料进出应遵循“随进随出、即开即关”原则；对安装有负压指示装置的区域，应定期检查负压监测仪表，确保车间或受控区域负压工况稳定。</w:t>
      </w:r>
    </w:p>
    <w:p w14:paraId="32B7A78A">
      <w:pPr>
        <w:pStyle w:val="59"/>
        <w:autoSpaceDE/>
        <w:autoSpaceDN/>
        <w:spacing w:beforeLines="0" w:afterLines="0" w:line="240" w:lineRule="auto"/>
        <w:ind w:firstLine="0" w:firstLineChars="0"/>
        <w:rPr>
          <w:rFonts w:hint="eastAsia" w:ascii="Times New Roman" w:cs="Times New Roman"/>
          <w:b w:val="0"/>
          <w:i w:val="0"/>
          <w:sz w:val="21"/>
          <w:highlight w:val="none"/>
          <w:lang w:val="en-US" w:eastAsia="zh-CN" w:bidi="ar-SA"/>
        </w:rPr>
      </w:pPr>
      <w:r>
        <w:rPr>
          <w:rFonts w:hint="eastAsia" w:ascii="黑体" w:hAnsi="黑体" w:eastAsia="黑体" w:cs="黑体"/>
          <w:highlight w:val="none"/>
        </w:rPr>
        <w:t>5.</w:t>
      </w:r>
      <w:r>
        <w:rPr>
          <w:rFonts w:hint="eastAsia" w:ascii="黑体" w:hAnsi="黑体" w:eastAsia="黑体" w:cs="黑体"/>
          <w:highlight w:val="none"/>
          <w:lang w:val="en-US" w:eastAsia="zh-CN"/>
        </w:rPr>
        <w:t>4</w:t>
      </w:r>
      <w:r>
        <w:rPr>
          <w:rFonts w:hint="eastAsia" w:ascii="黑体" w:hAnsi="黑体" w:eastAsia="黑体" w:cs="黑体"/>
          <w:highlight w:val="none"/>
        </w:rPr>
        <w:t>.</w:t>
      </w:r>
      <w:r>
        <w:rPr>
          <w:rFonts w:hint="eastAsia" w:ascii="黑体" w:hAnsi="黑体" w:eastAsia="黑体" w:cs="黑体"/>
          <w:highlight w:val="none"/>
          <w:lang w:val="en-US" w:eastAsia="zh-CN"/>
        </w:rPr>
        <w:t>3</w:t>
      </w:r>
      <w:r>
        <w:rPr>
          <w:rFonts w:hint="default" w:ascii="黑体" w:hAnsi="黑体" w:eastAsia="黑体" w:cs="黑体"/>
          <w:b w:val="0"/>
          <w:i w:val="0"/>
          <w:sz w:val="21"/>
          <w:highlight w:val="none"/>
          <w:lang w:val="en-US" w:eastAsia="zh-CN" w:bidi="ar-SA"/>
        </w:rPr>
        <w:t>　</w:t>
      </w:r>
      <w:r>
        <w:rPr>
          <w:rFonts w:hint="eastAsia" w:ascii="Times New Roman" w:cs="Times New Roman"/>
          <w:b w:val="0"/>
          <w:i w:val="0"/>
          <w:sz w:val="21"/>
          <w:highlight w:val="none"/>
          <w:lang w:val="en-US" w:eastAsia="zh-CN" w:bidi="ar-SA"/>
        </w:rPr>
        <w:t>涉及调配、涂覆、印刷、干燥、清洗、粉碎、配料、混合、冷却、包装等易产生异味的工序，应在密闭或受控条件下运行；设备开口、物料落料点、包装口等易逸散部位宜设置局部收集设施，减少异味无组织逸散。涉及VOCs物料使用的工厂，应按照HJ 733、HJ 1230等要求开展泄漏检测与修复（LDAR）。应建立涉异味设备巡检制度，确保对相关设备的巡检频次不少于每天一次，发现泄漏及时处理。</w:t>
      </w:r>
    </w:p>
    <w:p w14:paraId="79F8EF76">
      <w:pPr>
        <w:pStyle w:val="59"/>
        <w:spacing w:line="275" w:lineRule="auto"/>
        <w:ind w:firstLine="0" w:firstLineChars="0"/>
        <w:rPr>
          <w:rFonts w:hint="default" w:ascii="Times New Roman" w:cs="Times New Roman"/>
          <w:b w:val="0"/>
          <w:i w:val="0"/>
          <w:sz w:val="21"/>
          <w:highlight w:val="none"/>
          <w:lang w:val="en-US" w:eastAsia="zh-CN" w:bidi="ar-SA"/>
        </w:rPr>
      </w:pPr>
      <w:r>
        <w:rPr>
          <w:rFonts w:hint="eastAsia" w:ascii="黑体" w:hAnsi="黑体" w:eastAsia="黑体" w:cs="黑体"/>
          <w:highlight w:val="none"/>
        </w:rPr>
        <w:t>5.</w:t>
      </w:r>
      <w:r>
        <w:rPr>
          <w:rFonts w:hint="eastAsia" w:ascii="黑体" w:hAnsi="黑体" w:eastAsia="黑体" w:cs="黑体"/>
          <w:highlight w:val="none"/>
          <w:lang w:val="en-US" w:eastAsia="zh-CN"/>
        </w:rPr>
        <w:t>4</w:t>
      </w:r>
      <w:r>
        <w:rPr>
          <w:rFonts w:hint="eastAsia" w:ascii="黑体" w:hAnsi="黑体" w:eastAsia="黑体" w:cs="黑体"/>
          <w:highlight w:val="none"/>
        </w:rPr>
        <w:t>.</w:t>
      </w:r>
      <w:r>
        <w:rPr>
          <w:rFonts w:hint="eastAsia" w:ascii="黑体" w:hAnsi="黑体" w:eastAsia="黑体" w:cs="黑体"/>
          <w:highlight w:val="none"/>
          <w:lang w:val="en-US" w:eastAsia="zh-CN"/>
        </w:rPr>
        <w:t>4</w:t>
      </w:r>
      <w:r>
        <w:rPr>
          <w:rFonts w:hint="default" w:ascii="黑体" w:hAnsi="黑体" w:eastAsia="黑体" w:cs="黑体"/>
          <w:b w:val="0"/>
          <w:i w:val="0"/>
          <w:sz w:val="21"/>
          <w:highlight w:val="none"/>
          <w:lang w:val="en-US" w:eastAsia="zh-CN" w:bidi="ar-SA"/>
        </w:rPr>
        <w:t>　</w:t>
      </w:r>
      <w:r>
        <w:rPr>
          <w:rFonts w:hint="default" w:ascii="Times New Roman" w:cs="Times New Roman"/>
          <w:b w:val="0"/>
          <w:i w:val="0"/>
          <w:sz w:val="21"/>
          <w:highlight w:val="none"/>
          <w:lang w:val="en-US" w:eastAsia="zh-CN" w:bidi="ar-SA"/>
        </w:rPr>
        <w:t>应建立生产现场清洁管理制度，及时清理洒落的物料、废料、污泥、油污、积水及其他易产生异味的残留物。沾染异味物质的废抹布、废手套、废包装桶、废过滤材料等固体废物或危险废物，应在产生后及时投入密闭收集容器，不得在生产现场敞开或露天堆放。密闭收集容器应定期清理并转运至指定储存场所</w:t>
      </w:r>
      <w:r>
        <w:rPr>
          <w:rFonts w:hint="eastAsia" w:ascii="Times New Roman" w:cs="Times New Roman"/>
          <w:b w:val="0"/>
          <w:i w:val="0"/>
          <w:sz w:val="21"/>
          <w:highlight w:val="none"/>
          <w:lang w:val="en-US" w:eastAsia="zh-CN" w:bidi="ar-SA"/>
        </w:rPr>
        <w:t>。</w:t>
      </w:r>
    </w:p>
    <w:p w14:paraId="02B59B07">
      <w:pPr>
        <w:pStyle w:val="68"/>
        <w:numPr>
          <w:ilvl w:val="0"/>
          <w:numId w:val="0"/>
        </w:numPr>
        <w:spacing w:before="156" w:after="156" w:line="275" w:lineRule="auto"/>
        <w:rPr>
          <w:rFonts w:hint="default" w:ascii="黑体" w:hAnsi="黑体" w:cs="黑体"/>
          <w:highlight w:val="none"/>
          <w:lang w:val="en-US"/>
        </w:rPr>
      </w:pPr>
      <w:r>
        <w:rPr>
          <w:rFonts w:hint="eastAsia" w:ascii="黑体" w:hAnsi="黑体" w:cs="黑体"/>
          <w:highlight w:val="none"/>
        </w:rPr>
        <w:t>5.</w:t>
      </w:r>
      <w:r>
        <w:rPr>
          <w:rFonts w:hint="eastAsia" w:hAnsi="黑体" w:cs="黑体"/>
          <w:highlight w:val="none"/>
          <w:lang w:val="en-US" w:eastAsia="zh-CN"/>
        </w:rPr>
        <w:t>5</w:t>
      </w:r>
      <w:r>
        <w:rPr>
          <w:rFonts w:hint="default" w:ascii="黑体" w:hAnsi="黑体" w:eastAsia="黑体" w:cs="黑体"/>
          <w:b w:val="0"/>
          <w:i w:val="0"/>
          <w:sz w:val="21"/>
          <w:highlight w:val="none"/>
          <w:lang w:val="en-US" w:eastAsia="zh-CN" w:bidi="ar-SA"/>
        </w:rPr>
        <w:t>　</w:t>
      </w:r>
      <w:r>
        <w:rPr>
          <w:rFonts w:hint="eastAsia" w:hAnsi="黑体" w:cs="黑体"/>
          <w:b w:val="0"/>
          <w:i w:val="0"/>
          <w:sz w:val="21"/>
          <w:highlight w:val="none"/>
          <w:lang w:val="en-US" w:eastAsia="zh-CN" w:bidi="ar-SA"/>
        </w:rPr>
        <w:t>非正常工况异味管控</w:t>
      </w:r>
    </w:p>
    <w:p w14:paraId="759260CF">
      <w:pPr>
        <w:pStyle w:val="59"/>
        <w:spacing w:line="275" w:lineRule="auto"/>
        <w:ind w:firstLine="0" w:firstLineChars="0"/>
        <w:rPr>
          <w:rFonts w:hint="eastAsia" w:ascii="Times New Roman"/>
          <w:highlight w:val="none"/>
          <w:lang w:val="en-US" w:eastAsia="zh-CN"/>
        </w:rPr>
      </w:pPr>
      <w:r>
        <w:rPr>
          <w:rFonts w:hint="eastAsia" w:ascii="黑体" w:hAnsi="黑体" w:eastAsia="黑体" w:cs="黑体"/>
          <w:highlight w:val="none"/>
        </w:rPr>
        <w:t>5.</w:t>
      </w:r>
      <w:r>
        <w:rPr>
          <w:rFonts w:hint="eastAsia" w:ascii="黑体" w:hAnsi="黑体" w:eastAsia="黑体" w:cs="黑体"/>
          <w:highlight w:val="none"/>
          <w:lang w:val="en-US" w:eastAsia="zh-CN"/>
        </w:rPr>
        <w:t>5</w:t>
      </w:r>
      <w:r>
        <w:rPr>
          <w:rFonts w:hint="eastAsia" w:ascii="黑体" w:hAnsi="黑体" w:eastAsia="黑体" w:cs="黑体"/>
          <w:highlight w:val="none"/>
        </w:rPr>
        <w:t>.</w:t>
      </w:r>
      <w:r>
        <w:rPr>
          <w:rFonts w:hint="eastAsia" w:ascii="黑体" w:hAnsi="黑体" w:eastAsia="黑体" w:cs="黑体"/>
          <w:highlight w:val="none"/>
          <w:lang w:val="en-US" w:eastAsia="zh-CN"/>
        </w:rPr>
        <w:t>1</w:t>
      </w:r>
      <w:r>
        <w:rPr>
          <w:rFonts w:hint="default" w:ascii="黑体" w:hAnsi="黑体" w:eastAsia="黑体" w:cs="黑体"/>
          <w:b w:val="0"/>
          <w:i w:val="0"/>
          <w:sz w:val="21"/>
          <w:highlight w:val="none"/>
          <w:lang w:val="en-US" w:eastAsia="zh-CN" w:bidi="ar-SA"/>
        </w:rPr>
        <w:t>　</w:t>
      </w:r>
      <w:r>
        <w:rPr>
          <w:rFonts w:hint="eastAsia" w:ascii="Times New Roman" w:eastAsia="宋体"/>
          <w:highlight w:val="none"/>
          <w:lang w:val="en-US" w:eastAsia="zh-CN"/>
        </w:rPr>
        <w:t>企业应将非正常工况纳入OMP。对于计划内的开停工、设备检修及清洗作业，以及计划外的设备故障、治理设施异常、物料泄漏、异常排放等情形，应制定专项异味管控方案和应急预案，明确触发条件、责任分工、控制措施、监测巡查、信息报告和恢复条件，并宜避开静风、逆温等不利于污染物扩散的气象条件，以及周边敏感目标的敏感时段</w:t>
      </w:r>
      <w:r>
        <w:rPr>
          <w:rFonts w:hint="eastAsia" w:ascii="Times New Roman"/>
          <w:highlight w:val="none"/>
          <w:lang w:val="en-US" w:eastAsia="zh-CN"/>
        </w:rPr>
        <w:t>。</w:t>
      </w:r>
    </w:p>
    <w:p w14:paraId="69522C7D">
      <w:pPr>
        <w:pStyle w:val="59"/>
        <w:spacing w:line="275" w:lineRule="auto"/>
        <w:ind w:firstLine="0" w:firstLineChars="0"/>
        <w:rPr>
          <w:rFonts w:hint="eastAsia" w:ascii="Times New Roman" w:hAnsi="Times New Roman" w:eastAsia="宋体" w:cs="Times New Roman"/>
          <w:b w:val="0"/>
          <w:i w:val="0"/>
          <w:sz w:val="21"/>
          <w:highlight w:val="none"/>
          <w:lang w:val="en-US" w:eastAsia="zh-CN" w:bidi="ar-SA"/>
        </w:rPr>
      </w:pPr>
      <w:r>
        <w:rPr>
          <w:rFonts w:hint="eastAsia" w:ascii="黑体" w:hAnsi="黑体" w:eastAsia="黑体" w:cs="黑体"/>
          <w:highlight w:val="none"/>
        </w:rPr>
        <w:t>5.</w:t>
      </w:r>
      <w:r>
        <w:rPr>
          <w:rFonts w:hint="eastAsia" w:ascii="黑体" w:hAnsi="黑体" w:eastAsia="黑体" w:cs="黑体"/>
          <w:highlight w:val="none"/>
          <w:lang w:val="en-US" w:eastAsia="zh-CN"/>
        </w:rPr>
        <w:t>5</w:t>
      </w:r>
      <w:r>
        <w:rPr>
          <w:rFonts w:hint="eastAsia" w:ascii="黑体" w:hAnsi="黑体" w:eastAsia="黑体" w:cs="黑体"/>
          <w:highlight w:val="none"/>
        </w:rPr>
        <w:t>.</w:t>
      </w:r>
      <w:r>
        <w:rPr>
          <w:rFonts w:hint="eastAsia" w:ascii="黑体" w:hAnsi="黑体" w:eastAsia="黑体" w:cs="黑体"/>
          <w:highlight w:val="none"/>
          <w:lang w:val="en-US" w:eastAsia="zh-CN"/>
        </w:rPr>
        <w:t>2</w:t>
      </w:r>
      <w:r>
        <w:rPr>
          <w:rFonts w:hint="default" w:ascii="黑体" w:hAnsi="黑体" w:eastAsia="黑体" w:cs="黑体"/>
          <w:b w:val="0"/>
          <w:i w:val="0"/>
          <w:sz w:val="21"/>
          <w:highlight w:val="none"/>
          <w:lang w:val="en-US" w:eastAsia="zh-CN" w:bidi="ar-SA"/>
        </w:rPr>
        <w:t>　</w:t>
      </w:r>
      <w:r>
        <w:rPr>
          <w:rFonts w:hint="eastAsia" w:ascii="Times New Roman" w:hAnsi="Times New Roman" w:eastAsia="宋体" w:cs="Times New Roman"/>
          <w:b w:val="0"/>
          <w:i w:val="0"/>
          <w:sz w:val="21"/>
          <w:highlight w:val="none"/>
          <w:lang w:val="en-US" w:eastAsia="zh-CN" w:bidi="ar-SA"/>
        </w:rPr>
        <w:t>涉异味设备及管道在开盖或拆卸前，应将内部残留的物料密闭退净，并采用蒸汽、氮气或清水进行彻底吹扫、置换或清洗。吹扫置换产生的废气应全收集并排入废气治理系统，或采取移动式收集处理等有效控制措施，不得直接向大气排放；产生的清洗废液应排入密闭收集系统。</w:t>
      </w:r>
    </w:p>
    <w:p w14:paraId="3A49838B">
      <w:pPr>
        <w:pStyle w:val="59"/>
        <w:spacing w:line="275" w:lineRule="auto"/>
        <w:ind w:firstLine="0" w:firstLineChars="0"/>
        <w:rPr>
          <w:rFonts w:hint="eastAsia" w:ascii="Times New Roman" w:hAnsi="Times New Roman" w:eastAsia="宋体" w:cs="Times New Roman"/>
          <w:b w:val="0"/>
          <w:i w:val="0"/>
          <w:sz w:val="21"/>
          <w:highlight w:val="none"/>
          <w:lang w:val="en-US" w:eastAsia="zh-CN" w:bidi="ar-SA"/>
        </w:rPr>
      </w:pPr>
      <w:r>
        <w:rPr>
          <w:rFonts w:hint="eastAsia" w:ascii="黑体" w:hAnsi="黑体" w:eastAsia="黑体" w:cs="黑体"/>
          <w:highlight w:val="none"/>
        </w:rPr>
        <w:t>5.</w:t>
      </w:r>
      <w:r>
        <w:rPr>
          <w:rFonts w:hint="eastAsia" w:ascii="黑体" w:hAnsi="黑体" w:eastAsia="黑体" w:cs="黑体"/>
          <w:highlight w:val="none"/>
          <w:lang w:val="en-US" w:eastAsia="zh-CN"/>
        </w:rPr>
        <w:t>5</w:t>
      </w:r>
      <w:r>
        <w:rPr>
          <w:rFonts w:hint="eastAsia" w:ascii="黑体" w:hAnsi="黑体" w:eastAsia="黑体" w:cs="黑体"/>
          <w:highlight w:val="none"/>
        </w:rPr>
        <w:t>.</w:t>
      </w:r>
      <w:r>
        <w:rPr>
          <w:rFonts w:hint="eastAsia" w:ascii="黑体" w:hAnsi="黑体" w:eastAsia="黑体" w:cs="黑体"/>
          <w:highlight w:val="none"/>
          <w:lang w:val="en-US" w:eastAsia="zh-CN"/>
        </w:rPr>
        <w:t>3</w:t>
      </w:r>
      <w:r>
        <w:rPr>
          <w:rFonts w:hint="default" w:ascii="黑体" w:hAnsi="黑体" w:eastAsia="黑体" w:cs="黑体"/>
          <w:b w:val="0"/>
          <w:i w:val="0"/>
          <w:sz w:val="21"/>
          <w:highlight w:val="none"/>
          <w:lang w:val="en-US" w:eastAsia="zh-CN" w:bidi="ar-SA"/>
        </w:rPr>
        <w:t>　</w:t>
      </w:r>
      <w:r>
        <w:rPr>
          <w:rFonts w:hint="eastAsia" w:ascii="Times New Roman" w:hAnsi="Times New Roman" w:eastAsia="宋体" w:cs="Times New Roman"/>
          <w:b w:val="0"/>
          <w:i w:val="0"/>
          <w:sz w:val="21"/>
          <w:highlight w:val="none"/>
          <w:lang w:val="en-US" w:eastAsia="zh-CN" w:bidi="ar-SA"/>
        </w:rPr>
        <w:t>在检维修作业期间，对于反应釜开孔检修等无法避免敞开的异味散发源，应采取设置临时封闭隔离区、加装移动式局部抽风除臭设备等管控措施，最大限度控制异味气体的无组织逸散。检维修结束后，应及时清理现场残留物料、清洗废液和受污染耗材，并恢复密闭、收集和治理设施正常状态。</w:t>
      </w:r>
    </w:p>
    <w:p w14:paraId="40E7D505">
      <w:pPr>
        <w:pStyle w:val="59"/>
        <w:spacing w:line="275" w:lineRule="auto"/>
        <w:ind w:firstLine="0" w:firstLineChars="0"/>
        <w:rPr>
          <w:rFonts w:hint="eastAsia" w:ascii="Times New Roman" w:hAnsi="Times New Roman" w:eastAsia="宋体" w:cs="Times New Roman"/>
          <w:b w:val="0"/>
          <w:i w:val="0"/>
          <w:sz w:val="21"/>
          <w:highlight w:val="none"/>
          <w:lang w:val="en-US" w:eastAsia="zh-CN" w:bidi="ar-SA"/>
        </w:rPr>
      </w:pPr>
      <w:r>
        <w:rPr>
          <w:rFonts w:hint="eastAsia" w:ascii="黑体" w:hAnsi="黑体" w:eastAsia="黑体" w:cs="黑体"/>
          <w:highlight w:val="none"/>
        </w:rPr>
        <w:t>5.</w:t>
      </w:r>
      <w:r>
        <w:rPr>
          <w:rFonts w:hint="eastAsia" w:ascii="黑体" w:hAnsi="黑体" w:eastAsia="黑体" w:cs="黑体"/>
          <w:highlight w:val="none"/>
          <w:lang w:val="en-US" w:eastAsia="zh-CN"/>
        </w:rPr>
        <w:t>5</w:t>
      </w:r>
      <w:r>
        <w:rPr>
          <w:rFonts w:hint="eastAsia" w:ascii="黑体" w:hAnsi="黑体" w:eastAsia="黑体" w:cs="黑体"/>
          <w:highlight w:val="none"/>
        </w:rPr>
        <w:t>.</w:t>
      </w:r>
      <w:r>
        <w:rPr>
          <w:rFonts w:hint="eastAsia" w:ascii="黑体" w:hAnsi="黑体" w:eastAsia="黑体" w:cs="黑体"/>
          <w:highlight w:val="none"/>
          <w:lang w:val="en-US" w:eastAsia="zh-CN"/>
        </w:rPr>
        <w:t>4</w:t>
      </w:r>
      <w:r>
        <w:rPr>
          <w:rFonts w:hint="default" w:ascii="黑体" w:hAnsi="黑体" w:eastAsia="黑体" w:cs="黑体"/>
          <w:b w:val="0"/>
          <w:i w:val="0"/>
          <w:sz w:val="21"/>
          <w:highlight w:val="none"/>
          <w:lang w:val="en-US" w:eastAsia="zh-CN" w:bidi="ar-SA"/>
        </w:rPr>
        <w:t>　</w:t>
      </w:r>
      <w:r>
        <w:rPr>
          <w:rFonts w:hint="eastAsia" w:ascii="Times New Roman" w:hAnsi="Times New Roman" w:eastAsia="宋体" w:cs="Times New Roman"/>
          <w:b w:val="0"/>
          <w:i w:val="0"/>
          <w:sz w:val="21"/>
          <w:highlight w:val="none"/>
          <w:lang w:val="en-US" w:eastAsia="zh-CN" w:bidi="ar-SA"/>
        </w:rPr>
        <w:t>当异味末端治理设施发生突发故障时，应立即启动应急响应预案。在保障工艺安全的前提下，涉异味生产工序应同步采取停止运行、降低生产负荷、切换备用治理设施、启用应急收集处理设施等措施，待治理设施恢复正常后方可恢复正常生产。废气治理设施的非计划停运时间、影响范围及采取的应对措施应如实记录备查。</w:t>
      </w:r>
    </w:p>
    <w:p w14:paraId="7D33E883">
      <w:pPr>
        <w:pStyle w:val="59"/>
        <w:spacing w:line="275" w:lineRule="auto"/>
        <w:ind w:firstLine="0" w:firstLineChars="0"/>
        <w:rPr>
          <w:rFonts w:hint="default" w:ascii="Times New Roman" w:hAnsi="Times New Roman" w:cs="Times New Roman"/>
          <w:highlight w:val="none"/>
        </w:rPr>
      </w:pPr>
      <w:r>
        <w:rPr>
          <w:rFonts w:hint="eastAsia" w:ascii="黑体" w:hAnsi="黑体" w:eastAsia="黑体" w:cs="黑体"/>
          <w:highlight w:val="none"/>
        </w:rPr>
        <w:t>5.</w:t>
      </w:r>
      <w:r>
        <w:rPr>
          <w:rFonts w:hint="eastAsia" w:ascii="黑体" w:hAnsi="黑体" w:eastAsia="黑体" w:cs="黑体"/>
          <w:highlight w:val="none"/>
          <w:lang w:val="en-US" w:eastAsia="zh-CN"/>
        </w:rPr>
        <w:t>5</w:t>
      </w:r>
      <w:r>
        <w:rPr>
          <w:rFonts w:hint="eastAsia" w:ascii="黑体" w:hAnsi="黑体" w:eastAsia="黑体" w:cs="黑体"/>
          <w:highlight w:val="none"/>
        </w:rPr>
        <w:t>.</w:t>
      </w:r>
      <w:r>
        <w:rPr>
          <w:rFonts w:hint="eastAsia" w:ascii="黑体" w:hAnsi="黑体" w:eastAsia="黑体" w:cs="黑体"/>
          <w:highlight w:val="none"/>
          <w:lang w:val="en-US" w:eastAsia="zh-CN"/>
        </w:rPr>
        <w:t>5</w:t>
      </w:r>
      <w:r>
        <w:rPr>
          <w:rFonts w:hint="default" w:ascii="黑体" w:hAnsi="黑体" w:eastAsia="黑体" w:cs="黑体"/>
          <w:b w:val="0"/>
          <w:i w:val="0"/>
          <w:sz w:val="21"/>
          <w:highlight w:val="none"/>
          <w:lang w:val="en-US" w:eastAsia="zh-CN" w:bidi="ar-SA"/>
        </w:rPr>
        <w:t>　</w:t>
      </w:r>
      <w:r>
        <w:rPr>
          <w:rFonts w:hint="eastAsia" w:ascii="Times New Roman" w:hAnsi="Times New Roman" w:eastAsia="宋体" w:cs="Times New Roman"/>
          <w:b w:val="0"/>
          <w:i w:val="0"/>
          <w:sz w:val="21"/>
          <w:highlight w:val="none"/>
          <w:lang w:val="en-US" w:eastAsia="zh-CN" w:bidi="ar-SA"/>
        </w:rPr>
        <w:t>生产装置的紧急泄放系统若涉及高浓度特征异味气体，宜接入火炬系统或具备等效处理能力的应急处理设施；确因安全技术受限无法接入的，应在泄放事件发生后立即采取工艺调整措施消除异常，开展异味影响巡查或监测，评估对厂界和周边敏感目标的影响，并按规定进行记录与上报。</w:t>
      </w:r>
    </w:p>
    <w:p w14:paraId="66AA2C3C">
      <w:pPr>
        <w:pStyle w:val="68"/>
        <w:numPr>
          <w:ilvl w:val="0"/>
          <w:numId w:val="0"/>
        </w:numPr>
        <w:spacing w:before="156" w:after="156" w:line="275" w:lineRule="auto"/>
        <w:rPr>
          <w:rFonts w:hint="eastAsia" w:ascii="宋体" w:hAnsi="宋体" w:eastAsia="黑体" w:cs="宋体"/>
          <w:highlight w:val="none"/>
          <w:lang w:eastAsia="zh-CN"/>
        </w:rPr>
      </w:pPr>
      <w:r>
        <w:rPr>
          <w:rFonts w:hint="eastAsia" w:ascii="黑体" w:hAnsi="黑体" w:cs="黑体"/>
          <w:highlight w:val="none"/>
        </w:rPr>
        <w:t>5.</w:t>
      </w:r>
      <w:r>
        <w:rPr>
          <w:rFonts w:hint="eastAsia" w:hAnsi="黑体" w:cs="黑体"/>
          <w:highlight w:val="none"/>
          <w:lang w:val="en-US" w:eastAsia="zh-CN"/>
        </w:rPr>
        <w:t>6</w:t>
      </w:r>
      <w:r>
        <w:rPr>
          <w:rFonts w:hint="default" w:ascii="黑体" w:hAnsi="黑体" w:eastAsia="黑体" w:cs="黑体"/>
          <w:b w:val="0"/>
          <w:i w:val="0"/>
          <w:sz w:val="21"/>
          <w:highlight w:val="none"/>
          <w:lang w:val="en-US" w:eastAsia="zh-CN" w:bidi="ar-SA"/>
        </w:rPr>
        <w:t>　</w:t>
      </w:r>
      <w:r>
        <w:rPr>
          <w:rFonts w:hint="eastAsia" w:hAnsi="黑体" w:cs="黑体"/>
          <w:highlight w:val="none"/>
          <w:lang w:val="en-US" w:eastAsia="zh-CN"/>
        </w:rPr>
        <w:t>异味污染</w:t>
      </w:r>
      <w:r>
        <w:rPr>
          <w:rFonts w:hint="eastAsia" w:ascii="黑体" w:hAnsi="黑体" w:cs="黑体"/>
          <w:highlight w:val="none"/>
        </w:rPr>
        <w:t>末端治理</w:t>
      </w:r>
    </w:p>
    <w:p w14:paraId="6664A43D">
      <w:pPr>
        <w:pStyle w:val="97"/>
        <w:spacing w:before="0" w:beforeLines="0" w:after="0" w:afterLines="0"/>
        <w:rPr>
          <w:rFonts w:hint="eastAsia" w:ascii="Times New Roman" w:eastAsia="宋体"/>
          <w:highlight w:val="none"/>
          <w:lang w:eastAsia="zh-CN"/>
        </w:rPr>
      </w:pPr>
      <w:r>
        <w:rPr>
          <w:rFonts w:hint="eastAsia"/>
          <w:highlight w:val="none"/>
        </w:rPr>
        <w:t>5.</w:t>
      </w:r>
      <w:r>
        <w:rPr>
          <w:rFonts w:hint="eastAsia"/>
          <w:highlight w:val="none"/>
          <w:lang w:val="en-US" w:eastAsia="zh-CN"/>
        </w:rPr>
        <w:t>6</w:t>
      </w:r>
      <w:r>
        <w:rPr>
          <w:rFonts w:hint="eastAsia"/>
          <w:highlight w:val="none"/>
        </w:rPr>
        <w:t>.1</w:t>
      </w:r>
      <w:r>
        <w:rPr>
          <w:rFonts w:hint="default" w:ascii="黑体" w:hAnsi="黑体" w:eastAsia="黑体" w:cs="黑体"/>
          <w:b w:val="0"/>
          <w:i w:val="0"/>
          <w:sz w:val="21"/>
          <w:highlight w:val="none"/>
          <w:lang w:val="en-US" w:eastAsia="zh-CN" w:bidi="ar-SA"/>
        </w:rPr>
        <w:t>　</w:t>
      </w:r>
      <w:r>
        <w:rPr>
          <w:rFonts w:hint="default" w:ascii="Times New Roman" w:eastAsia="宋体"/>
          <w:highlight w:val="none"/>
        </w:rPr>
        <w:t>企业应按照T/ACEF</w:t>
      </w:r>
      <w:r>
        <w:rPr>
          <w:rFonts w:hint="eastAsia" w:ascii="Times New Roman" w:eastAsia="宋体"/>
          <w:highlight w:val="none"/>
          <w:lang w:val="en-US" w:eastAsia="zh-CN"/>
        </w:rPr>
        <w:t xml:space="preserve"> </w:t>
      </w:r>
      <w:r>
        <w:rPr>
          <w:rFonts w:hint="default" w:ascii="Times New Roman" w:eastAsia="宋体"/>
          <w:highlight w:val="none"/>
        </w:rPr>
        <w:t>207的规定设置废气收集系统。产生异味的生产设备及构筑物应优先采取整体密闭或局部封闭措施并维持微负压运行，密闭设施应保持完好，不应有孔洞、缝隙。对于无法实施密闭的异味源，应根据工艺需求安装适宜的高效集气罩，并结合异味源散发强度、散发方向、作业方式和周边气流组织合理确定收集方式及控制风速。一般异味源的控制风速不宜低于0.3</w:t>
      </w:r>
      <w:r>
        <w:rPr>
          <w:rFonts w:hint="eastAsia" w:ascii="Times New Roman" w:eastAsia="宋体"/>
          <w:highlight w:val="none"/>
          <w:lang w:val="en-US" w:eastAsia="zh-CN"/>
        </w:rPr>
        <w:t xml:space="preserve"> </w:t>
      </w:r>
      <w:r>
        <w:rPr>
          <w:rFonts w:hint="default" w:ascii="Times New Roman" w:eastAsia="宋体"/>
          <w:highlight w:val="none"/>
        </w:rPr>
        <w:t>m/s；对于产生高浓度特征异味污染物或存在横向气流干扰的区域，应适当提高控制风速，确保废气收集效果满足设计要求。</w:t>
      </w:r>
    </w:p>
    <w:p w14:paraId="33C91242">
      <w:pPr>
        <w:pStyle w:val="97"/>
        <w:spacing w:before="0" w:beforeLines="0" w:after="0" w:afterLines="0"/>
        <w:rPr>
          <w:rFonts w:hint="eastAsia" w:ascii="Times New Roman" w:eastAsia="宋体"/>
          <w:highlight w:val="none"/>
          <w:lang w:eastAsia="zh-CN"/>
        </w:rPr>
      </w:pPr>
      <w:r>
        <w:rPr>
          <w:rFonts w:hint="eastAsia"/>
          <w:highlight w:val="none"/>
        </w:rPr>
        <w:t>5.</w:t>
      </w:r>
      <w:r>
        <w:rPr>
          <w:rFonts w:hint="eastAsia"/>
          <w:highlight w:val="none"/>
          <w:lang w:val="en-US" w:eastAsia="zh-CN"/>
        </w:rPr>
        <w:t>6</w:t>
      </w:r>
      <w:r>
        <w:rPr>
          <w:rFonts w:hint="eastAsia"/>
          <w:highlight w:val="none"/>
        </w:rPr>
        <w:t>.</w:t>
      </w:r>
      <w:r>
        <w:rPr>
          <w:rFonts w:hint="eastAsia"/>
          <w:highlight w:val="none"/>
          <w:lang w:val="en-US" w:eastAsia="zh-CN"/>
        </w:rPr>
        <w:t>2</w:t>
      </w:r>
      <w:r>
        <w:rPr>
          <w:rFonts w:hint="default" w:ascii="黑体" w:hAnsi="黑体" w:eastAsia="黑体" w:cs="黑体"/>
          <w:b w:val="0"/>
          <w:i w:val="0"/>
          <w:sz w:val="21"/>
          <w:highlight w:val="none"/>
          <w:lang w:val="en-US" w:eastAsia="zh-CN" w:bidi="ar-SA"/>
        </w:rPr>
        <w:t>　</w:t>
      </w:r>
      <w:r>
        <w:rPr>
          <w:rFonts w:hint="default" w:ascii="Times New Roman" w:eastAsia="宋体"/>
          <w:highlight w:val="none"/>
        </w:rPr>
        <w:t>进入末端治理设施前的废气应根据其理化性质进行必要的预处理，以保障治理设施的安全稳定运行。对于含有颗粒物、漆雾或油雾的废气，应设置高效过滤或洗涤装置进行预处理；对于高温或高湿废气，应配备冷却降温或气水分离设施；对于含有酸性、碱性等腐蚀性组分的废气，在进入蓄热式燃烧（RTO）或催化燃烧（RCO）等装置前，应采用化学洗涤吸收等方式进行预处理，防止腐蚀设备本体或产生二次污染。</w:t>
      </w:r>
    </w:p>
    <w:p w14:paraId="0A0E75CA">
      <w:pPr>
        <w:pStyle w:val="97"/>
        <w:spacing w:before="0" w:beforeLines="0" w:after="0" w:afterLines="0"/>
        <w:rPr>
          <w:rFonts w:hint="default" w:ascii="宋体" w:eastAsia="宋体"/>
          <w:highlight w:val="none"/>
          <w:lang w:val="en-US" w:eastAsia="zh-CN"/>
        </w:rPr>
      </w:pPr>
      <w:r>
        <w:rPr>
          <w:rFonts w:hint="eastAsia"/>
          <w:highlight w:val="none"/>
        </w:rPr>
        <w:t>5.</w:t>
      </w:r>
      <w:r>
        <w:rPr>
          <w:rFonts w:hint="eastAsia"/>
          <w:highlight w:val="none"/>
          <w:lang w:val="en-US" w:eastAsia="zh-CN"/>
        </w:rPr>
        <w:t>6</w:t>
      </w:r>
      <w:r>
        <w:rPr>
          <w:rFonts w:hint="eastAsia"/>
          <w:highlight w:val="none"/>
        </w:rPr>
        <w:t>.</w:t>
      </w:r>
      <w:r>
        <w:rPr>
          <w:rFonts w:hint="eastAsia"/>
          <w:highlight w:val="none"/>
          <w:lang w:val="en-US" w:eastAsia="zh-CN"/>
        </w:rPr>
        <w:t>3</w:t>
      </w:r>
      <w:r>
        <w:rPr>
          <w:rFonts w:hint="default" w:ascii="黑体" w:hAnsi="黑体" w:eastAsia="黑体" w:cs="黑体"/>
          <w:b w:val="0"/>
          <w:i w:val="0"/>
          <w:sz w:val="21"/>
          <w:highlight w:val="none"/>
          <w:lang w:val="en-US" w:eastAsia="zh-CN" w:bidi="ar-SA"/>
        </w:rPr>
        <w:t>　</w:t>
      </w:r>
      <w:r>
        <w:rPr>
          <w:rFonts w:hint="default" w:ascii="Times New Roman" w:eastAsia="宋体"/>
          <w:highlight w:val="none"/>
        </w:rPr>
        <w:t>企业应根据异味废气的风量、浓度、组分、温度、湿度、波动特征及去除效率要求，选择适用的污染防治可行技术。对单一治理技术难以稳定满足控制要求的复合型异味废气，宜采用预处理、吸收、吸附、生物、燃烧、催化氧化等组合治理工艺。对于中高浓度异味废气，不应仅采用单一的水喷淋、光催化、低温等离子体等低效技术进行处理。</w:t>
      </w:r>
    </w:p>
    <w:p w14:paraId="3419CBCA">
      <w:pPr>
        <w:pStyle w:val="97"/>
        <w:spacing w:before="0" w:beforeLines="0" w:after="0" w:afterLines="0"/>
        <w:rPr>
          <w:rFonts w:hint="eastAsia" w:ascii="Times New Roman" w:eastAsia="宋体"/>
          <w:highlight w:val="none"/>
          <w:lang w:eastAsia="zh-CN"/>
        </w:rPr>
      </w:pPr>
      <w:r>
        <w:rPr>
          <w:rFonts w:hint="eastAsia"/>
          <w:highlight w:val="none"/>
        </w:rPr>
        <w:t>5.</w:t>
      </w:r>
      <w:r>
        <w:rPr>
          <w:rFonts w:hint="eastAsia"/>
          <w:highlight w:val="none"/>
          <w:lang w:val="en-US" w:eastAsia="zh-CN"/>
        </w:rPr>
        <w:t>6</w:t>
      </w:r>
      <w:r>
        <w:rPr>
          <w:rFonts w:hint="eastAsia"/>
          <w:highlight w:val="none"/>
        </w:rPr>
        <w:t>.</w:t>
      </w:r>
      <w:r>
        <w:rPr>
          <w:rFonts w:hint="eastAsia"/>
          <w:highlight w:val="none"/>
          <w:lang w:val="en-US" w:eastAsia="zh-CN"/>
        </w:rPr>
        <w:t>4</w:t>
      </w:r>
      <w:r>
        <w:rPr>
          <w:rFonts w:hint="default" w:ascii="黑体" w:hAnsi="黑体" w:eastAsia="黑体" w:cs="黑体"/>
          <w:b w:val="0"/>
          <w:i w:val="0"/>
          <w:sz w:val="21"/>
          <w:highlight w:val="none"/>
          <w:lang w:val="en-US" w:eastAsia="zh-CN" w:bidi="ar-SA"/>
        </w:rPr>
        <w:t>　</w:t>
      </w:r>
      <w:r>
        <w:rPr>
          <w:rFonts w:hint="default" w:ascii="Times New Roman" w:eastAsia="宋体"/>
          <w:highlight w:val="none"/>
        </w:rPr>
        <w:t>异味废气排气筒的高度和位置设置应符合环境影响评价文件及相关标准的要求。排气筒应按照相关规范要求设置永久性采样口、采样平台及监测爬梯，采样口位置应满足规范要求的直管段长度，以便于开展自行监测和监督性监测。排气筒排放应避免对厂界、办公生活区及周边敏感目标产生明显异味影响</w:t>
      </w:r>
      <w:r>
        <w:rPr>
          <w:rFonts w:hint="eastAsia" w:ascii="Times New Roman" w:eastAsia="宋体"/>
          <w:highlight w:val="none"/>
          <w:lang w:eastAsia="zh-CN"/>
        </w:rPr>
        <w:t>。</w:t>
      </w:r>
    </w:p>
    <w:p w14:paraId="7D01C735">
      <w:pPr>
        <w:pStyle w:val="97"/>
        <w:spacing w:before="156" w:after="156"/>
        <w:rPr>
          <w:highlight w:val="none"/>
        </w:rPr>
      </w:pPr>
      <w:r>
        <w:rPr>
          <w:rFonts w:hint="eastAsia"/>
          <w:highlight w:val="none"/>
        </w:rPr>
        <w:t>5.</w:t>
      </w:r>
      <w:r>
        <w:rPr>
          <w:rFonts w:hint="eastAsia"/>
          <w:highlight w:val="none"/>
          <w:lang w:val="en-US" w:eastAsia="zh-CN"/>
        </w:rPr>
        <w:t>7</w:t>
      </w:r>
      <w:r>
        <w:rPr>
          <w:rFonts w:hint="default" w:ascii="黑体" w:hAnsi="黑体" w:eastAsia="黑体" w:cs="黑体"/>
          <w:b w:val="0"/>
          <w:i w:val="0"/>
          <w:sz w:val="21"/>
          <w:highlight w:val="none"/>
          <w:lang w:val="en-US" w:eastAsia="zh-CN" w:bidi="ar-SA"/>
        </w:rPr>
        <w:t>　</w:t>
      </w:r>
      <w:r>
        <w:rPr>
          <w:rFonts w:hint="eastAsia"/>
          <w:highlight w:val="none"/>
          <w:lang w:val="en-US" w:eastAsia="zh-CN"/>
        </w:rPr>
        <w:t>治理设施</w:t>
      </w:r>
      <w:r>
        <w:rPr>
          <w:rFonts w:hint="eastAsia"/>
          <w:highlight w:val="none"/>
        </w:rPr>
        <w:t>运行管理</w:t>
      </w:r>
    </w:p>
    <w:p w14:paraId="08E75BB0">
      <w:pPr>
        <w:pStyle w:val="59"/>
        <w:ind w:firstLine="0" w:firstLineChars="0"/>
        <w:rPr>
          <w:rFonts w:hint="eastAsia" w:ascii="Times New Roman" w:cs="Times New Roman"/>
          <w:b w:val="0"/>
          <w:i w:val="0"/>
          <w:sz w:val="21"/>
          <w:highlight w:val="none"/>
          <w:lang w:val="en-US" w:eastAsia="zh-CN" w:bidi="ar-SA"/>
        </w:rPr>
      </w:pPr>
      <w:r>
        <w:rPr>
          <w:rFonts w:hint="eastAsia" w:ascii="黑体" w:hAnsi="黑体" w:eastAsia="黑体" w:cs="黑体"/>
          <w:highlight w:val="none"/>
        </w:rPr>
        <w:t>5.</w:t>
      </w:r>
      <w:r>
        <w:rPr>
          <w:rFonts w:hint="eastAsia" w:ascii="黑体" w:hAnsi="黑体" w:eastAsia="黑体" w:cs="黑体"/>
          <w:highlight w:val="none"/>
          <w:lang w:val="en-US" w:eastAsia="zh-CN"/>
        </w:rPr>
        <w:t>7</w:t>
      </w:r>
      <w:r>
        <w:rPr>
          <w:rFonts w:hint="eastAsia" w:ascii="黑体" w:hAnsi="黑体" w:eastAsia="黑体" w:cs="黑体"/>
          <w:highlight w:val="none"/>
        </w:rPr>
        <w:t>.</w:t>
      </w:r>
      <w:r>
        <w:rPr>
          <w:rFonts w:hint="eastAsia" w:ascii="黑体" w:hAnsi="黑体" w:eastAsia="黑体" w:cs="黑体"/>
          <w:highlight w:val="none"/>
          <w:lang w:val="en-US" w:eastAsia="zh-CN"/>
        </w:rPr>
        <w:t>1</w:t>
      </w:r>
      <w:r>
        <w:rPr>
          <w:rFonts w:hint="default" w:ascii="黑体" w:hAnsi="黑体" w:eastAsia="黑体" w:cs="黑体"/>
          <w:b w:val="0"/>
          <w:i w:val="0"/>
          <w:sz w:val="21"/>
          <w:highlight w:val="none"/>
          <w:lang w:val="en-US" w:eastAsia="zh-CN" w:bidi="ar-SA"/>
        </w:rPr>
        <w:t>　</w:t>
      </w:r>
      <w:r>
        <w:rPr>
          <w:rFonts w:hint="default" w:ascii="Times New Roman" w:hAnsi="Times New Roman" w:eastAsia="宋体" w:cs="Times New Roman"/>
          <w:b w:val="0"/>
          <w:i w:val="0"/>
          <w:sz w:val="21"/>
          <w:highlight w:val="none"/>
          <w:lang w:val="en-US" w:eastAsia="zh-CN" w:bidi="ar-SA"/>
        </w:rPr>
        <w:t>企业应建立异味治理设施的运行管理制度和操作规程，明确设施的启停程序、运行参数控制范围、维护保养周期及应急处置措施。治理设施的操作人员应经专业培训合格后上岗，并严格按照操作规程进行作业。异味治理设施应先于产生异味的生产设施启动，后于生产设施停止运行；确因工艺安全或设施特性无法实现的，应采取替代控制措施。</w:t>
      </w:r>
    </w:p>
    <w:p w14:paraId="2CC5971C">
      <w:pPr>
        <w:pStyle w:val="59"/>
        <w:ind w:left="0" w:firstLine="0" w:firstLineChars="0"/>
        <w:rPr>
          <w:rFonts w:hint="default" w:ascii="Times New Roman" w:hAnsi="Times New Roman" w:eastAsia="黑体" w:cs="Times New Roman"/>
          <w:highlight w:val="none"/>
        </w:rPr>
      </w:pPr>
      <w:r>
        <w:rPr>
          <w:rFonts w:hint="eastAsia" w:ascii="黑体" w:hAnsi="黑体" w:eastAsia="黑体" w:cs="黑体"/>
          <w:highlight w:val="none"/>
        </w:rPr>
        <w:t>5.</w:t>
      </w:r>
      <w:r>
        <w:rPr>
          <w:rFonts w:hint="eastAsia" w:ascii="黑体" w:hAnsi="黑体" w:eastAsia="黑体" w:cs="黑体"/>
          <w:highlight w:val="none"/>
          <w:lang w:val="en-US" w:eastAsia="zh-CN"/>
        </w:rPr>
        <w:t>7</w:t>
      </w:r>
      <w:r>
        <w:rPr>
          <w:rFonts w:hint="eastAsia" w:ascii="黑体" w:hAnsi="黑体" w:eastAsia="黑体" w:cs="黑体"/>
          <w:highlight w:val="none"/>
        </w:rPr>
        <w:t>.</w:t>
      </w:r>
      <w:r>
        <w:rPr>
          <w:rFonts w:hint="eastAsia" w:ascii="黑体" w:hAnsi="黑体" w:eastAsia="黑体" w:cs="黑体"/>
          <w:highlight w:val="none"/>
          <w:lang w:val="en-US" w:eastAsia="zh-CN"/>
        </w:rPr>
        <w:t>2</w:t>
      </w:r>
      <w:r>
        <w:rPr>
          <w:rFonts w:hint="default" w:ascii="黑体" w:hAnsi="黑体" w:eastAsia="黑体" w:cs="黑体"/>
          <w:b w:val="0"/>
          <w:i w:val="0"/>
          <w:sz w:val="21"/>
          <w:highlight w:val="none"/>
          <w:lang w:val="en-US" w:eastAsia="zh-CN" w:bidi="ar-SA"/>
        </w:rPr>
        <w:t>　</w:t>
      </w:r>
      <w:r>
        <w:rPr>
          <w:rFonts w:hint="default" w:ascii="Times New Roman" w:hAnsi="Times New Roman" w:eastAsia="宋体" w:cs="Times New Roman"/>
          <w:b w:val="0"/>
          <w:i w:val="0"/>
          <w:sz w:val="21"/>
          <w:highlight w:val="none"/>
          <w:lang w:val="en-US" w:eastAsia="zh-CN" w:bidi="ar-SA"/>
        </w:rPr>
        <w:t>企业应实施关键运行参数的实时监控与记录。采用燃烧法处理的，应连续监控燃烧温度、风量及助燃燃料消耗量；采用吸附法处理的，应监控进出口风量、压差、废气温度及脱附参数；采用化学吸收法处理的，应监控循环液的pH值、氧化还原电位、液位及加药量；采用生物法处理的，应监控填料床的压差、湿度、温度等参数。关键运行参数超出正常范围时，应及时预警、排查原因并采取调整措施</w:t>
      </w:r>
      <w:r>
        <w:rPr>
          <w:rFonts w:hint="eastAsia" w:ascii="Times New Roman" w:cs="Times New Roman"/>
          <w:b w:val="0"/>
          <w:i w:val="0"/>
          <w:sz w:val="21"/>
          <w:highlight w:val="none"/>
          <w:lang w:val="en-US" w:eastAsia="zh-CN" w:bidi="ar-SA"/>
        </w:rPr>
        <w:t>。</w:t>
      </w:r>
    </w:p>
    <w:p w14:paraId="60020F36">
      <w:pPr>
        <w:pStyle w:val="59"/>
        <w:spacing w:line="240" w:lineRule="auto"/>
        <w:ind w:firstLine="0" w:firstLineChars="0"/>
        <w:rPr>
          <w:rFonts w:hint="eastAsia" w:ascii="Times New Roman" w:cs="Times New Roman"/>
          <w:highlight w:val="none"/>
          <w:lang w:val="en-US" w:eastAsia="zh-CN"/>
        </w:rPr>
      </w:pPr>
      <w:r>
        <w:rPr>
          <w:rFonts w:hint="eastAsia" w:ascii="黑体" w:hAnsi="黑体" w:eastAsia="黑体" w:cs="黑体"/>
          <w:highlight w:val="none"/>
        </w:rPr>
        <w:t>5.</w:t>
      </w:r>
      <w:r>
        <w:rPr>
          <w:rFonts w:hint="eastAsia" w:ascii="黑体" w:hAnsi="黑体" w:eastAsia="黑体" w:cs="黑体"/>
          <w:highlight w:val="none"/>
          <w:lang w:val="en-US" w:eastAsia="zh-CN"/>
        </w:rPr>
        <w:t>7</w:t>
      </w:r>
      <w:r>
        <w:rPr>
          <w:rFonts w:hint="eastAsia" w:ascii="黑体" w:hAnsi="黑体" w:eastAsia="黑体" w:cs="黑体"/>
          <w:highlight w:val="none"/>
        </w:rPr>
        <w:t>.</w:t>
      </w:r>
      <w:r>
        <w:rPr>
          <w:rFonts w:hint="eastAsia" w:ascii="黑体" w:hAnsi="黑体" w:eastAsia="黑体" w:cs="黑体"/>
          <w:highlight w:val="none"/>
          <w:lang w:val="en-US" w:eastAsia="zh-CN"/>
        </w:rPr>
        <w:t>3</w:t>
      </w:r>
      <w:r>
        <w:rPr>
          <w:rFonts w:hint="default" w:ascii="黑体" w:hAnsi="黑体" w:eastAsia="黑体" w:cs="黑体"/>
          <w:b w:val="0"/>
          <w:i w:val="0"/>
          <w:sz w:val="21"/>
          <w:highlight w:val="none"/>
          <w:lang w:val="en-US" w:eastAsia="zh-CN" w:bidi="ar-SA"/>
        </w:rPr>
        <w:t>　</w:t>
      </w:r>
      <w:r>
        <w:rPr>
          <w:rFonts w:hint="default" w:ascii="Times New Roman" w:hAnsi="Times New Roman" w:cs="Times New Roman"/>
          <w:highlight w:val="none"/>
        </w:rPr>
        <w:t>企业应建立治理设施耗材的动态管理与更换机制。吸附剂、催化剂、吸收液、除雾网、生物填料等关键耗材，应根据实际运行负荷、处理效率监测数据或穿透报警信号及时再生或更换，不得仅凭理论设计寿命超期服役，防止治理设施低效或失效运行。耗材更换、再生、处置及相关检测情况应记录备查</w:t>
      </w:r>
      <w:r>
        <w:rPr>
          <w:rFonts w:hint="eastAsia" w:ascii="Times New Roman" w:cs="Times New Roman"/>
          <w:highlight w:val="none"/>
          <w:lang w:val="en-US" w:eastAsia="zh-CN"/>
        </w:rPr>
        <w:t>。</w:t>
      </w:r>
    </w:p>
    <w:p w14:paraId="2466A8A0">
      <w:pPr>
        <w:pStyle w:val="59"/>
        <w:spacing w:line="240" w:lineRule="auto"/>
        <w:ind w:firstLine="0" w:firstLineChars="0"/>
        <w:rPr>
          <w:rFonts w:hint="eastAsia" w:ascii="Times New Roman" w:cs="Times New Roman"/>
          <w:b w:val="0"/>
          <w:i w:val="0"/>
          <w:sz w:val="21"/>
          <w:highlight w:val="none"/>
          <w:lang w:val="en-US" w:eastAsia="zh-CN" w:bidi="ar-SA"/>
        </w:rPr>
      </w:pPr>
      <w:r>
        <w:rPr>
          <w:rFonts w:hint="eastAsia" w:ascii="黑体" w:hAnsi="黑体" w:eastAsia="黑体" w:cs="黑体"/>
          <w:highlight w:val="none"/>
        </w:rPr>
        <w:t>5.</w:t>
      </w:r>
      <w:r>
        <w:rPr>
          <w:rFonts w:hint="eastAsia" w:ascii="黑体" w:hAnsi="黑体" w:eastAsia="黑体" w:cs="黑体"/>
          <w:highlight w:val="none"/>
          <w:lang w:val="en-US" w:eastAsia="zh-CN"/>
        </w:rPr>
        <w:t>7</w:t>
      </w:r>
      <w:r>
        <w:rPr>
          <w:rFonts w:hint="eastAsia" w:ascii="黑体" w:hAnsi="黑体" w:eastAsia="黑体" w:cs="黑体"/>
          <w:highlight w:val="none"/>
        </w:rPr>
        <w:t>.</w:t>
      </w:r>
      <w:r>
        <w:rPr>
          <w:rFonts w:hint="eastAsia" w:ascii="黑体" w:hAnsi="黑体" w:eastAsia="黑体" w:cs="黑体"/>
          <w:highlight w:val="none"/>
          <w:lang w:val="en-US" w:eastAsia="zh-CN"/>
        </w:rPr>
        <w:t>4</w:t>
      </w:r>
      <w:r>
        <w:rPr>
          <w:rFonts w:hint="default" w:ascii="Times New Roman" w:hAnsi="Times New Roman" w:eastAsia="宋体" w:cs="Times New Roman"/>
          <w:b w:val="0"/>
          <w:i w:val="0"/>
          <w:sz w:val="21"/>
          <w:highlight w:val="none"/>
          <w:lang w:val="en-US" w:eastAsia="zh-CN" w:bidi="ar-SA"/>
        </w:rPr>
        <w:t>　治理过程产生的废吸附剂、废催化剂、废吸收液等二次污染物，应按照国家危险废物或固体废物管理的相关规定进行规范化处理处置。在设备清掏、现场暂存及转运过程中，必须采取严格的密闭防散发措施，防止发生二次异味污染</w:t>
      </w:r>
      <w:r>
        <w:rPr>
          <w:rFonts w:hint="eastAsia" w:ascii="Times New Roman" w:cs="Times New Roman"/>
          <w:b w:val="0"/>
          <w:i w:val="0"/>
          <w:sz w:val="21"/>
          <w:highlight w:val="none"/>
          <w:lang w:val="en-US" w:eastAsia="zh-CN" w:bidi="ar-SA"/>
        </w:rPr>
        <w:t>。</w:t>
      </w:r>
    </w:p>
    <w:p w14:paraId="6576DF9B">
      <w:pPr>
        <w:pStyle w:val="59"/>
        <w:spacing w:line="240" w:lineRule="auto"/>
        <w:ind w:firstLine="0" w:firstLineChars="0"/>
        <w:rPr>
          <w:rFonts w:hint="eastAsia" w:ascii="Times New Roman" w:cs="Times New Roman"/>
          <w:b w:val="0"/>
          <w:i w:val="0"/>
          <w:sz w:val="21"/>
          <w:highlight w:val="none"/>
          <w:lang w:val="en-US" w:eastAsia="zh-CN" w:bidi="ar-SA"/>
        </w:rPr>
      </w:pPr>
      <w:r>
        <w:rPr>
          <w:rFonts w:hint="eastAsia" w:ascii="黑体" w:hAnsi="黑体" w:eastAsia="黑体" w:cs="黑体"/>
          <w:b w:val="0"/>
          <w:i w:val="0"/>
          <w:sz w:val="21"/>
          <w:highlight w:val="none"/>
          <w:lang w:val="en-US" w:eastAsia="zh-CN" w:bidi="ar-SA"/>
        </w:rPr>
        <w:t>5.7.5</w:t>
      </w:r>
      <w:r>
        <w:rPr>
          <w:rFonts w:hint="eastAsia" w:ascii="Times New Roman" w:cs="Times New Roman"/>
          <w:b w:val="0"/>
          <w:i w:val="0"/>
          <w:sz w:val="21"/>
          <w:highlight w:val="none"/>
          <w:lang w:val="en-US" w:eastAsia="zh-CN" w:bidi="ar-SA"/>
        </w:rPr>
        <w:t>　企业应建立治理设施定期检测与评估机制，每半年至少对治理设施的处理效率进行一次检测，每年至少对治理设施的运行状况进行一次全面评估，根据检测和评估结果及时优化运行参数或对设施进行优化改造。发生查实异味投诉、厂界或排放口监测异常、治理设施故障停运、主要原辅材料或生产工况显著变化等情形时，应及时开展专项评估。</w:t>
      </w:r>
    </w:p>
    <w:p w14:paraId="162E8F61">
      <w:pPr>
        <w:pStyle w:val="108"/>
        <w:spacing w:before="156" w:after="156" w:line="275" w:lineRule="auto"/>
        <w:rPr>
          <w:rFonts w:hint="eastAsia"/>
          <w:highlight w:val="none"/>
        </w:rPr>
      </w:pPr>
      <w:r>
        <w:rPr>
          <w:rFonts w:hint="eastAsia"/>
          <w:highlight w:val="none"/>
        </w:rPr>
        <w:t>5.</w:t>
      </w:r>
      <w:r>
        <w:rPr>
          <w:rFonts w:hint="eastAsia"/>
          <w:highlight w:val="none"/>
          <w:lang w:val="en-US" w:eastAsia="zh-CN"/>
        </w:rPr>
        <w:t>8</w:t>
      </w:r>
      <w:r>
        <w:rPr>
          <w:rFonts w:hint="default" w:ascii="黑体" w:hAnsi="黑体" w:eastAsia="黑体" w:cs="黑体"/>
          <w:b w:val="0"/>
          <w:i w:val="0"/>
          <w:sz w:val="21"/>
          <w:highlight w:val="none"/>
          <w:lang w:val="en-US" w:eastAsia="zh-CN" w:bidi="ar-SA"/>
        </w:rPr>
        <w:t>　</w:t>
      </w:r>
      <w:r>
        <w:rPr>
          <w:rFonts w:hint="eastAsia"/>
          <w:highlight w:val="none"/>
        </w:rPr>
        <w:t>监测与</w:t>
      </w:r>
      <w:r>
        <w:rPr>
          <w:rFonts w:hint="eastAsia"/>
          <w:highlight w:val="none"/>
          <w:lang w:val="en-US" w:eastAsia="zh-CN"/>
        </w:rPr>
        <w:t>台账</w:t>
      </w:r>
      <w:r>
        <w:rPr>
          <w:rFonts w:hint="eastAsia"/>
          <w:highlight w:val="none"/>
        </w:rPr>
        <w:t>管理</w:t>
      </w:r>
    </w:p>
    <w:p w14:paraId="2647A0AD">
      <w:pPr>
        <w:pStyle w:val="68"/>
        <w:numPr>
          <w:ilvl w:val="-1"/>
          <w:numId w:val="0"/>
        </w:numPr>
        <w:spacing w:before="0" w:beforeLines="0" w:after="0" w:afterLines="0" w:line="240" w:lineRule="auto"/>
        <w:rPr>
          <w:rFonts w:hint="eastAsia" w:ascii="Times New Roman" w:eastAsia="宋体" w:cs="Times New Roman"/>
          <w:b w:val="0"/>
          <w:i w:val="0"/>
          <w:sz w:val="21"/>
          <w:highlight w:val="none"/>
          <w:lang w:val="en-US" w:eastAsia="zh-CN" w:bidi="ar-SA"/>
        </w:rPr>
      </w:pPr>
      <w:r>
        <w:rPr>
          <w:rFonts w:hint="eastAsia" w:ascii="黑体" w:hAnsi="黑体" w:eastAsia="黑体" w:cs="黑体"/>
          <w:highlight w:val="none"/>
        </w:rPr>
        <w:t>5.</w:t>
      </w:r>
      <w:r>
        <w:rPr>
          <w:rFonts w:hint="eastAsia" w:hAnsi="黑体" w:cs="黑体"/>
          <w:highlight w:val="none"/>
          <w:lang w:val="en-US" w:eastAsia="zh-CN"/>
        </w:rPr>
        <w:t>8</w:t>
      </w:r>
      <w:r>
        <w:rPr>
          <w:rFonts w:hint="eastAsia" w:ascii="黑体" w:hAnsi="黑体" w:eastAsia="黑体" w:cs="黑体"/>
          <w:highlight w:val="none"/>
        </w:rPr>
        <w:t>.</w:t>
      </w:r>
      <w:r>
        <w:rPr>
          <w:rFonts w:hint="eastAsia" w:hAnsi="黑体" w:cs="黑体"/>
          <w:highlight w:val="none"/>
          <w:lang w:val="en-US" w:eastAsia="zh-CN"/>
        </w:rPr>
        <w:t>1</w:t>
      </w:r>
      <w:r>
        <w:rPr>
          <w:rFonts w:hint="default" w:ascii="Times New Roman" w:hAnsi="Times New Roman" w:eastAsia="宋体" w:cs="Times New Roman"/>
          <w:b w:val="0"/>
          <w:i w:val="0"/>
          <w:sz w:val="21"/>
          <w:highlight w:val="none"/>
          <w:lang w:val="en-US" w:eastAsia="zh-CN" w:bidi="ar-SA"/>
        </w:rPr>
        <w:t>　企业应制定详细的异味自行监测方案。监测点位布设不应仅局限于常年主导风向，而应结合季节性风向变化、昼夜风场扰动及周边敏感目标分布进行动态调整。监测点宜覆盖主要涉异味有组织排放口、厂界、靠近敏感目标一侧厂界、厂区内部高风险异味源及投诉关联区域</w:t>
      </w:r>
      <w:r>
        <w:rPr>
          <w:rFonts w:hint="eastAsia" w:ascii="Times New Roman" w:eastAsia="宋体" w:cs="Times New Roman"/>
          <w:b w:val="0"/>
          <w:i w:val="0"/>
          <w:sz w:val="21"/>
          <w:highlight w:val="none"/>
          <w:lang w:val="en-US" w:eastAsia="zh-CN" w:bidi="ar-SA"/>
        </w:rPr>
        <w:t>。</w:t>
      </w:r>
    </w:p>
    <w:p w14:paraId="125BCB1F">
      <w:pPr>
        <w:pStyle w:val="68"/>
        <w:numPr>
          <w:ilvl w:val="-1"/>
          <w:numId w:val="0"/>
        </w:numPr>
        <w:spacing w:before="0" w:beforeLines="0" w:after="0" w:afterLines="0" w:line="240" w:lineRule="auto"/>
        <w:rPr>
          <w:rFonts w:hint="default" w:ascii="Times New Roman" w:hAnsi="Times New Roman" w:eastAsia="宋体" w:cs="Times New Roman"/>
          <w:b w:val="0"/>
          <w:i w:val="0"/>
          <w:sz w:val="21"/>
          <w:highlight w:val="none"/>
          <w:lang w:val="en-US" w:eastAsia="zh-CN" w:bidi="ar-SA"/>
        </w:rPr>
      </w:pPr>
      <w:r>
        <w:rPr>
          <w:rFonts w:hint="eastAsia" w:ascii="黑体" w:hAnsi="黑体" w:eastAsia="黑体" w:cs="黑体"/>
          <w:highlight w:val="none"/>
        </w:rPr>
        <w:t>5.</w:t>
      </w:r>
      <w:r>
        <w:rPr>
          <w:rFonts w:hint="eastAsia" w:hAnsi="黑体" w:cs="黑体"/>
          <w:highlight w:val="none"/>
          <w:lang w:val="en-US" w:eastAsia="zh-CN"/>
        </w:rPr>
        <w:t>8</w:t>
      </w:r>
      <w:r>
        <w:rPr>
          <w:rFonts w:hint="eastAsia" w:ascii="黑体" w:hAnsi="黑体" w:eastAsia="黑体" w:cs="黑体"/>
          <w:highlight w:val="none"/>
        </w:rPr>
        <w:t>.</w:t>
      </w:r>
      <w:r>
        <w:rPr>
          <w:rFonts w:hint="eastAsia" w:hAnsi="黑体" w:cs="黑体"/>
          <w:highlight w:val="none"/>
          <w:lang w:val="en-US" w:eastAsia="zh-CN"/>
        </w:rPr>
        <w:t>2</w:t>
      </w:r>
      <w:r>
        <w:rPr>
          <w:rFonts w:hint="default" w:ascii="Times New Roman" w:hAnsi="Times New Roman" w:eastAsia="宋体" w:cs="Times New Roman"/>
          <w:b w:val="0"/>
          <w:i w:val="0"/>
          <w:sz w:val="21"/>
          <w:highlight w:val="none"/>
          <w:lang w:val="en-US" w:eastAsia="zh-CN" w:bidi="ar-SA"/>
        </w:rPr>
        <w:t>　监测指标应包括臭气浓度及企业特征异味污染物。为精准界定异味责任与实现科学溯源，涉复合型异味排放的企业宜开展异味物质的定性定量分析，建立本企业的</w:t>
      </w:r>
      <w:r>
        <w:rPr>
          <w:rFonts w:hint="eastAsia" w:ascii="Times New Roman" w:eastAsia="宋体" w:cs="Times New Roman"/>
          <w:b w:val="0"/>
          <w:i w:val="0"/>
          <w:sz w:val="21"/>
          <w:highlight w:val="none"/>
          <w:lang w:val="en-US" w:eastAsia="zh-CN" w:bidi="ar-SA"/>
        </w:rPr>
        <w:t>“</w:t>
      </w:r>
      <w:r>
        <w:rPr>
          <w:rFonts w:hint="default" w:ascii="Times New Roman" w:hAnsi="Times New Roman" w:eastAsia="宋体" w:cs="Times New Roman"/>
          <w:b w:val="0"/>
          <w:i w:val="0"/>
          <w:sz w:val="21"/>
          <w:highlight w:val="none"/>
          <w:lang w:val="en-US" w:eastAsia="zh-CN" w:bidi="ar-SA"/>
        </w:rPr>
        <w:t>异味指纹谱图</w:t>
      </w:r>
      <w:r>
        <w:rPr>
          <w:rFonts w:hint="eastAsia" w:ascii="Times New Roman" w:eastAsia="宋体" w:cs="Times New Roman"/>
          <w:b w:val="0"/>
          <w:i w:val="0"/>
          <w:sz w:val="21"/>
          <w:highlight w:val="none"/>
          <w:lang w:val="en-US" w:eastAsia="zh-CN" w:bidi="ar-SA"/>
        </w:rPr>
        <w:t>”</w:t>
      </w:r>
      <w:r>
        <w:rPr>
          <w:rFonts w:hint="default" w:ascii="Times New Roman" w:hAnsi="Times New Roman" w:eastAsia="宋体" w:cs="Times New Roman"/>
          <w:b w:val="0"/>
          <w:i w:val="0"/>
          <w:sz w:val="21"/>
          <w:highlight w:val="none"/>
          <w:lang w:val="en-US" w:eastAsia="zh-CN" w:bidi="ar-SA"/>
        </w:rPr>
        <w:t>，明确核心致臭物质的嗅阈值及其对整体异味的贡献特征。</w:t>
      </w:r>
    </w:p>
    <w:p w14:paraId="536A127E">
      <w:pPr>
        <w:pStyle w:val="68"/>
        <w:numPr>
          <w:ilvl w:val="-1"/>
          <w:numId w:val="0"/>
        </w:numPr>
        <w:spacing w:before="0" w:beforeLines="0" w:after="0" w:afterLines="0" w:line="240" w:lineRule="auto"/>
        <w:rPr>
          <w:rFonts w:hint="eastAsia" w:ascii="Times New Roman" w:eastAsia="宋体" w:cs="Times New Roman"/>
          <w:b w:val="0"/>
          <w:i w:val="0"/>
          <w:sz w:val="21"/>
          <w:highlight w:val="none"/>
          <w:lang w:val="en-US" w:eastAsia="zh-CN" w:bidi="ar-SA"/>
        </w:rPr>
      </w:pPr>
      <w:r>
        <w:rPr>
          <w:rFonts w:hint="eastAsia" w:ascii="黑体" w:hAnsi="黑体" w:eastAsia="黑体" w:cs="黑体"/>
          <w:highlight w:val="none"/>
        </w:rPr>
        <w:t>5.</w:t>
      </w:r>
      <w:r>
        <w:rPr>
          <w:rFonts w:hint="eastAsia" w:hAnsi="黑体" w:cs="黑体"/>
          <w:highlight w:val="none"/>
          <w:lang w:val="en-US" w:eastAsia="zh-CN"/>
        </w:rPr>
        <w:t>8</w:t>
      </w:r>
      <w:r>
        <w:rPr>
          <w:rFonts w:hint="eastAsia" w:ascii="黑体" w:hAnsi="黑体" w:eastAsia="黑体" w:cs="黑体"/>
          <w:highlight w:val="none"/>
        </w:rPr>
        <w:t>.</w:t>
      </w:r>
      <w:r>
        <w:rPr>
          <w:rFonts w:hint="eastAsia" w:hAnsi="黑体" w:cs="黑体"/>
          <w:highlight w:val="none"/>
          <w:lang w:val="en-US" w:eastAsia="zh-CN"/>
        </w:rPr>
        <w:t>3</w:t>
      </w:r>
      <w:r>
        <w:rPr>
          <w:rFonts w:hint="default" w:ascii="Times New Roman" w:hAnsi="Times New Roman" w:eastAsia="宋体" w:cs="Times New Roman"/>
          <w:b w:val="0"/>
          <w:i w:val="0"/>
          <w:sz w:val="21"/>
          <w:highlight w:val="none"/>
          <w:lang w:val="en-US" w:eastAsia="zh-CN" w:bidi="ar-SA"/>
        </w:rPr>
        <w:t>　</w:t>
      </w:r>
      <w:r>
        <w:rPr>
          <w:rFonts w:hint="eastAsia" w:ascii="Times New Roman" w:hAnsi="Times New Roman" w:eastAsia="宋体" w:cs="Times New Roman"/>
          <w:b w:val="0"/>
          <w:i w:val="0"/>
          <w:sz w:val="21"/>
          <w:highlight w:val="none"/>
          <w:lang w:val="en-US" w:eastAsia="zh-CN" w:bidi="ar-SA"/>
        </w:rPr>
        <w:t>企业应建立常规监测与应急监测相结合的工作机制。在厂界或靠近敏感目标一侧，宜布设电子鼻或VOCs微站建立预警哨点。开展人工厂界嗅辨或感官监测时，宜覆盖夜间、凌晨、低风速、静稳、逆温等异味易感知或扩散不利时段，不宜仅在扩散条件良好的日间开展</w:t>
      </w:r>
      <w:r>
        <w:rPr>
          <w:rFonts w:hint="eastAsia" w:ascii="Times New Roman" w:eastAsia="宋体" w:cs="Times New Roman"/>
          <w:b w:val="0"/>
          <w:i w:val="0"/>
          <w:sz w:val="21"/>
          <w:highlight w:val="none"/>
          <w:lang w:val="en-US" w:eastAsia="zh-CN" w:bidi="ar-SA"/>
        </w:rPr>
        <w:t>。</w:t>
      </w:r>
    </w:p>
    <w:p w14:paraId="5593F362">
      <w:pPr>
        <w:pStyle w:val="68"/>
        <w:numPr>
          <w:ilvl w:val="-1"/>
          <w:numId w:val="0"/>
        </w:numPr>
        <w:spacing w:before="0" w:beforeLines="0" w:after="0" w:afterLines="0" w:line="240" w:lineRule="auto"/>
        <w:rPr>
          <w:rFonts w:hint="default" w:ascii="Times New Roman" w:eastAsia="宋体" w:cs="Times New Roman"/>
          <w:b w:val="0"/>
          <w:i w:val="0"/>
          <w:sz w:val="21"/>
          <w:highlight w:val="none"/>
          <w:lang w:val="en-US" w:eastAsia="zh-CN" w:bidi="ar-SA"/>
        </w:rPr>
      </w:pPr>
      <w:r>
        <w:rPr>
          <w:rFonts w:hint="eastAsia" w:ascii="黑体" w:hAnsi="黑体" w:eastAsia="黑体" w:cs="黑体"/>
          <w:highlight w:val="none"/>
        </w:rPr>
        <w:t>5.</w:t>
      </w:r>
      <w:r>
        <w:rPr>
          <w:rFonts w:hint="eastAsia" w:hAnsi="黑体" w:cs="黑体"/>
          <w:highlight w:val="none"/>
          <w:lang w:val="en-US" w:eastAsia="zh-CN"/>
        </w:rPr>
        <w:t>8</w:t>
      </w:r>
      <w:r>
        <w:rPr>
          <w:rFonts w:hint="eastAsia" w:ascii="黑体" w:hAnsi="黑体" w:eastAsia="黑体" w:cs="黑体"/>
          <w:highlight w:val="none"/>
        </w:rPr>
        <w:t>.</w:t>
      </w:r>
      <w:r>
        <w:rPr>
          <w:rFonts w:hint="eastAsia" w:hAnsi="黑体" w:cs="黑体"/>
          <w:highlight w:val="none"/>
          <w:lang w:val="en-US" w:eastAsia="zh-CN"/>
        </w:rPr>
        <w:t>4</w:t>
      </w:r>
      <w:r>
        <w:rPr>
          <w:rFonts w:hint="default" w:ascii="Times New Roman" w:hAnsi="Times New Roman" w:eastAsia="宋体" w:cs="Times New Roman"/>
          <w:b w:val="0"/>
          <w:i w:val="0"/>
          <w:sz w:val="21"/>
          <w:highlight w:val="none"/>
          <w:lang w:val="en-US" w:eastAsia="zh-CN" w:bidi="ar-SA"/>
        </w:rPr>
        <w:t>　企业应建立完善的环境管理台账体系，通过电子化或纸质方式真实记录生产设施运行状况、治理设施运行参数、原辅材料消耗情况、耗材更换记录及监测报告等信息。特别是针对非正常工况的应急调度记录、异味投诉的溯源核查报告以及OMP的内部审核记录，应作为核心台账予以单列。所有台账应记录规范、数据完整，保存期限不低于5年，以备追溯查验</w:t>
      </w:r>
      <w:r>
        <w:rPr>
          <w:rFonts w:hint="eastAsia" w:ascii="Times New Roman" w:eastAsia="宋体" w:cs="Times New Roman"/>
          <w:b w:val="0"/>
          <w:i w:val="0"/>
          <w:sz w:val="21"/>
          <w:highlight w:val="none"/>
          <w:lang w:val="en-US" w:eastAsia="zh-CN" w:bidi="ar-SA"/>
        </w:rPr>
        <w:t>。</w:t>
      </w:r>
    </w:p>
    <w:p w14:paraId="78C056F5">
      <w:pPr>
        <w:pStyle w:val="68"/>
        <w:numPr>
          <w:ilvl w:val="0"/>
          <w:numId w:val="0"/>
        </w:numPr>
        <w:spacing w:before="156" w:after="156" w:line="240" w:lineRule="auto"/>
        <w:rPr>
          <w:rFonts w:hint="eastAsia"/>
          <w:highlight w:val="none"/>
        </w:rPr>
      </w:pPr>
      <w:r>
        <w:rPr>
          <w:rFonts w:hint="eastAsia"/>
          <w:highlight w:val="none"/>
        </w:rPr>
        <w:t>5.</w:t>
      </w:r>
      <w:r>
        <w:rPr>
          <w:rFonts w:hint="eastAsia"/>
          <w:highlight w:val="none"/>
          <w:lang w:val="en-US" w:eastAsia="zh-CN"/>
        </w:rPr>
        <w:t>9</w:t>
      </w:r>
      <w:r>
        <w:rPr>
          <w:rFonts w:hint="default" w:ascii="黑体" w:hAnsi="黑体" w:eastAsia="黑体" w:cs="黑体"/>
          <w:b w:val="0"/>
          <w:i w:val="0"/>
          <w:sz w:val="21"/>
          <w:highlight w:val="none"/>
          <w:lang w:val="en-US" w:eastAsia="zh-CN" w:bidi="ar-SA"/>
        </w:rPr>
        <w:t>　</w:t>
      </w:r>
      <w:r>
        <w:rPr>
          <w:rFonts w:hint="eastAsia"/>
          <w:highlight w:val="none"/>
        </w:rPr>
        <w:t>OMP与持续改进</w:t>
      </w:r>
    </w:p>
    <w:p w14:paraId="423543E8">
      <w:pPr>
        <w:pStyle w:val="97"/>
        <w:spacing w:before="0" w:beforeLines="0" w:after="0" w:afterLines="0"/>
        <w:rPr>
          <w:rFonts w:hint="default" w:ascii="Times New Roman" w:hAnsi="Times New Roman" w:eastAsia="宋体" w:cs="Times New Roman"/>
          <w:b w:val="0"/>
          <w:i w:val="0"/>
          <w:sz w:val="21"/>
          <w:highlight w:val="none"/>
          <w:lang w:val="en-US" w:eastAsia="zh-CN" w:bidi="ar-SA"/>
        </w:rPr>
      </w:pPr>
      <w:r>
        <w:rPr>
          <w:rFonts w:hint="eastAsia"/>
          <w:highlight w:val="none"/>
        </w:rPr>
        <w:t>5.</w:t>
      </w:r>
      <w:r>
        <w:rPr>
          <w:rFonts w:hint="eastAsia"/>
          <w:highlight w:val="none"/>
          <w:lang w:val="en-US" w:eastAsia="zh-CN"/>
        </w:rPr>
        <w:t>9</w:t>
      </w:r>
      <w:r>
        <w:rPr>
          <w:rFonts w:hint="eastAsia"/>
          <w:highlight w:val="none"/>
        </w:rPr>
        <w:t>.</w:t>
      </w:r>
      <w:r>
        <w:rPr>
          <w:rFonts w:hint="eastAsia"/>
          <w:highlight w:val="none"/>
          <w:lang w:val="en-US" w:eastAsia="zh-CN"/>
        </w:rPr>
        <w:t>1</w:t>
      </w:r>
      <w:r>
        <w:rPr>
          <w:rFonts w:hint="default" w:ascii="Times New Roman" w:hAnsi="Times New Roman" w:eastAsia="宋体" w:cs="Times New Roman"/>
          <w:b w:val="0"/>
          <w:i w:val="0"/>
          <w:sz w:val="21"/>
          <w:highlight w:val="none"/>
          <w:lang w:val="en-US" w:eastAsia="zh-CN" w:bidi="ar-SA"/>
        </w:rPr>
        <w:t>　企业应依据附录A的要求，编制并实施体系化的OMP。OMP应作为企业异味环境管理的纲领性文件，其内容应涵盖异味源清单、风险分级、源头削减、过程控制、末端治理、监测评估、异常工况管理、投诉处理、公众沟通及持续改进等内容。企业应确保OMP与现行的环境管理体系相融合，并将管理职责分解落实到具体的部门和岗位。</w:t>
      </w:r>
    </w:p>
    <w:p w14:paraId="7D768F7B">
      <w:pPr>
        <w:pStyle w:val="97"/>
        <w:spacing w:before="0" w:beforeLines="0" w:after="0" w:afterLines="0"/>
        <w:rPr>
          <w:rFonts w:hint="eastAsia" w:ascii="Times New Roman" w:eastAsia="宋体" w:cs="Times New Roman"/>
          <w:b w:val="0"/>
          <w:i w:val="0"/>
          <w:sz w:val="21"/>
          <w:highlight w:val="none"/>
          <w:lang w:val="en-US" w:eastAsia="zh-CN" w:bidi="ar-SA"/>
        </w:rPr>
      </w:pPr>
      <w:r>
        <w:rPr>
          <w:rFonts w:hint="eastAsia"/>
          <w:highlight w:val="none"/>
        </w:rPr>
        <w:t>5.</w:t>
      </w:r>
      <w:r>
        <w:rPr>
          <w:rFonts w:hint="eastAsia"/>
          <w:highlight w:val="none"/>
          <w:lang w:val="en-US" w:eastAsia="zh-CN"/>
        </w:rPr>
        <w:t>9</w:t>
      </w:r>
      <w:r>
        <w:rPr>
          <w:rFonts w:hint="eastAsia"/>
          <w:highlight w:val="none"/>
        </w:rPr>
        <w:t>.</w:t>
      </w:r>
      <w:r>
        <w:rPr>
          <w:rFonts w:hint="eastAsia"/>
          <w:highlight w:val="none"/>
          <w:lang w:val="en-US" w:eastAsia="zh-CN"/>
        </w:rPr>
        <w:t>2</w:t>
      </w:r>
      <w:r>
        <w:rPr>
          <w:rFonts w:hint="default" w:ascii="Times New Roman" w:hAnsi="Times New Roman" w:eastAsia="宋体" w:cs="Times New Roman"/>
          <w:b w:val="0"/>
          <w:i w:val="0"/>
          <w:sz w:val="21"/>
          <w:highlight w:val="none"/>
          <w:lang w:val="en-US" w:eastAsia="zh-CN" w:bidi="ar-SA"/>
        </w:rPr>
        <w:t>　企业应建立OMP的定期回顾与更新机制，原则上每年至少进行一次全面评估。当企业的生产工艺、原辅材料、治理设施发生重大变更，或发生查实的异味投诉、厂界监测超标、特征异味污染物异常、治理设施非计划停运、周边敏感目标变化等情况时，应及时对OMP进行修订，调整风险等级并优化控制措施</w:t>
      </w:r>
      <w:r>
        <w:rPr>
          <w:rFonts w:hint="eastAsia" w:ascii="Times New Roman" w:eastAsia="宋体" w:cs="Times New Roman"/>
          <w:b w:val="0"/>
          <w:i w:val="0"/>
          <w:sz w:val="21"/>
          <w:highlight w:val="none"/>
          <w:lang w:val="en-US" w:eastAsia="zh-CN" w:bidi="ar-SA"/>
        </w:rPr>
        <w:t>。</w:t>
      </w:r>
    </w:p>
    <w:p w14:paraId="42AC24AD">
      <w:pPr>
        <w:pStyle w:val="97"/>
        <w:spacing w:before="0" w:beforeLines="0" w:after="0" w:afterLines="0"/>
        <w:rPr>
          <w:rFonts w:hint="eastAsia" w:ascii="Times New Roman" w:eastAsia="宋体" w:cs="Times New Roman"/>
          <w:b w:val="0"/>
          <w:i w:val="0"/>
          <w:sz w:val="21"/>
          <w:highlight w:val="none"/>
          <w:lang w:val="en-US" w:eastAsia="zh-CN" w:bidi="ar-SA"/>
        </w:rPr>
      </w:pPr>
      <w:r>
        <w:rPr>
          <w:rFonts w:hint="eastAsia"/>
          <w:highlight w:val="none"/>
        </w:rPr>
        <w:t>5.</w:t>
      </w:r>
      <w:r>
        <w:rPr>
          <w:rFonts w:hint="eastAsia"/>
          <w:highlight w:val="none"/>
          <w:lang w:val="en-US" w:eastAsia="zh-CN"/>
        </w:rPr>
        <w:t>9</w:t>
      </w:r>
      <w:r>
        <w:rPr>
          <w:rFonts w:hint="eastAsia"/>
          <w:highlight w:val="none"/>
        </w:rPr>
        <w:t>.</w:t>
      </w:r>
      <w:r>
        <w:rPr>
          <w:rFonts w:hint="eastAsia"/>
          <w:highlight w:val="none"/>
          <w:lang w:val="en-US" w:eastAsia="zh-CN"/>
        </w:rPr>
        <w:t>3</w:t>
      </w:r>
      <w:r>
        <w:rPr>
          <w:rFonts w:hint="default" w:ascii="Times New Roman" w:hAnsi="Times New Roman" w:eastAsia="宋体" w:cs="Times New Roman"/>
          <w:b w:val="0"/>
          <w:i w:val="0"/>
          <w:sz w:val="21"/>
          <w:highlight w:val="none"/>
          <w:lang w:val="en-US" w:eastAsia="zh-CN" w:bidi="ar-SA"/>
        </w:rPr>
        <w:t>　企业应定期对照OMP中的承诺事项开展内部审核，重点检查源头削减、过程控制、设施运维、监测台账、异常工况管理及投诉处理的落实情况。对于审核中发现的不符合项，应制定整改方案并跟踪验证，确保异味管理绩效的持续提升</w:t>
      </w:r>
      <w:r>
        <w:rPr>
          <w:rFonts w:hint="eastAsia" w:ascii="Times New Roman" w:eastAsia="宋体" w:cs="Times New Roman"/>
          <w:b w:val="0"/>
          <w:i w:val="0"/>
          <w:sz w:val="21"/>
          <w:highlight w:val="none"/>
          <w:lang w:val="en-US" w:eastAsia="zh-CN" w:bidi="ar-SA"/>
        </w:rPr>
        <w:t>。</w:t>
      </w:r>
    </w:p>
    <w:p w14:paraId="7E96D037">
      <w:pPr>
        <w:pStyle w:val="68"/>
        <w:numPr>
          <w:ilvl w:val="0"/>
          <w:numId w:val="0"/>
        </w:numPr>
        <w:spacing w:before="156" w:after="156" w:line="275" w:lineRule="auto"/>
        <w:rPr>
          <w:rFonts w:hint="eastAsia"/>
          <w:highlight w:val="none"/>
        </w:rPr>
      </w:pPr>
      <w:r>
        <w:rPr>
          <w:rFonts w:hint="eastAsia"/>
          <w:highlight w:val="none"/>
        </w:rPr>
        <w:t>5.</w:t>
      </w:r>
      <w:r>
        <w:rPr>
          <w:rFonts w:hint="eastAsia"/>
          <w:highlight w:val="none"/>
          <w:lang w:val="en-US" w:eastAsia="zh-CN"/>
        </w:rPr>
        <w:t>10</w:t>
      </w:r>
      <w:r>
        <w:rPr>
          <w:rFonts w:hint="default" w:ascii="黑体" w:hAnsi="黑体" w:eastAsia="黑体" w:cs="黑体"/>
          <w:b w:val="0"/>
          <w:i w:val="0"/>
          <w:sz w:val="21"/>
          <w:highlight w:val="none"/>
          <w:lang w:val="en-US" w:eastAsia="zh-CN" w:bidi="ar-SA"/>
        </w:rPr>
        <w:t>　</w:t>
      </w:r>
      <w:r>
        <w:rPr>
          <w:rFonts w:hint="eastAsia"/>
          <w:highlight w:val="none"/>
        </w:rPr>
        <w:t>培训与沟通</w:t>
      </w:r>
    </w:p>
    <w:p w14:paraId="1C708A85">
      <w:pPr>
        <w:pStyle w:val="97"/>
        <w:spacing w:before="0" w:beforeLines="0" w:after="0" w:afterLines="0"/>
        <w:rPr>
          <w:rFonts w:hint="eastAsia" w:ascii="Times New Roman" w:eastAsia="黑体"/>
          <w:highlight w:val="none"/>
          <w:lang w:val="en-US" w:eastAsia="zh-CN"/>
        </w:rPr>
      </w:pPr>
      <w:r>
        <w:rPr>
          <w:rFonts w:hint="eastAsia"/>
          <w:highlight w:val="none"/>
        </w:rPr>
        <w:t>5.</w:t>
      </w:r>
      <w:r>
        <w:rPr>
          <w:rFonts w:hint="eastAsia"/>
          <w:highlight w:val="none"/>
          <w:lang w:val="en-US" w:eastAsia="zh-CN"/>
        </w:rPr>
        <w:t>10</w:t>
      </w:r>
      <w:r>
        <w:rPr>
          <w:rFonts w:hint="eastAsia"/>
          <w:highlight w:val="none"/>
        </w:rPr>
        <w:t>.1</w:t>
      </w:r>
      <w:r>
        <w:rPr>
          <w:rFonts w:hint="default" w:ascii="黑体" w:hAnsi="黑体" w:eastAsia="黑体" w:cs="黑体"/>
          <w:b w:val="0"/>
          <w:i w:val="0"/>
          <w:sz w:val="21"/>
          <w:highlight w:val="none"/>
          <w:lang w:val="en-US" w:eastAsia="zh-CN" w:bidi="ar-SA"/>
        </w:rPr>
        <w:t>　</w:t>
      </w:r>
      <w:r>
        <w:rPr>
          <w:rFonts w:hint="default" w:ascii="Times New Roman" w:eastAsia="宋体"/>
          <w:highlight w:val="none"/>
          <w:lang w:val="en-US" w:eastAsia="zh-CN"/>
        </w:rPr>
        <w:t>企业应制定并实施年度异味管理培训计划，培训对象应覆盖环保管理人员、工艺操作人员、设备维护人员及应急处置人员。培训内容应包括异味基础知识、相关法律法规与标准、企业特征异味污染物性质、岗位操作规程、泄漏检测、治理设施运行维护及应急响应程序等。对于关键岗位人员，宜定期开展异味识别、异常气味报告和现场处置能力培训，提升其及时发现和处置异常气味的能力。</w:t>
      </w:r>
    </w:p>
    <w:p w14:paraId="4BD17F5B">
      <w:pPr>
        <w:pStyle w:val="97"/>
        <w:spacing w:before="0" w:beforeLines="0" w:after="0" w:afterLines="0"/>
        <w:rPr>
          <w:rFonts w:hint="default" w:ascii="Times New Roman" w:eastAsia="宋体"/>
          <w:highlight w:val="none"/>
        </w:rPr>
      </w:pPr>
      <w:r>
        <w:rPr>
          <w:rFonts w:hint="eastAsia"/>
          <w:highlight w:val="none"/>
        </w:rPr>
        <w:t>5.</w:t>
      </w:r>
      <w:r>
        <w:rPr>
          <w:rFonts w:hint="eastAsia"/>
          <w:highlight w:val="none"/>
          <w:lang w:val="en-US" w:eastAsia="zh-CN"/>
        </w:rPr>
        <w:t>10</w:t>
      </w:r>
      <w:r>
        <w:rPr>
          <w:rFonts w:hint="eastAsia"/>
          <w:highlight w:val="none"/>
        </w:rPr>
        <w:t>.2</w:t>
      </w:r>
      <w:r>
        <w:rPr>
          <w:rFonts w:hint="eastAsia" w:ascii="黑体" w:hAnsi="Times New Roman" w:eastAsia="黑体" w:cs="Times New Roman"/>
          <w:b w:val="0"/>
          <w:i w:val="0"/>
          <w:sz w:val="21"/>
          <w:highlight w:val="none"/>
          <w:lang w:val="en-US" w:eastAsia="zh-CN" w:bidi="ar-SA"/>
        </w:rPr>
        <w:t>　</w:t>
      </w:r>
      <w:r>
        <w:rPr>
          <w:rFonts w:hint="default" w:ascii="Times New Roman" w:eastAsia="宋体"/>
          <w:highlight w:val="none"/>
        </w:rPr>
        <w:t>企业应建立与周边公众、园区或属地管理部门的沟通机制，主动公开或说明异味治理措施、治理设施运行维护、投诉响应渠道等信息。具备条件的企业宜通过信息公开栏、电子显示屏、企业开放日、公众座谈等方式开展环境信息沟通和公众交流，在确保安全的前提下，邀请周边居民或公众代表了解企业异味治理情况，建立良性的沟通监督渠道。</w:t>
      </w:r>
    </w:p>
    <w:p w14:paraId="7299C305">
      <w:pPr>
        <w:pStyle w:val="97"/>
        <w:spacing w:before="0" w:beforeLines="0" w:after="0" w:afterLines="0"/>
        <w:rPr>
          <w:rFonts w:hint="eastAsia" w:ascii="Times New Roman" w:eastAsia="宋体" w:cs="Times New Roman"/>
          <w:b w:val="0"/>
          <w:i w:val="0"/>
          <w:sz w:val="21"/>
          <w:highlight w:val="none"/>
          <w:lang w:val="en-US" w:eastAsia="zh-CN" w:bidi="ar-SA"/>
        </w:rPr>
      </w:pPr>
      <w:r>
        <w:rPr>
          <w:rFonts w:hint="eastAsia"/>
          <w:highlight w:val="none"/>
        </w:rPr>
        <w:t>5.</w:t>
      </w:r>
      <w:r>
        <w:rPr>
          <w:rFonts w:hint="eastAsia"/>
          <w:highlight w:val="none"/>
          <w:lang w:val="en-US" w:eastAsia="zh-CN"/>
        </w:rPr>
        <w:t>10</w:t>
      </w:r>
      <w:r>
        <w:rPr>
          <w:rFonts w:hint="eastAsia"/>
          <w:highlight w:val="none"/>
        </w:rPr>
        <w:t>.</w:t>
      </w:r>
      <w:r>
        <w:rPr>
          <w:rFonts w:hint="eastAsia"/>
          <w:highlight w:val="none"/>
          <w:lang w:val="en-US" w:eastAsia="zh-CN"/>
        </w:rPr>
        <w:t>3</w:t>
      </w:r>
      <w:r>
        <w:rPr>
          <w:rFonts w:hint="default" w:ascii="Times New Roman" w:hAnsi="Times New Roman" w:eastAsia="宋体" w:cs="Times New Roman"/>
          <w:b w:val="0"/>
          <w:i w:val="0"/>
          <w:sz w:val="21"/>
          <w:highlight w:val="none"/>
          <w:lang w:val="en-US" w:eastAsia="zh-CN" w:bidi="ar-SA"/>
        </w:rPr>
        <w:t>　企业应设立异味投诉处理部门或明确专人负责，建立异味投诉响应机制。接到投诉后，应及时启动现场核查、生产工况核对、监测或巡查、疑似异味源排查等工作；应在合理时限内向投诉人或监督机构反馈初步调查与处置结果，并对查实问题制定整改措施。所有投诉信息的记录、调查、处理及回访情况应形成闭环管理档案</w:t>
      </w:r>
      <w:r>
        <w:rPr>
          <w:rFonts w:hint="eastAsia" w:ascii="Times New Roman" w:eastAsia="宋体" w:cs="Times New Roman"/>
          <w:b w:val="0"/>
          <w:i w:val="0"/>
          <w:sz w:val="21"/>
          <w:highlight w:val="none"/>
          <w:lang w:val="en-US" w:eastAsia="zh-CN" w:bidi="ar-SA"/>
        </w:rPr>
        <w:t>。</w:t>
      </w:r>
    </w:p>
    <w:p w14:paraId="3932B14B">
      <w:pPr>
        <w:pStyle w:val="107"/>
        <w:numPr>
          <w:ilvl w:val="1"/>
          <w:numId w:val="0"/>
        </w:numPr>
        <w:spacing w:before="312" w:after="312" w:line="275" w:lineRule="auto"/>
        <w:ind w:left="0"/>
        <w:rPr>
          <w:rFonts w:hint="eastAsia" w:ascii="Times New Roman" w:cs="Times New Roman"/>
          <w:b w:val="0"/>
          <w:i w:val="0"/>
          <w:sz w:val="21"/>
          <w:highlight w:val="none"/>
          <w:lang w:val="en-US" w:eastAsia="zh-CN" w:bidi="ar-SA"/>
        </w:rPr>
      </w:pPr>
      <w:bookmarkStart w:id="82" w:name="_Toc11704"/>
      <w:r>
        <w:rPr>
          <w:rFonts w:hint="eastAsia" w:ascii="Times New Roman" w:cs="Times New Roman"/>
          <w:b w:val="0"/>
          <w:i w:val="0"/>
          <w:sz w:val="21"/>
          <w:highlight w:val="none"/>
          <w:lang w:val="en-US" w:eastAsia="zh-CN" w:bidi="ar-SA"/>
        </w:rPr>
        <w:t>6</w:t>
      </w:r>
      <w:r>
        <w:rPr>
          <w:rFonts w:hint="default" w:ascii="Times New Roman" w:hAnsi="Times New Roman" w:eastAsia="黑体" w:cs="Times New Roman"/>
          <w:b w:val="0"/>
          <w:i w:val="0"/>
          <w:sz w:val="21"/>
          <w:highlight w:val="none"/>
          <w:lang w:val="en-US" w:eastAsia="zh-CN" w:bidi="ar-SA"/>
        </w:rPr>
        <w:t>　</w:t>
      </w:r>
      <w:r>
        <w:rPr>
          <w:rFonts w:hint="eastAsia" w:ascii="Times New Roman" w:cs="Times New Roman"/>
          <w:b w:val="0"/>
          <w:i w:val="0"/>
          <w:sz w:val="21"/>
          <w:highlight w:val="none"/>
          <w:lang w:val="en-US" w:eastAsia="zh-CN" w:bidi="ar-SA"/>
        </w:rPr>
        <w:t>建设指标</w:t>
      </w:r>
      <w:bookmarkEnd w:id="82"/>
    </w:p>
    <w:p w14:paraId="6827083A">
      <w:pPr>
        <w:pStyle w:val="68"/>
        <w:numPr>
          <w:ilvl w:val="0"/>
          <w:numId w:val="0"/>
        </w:numPr>
        <w:spacing w:before="156" w:after="156" w:line="275" w:lineRule="auto"/>
        <w:rPr>
          <w:rFonts w:hint="eastAsia" w:ascii="黑体" w:hAnsi="黑体" w:cs="黑体"/>
          <w:highlight w:val="none"/>
        </w:rPr>
      </w:pPr>
      <w:r>
        <w:rPr>
          <w:rFonts w:hint="eastAsia" w:ascii="黑体" w:hAnsi="黑体" w:cs="黑体"/>
          <w:highlight w:val="none"/>
          <w:lang w:val="en-US" w:eastAsia="zh-CN"/>
        </w:rPr>
        <w:t>6</w:t>
      </w:r>
      <w:r>
        <w:rPr>
          <w:rFonts w:hint="eastAsia" w:ascii="黑体" w:hAnsi="黑体" w:cs="黑体"/>
          <w:highlight w:val="none"/>
        </w:rPr>
        <w:t>.</w:t>
      </w:r>
      <w:r>
        <w:rPr>
          <w:rFonts w:hint="eastAsia" w:ascii="黑体" w:hAnsi="黑体" w:cs="黑体"/>
          <w:highlight w:val="none"/>
          <w:lang w:val="en-US" w:eastAsia="zh-CN"/>
        </w:rPr>
        <w:t>1　</w:t>
      </w:r>
      <w:r>
        <w:rPr>
          <w:rFonts w:hint="eastAsia" w:ascii="黑体" w:hAnsi="黑体" w:cs="黑体"/>
          <w:highlight w:val="none"/>
        </w:rPr>
        <w:t>实施与评估</w:t>
      </w:r>
    </w:p>
    <w:p w14:paraId="7A26F8ED">
      <w:pPr>
        <w:pStyle w:val="108"/>
        <w:spacing w:before="0" w:beforeLines="0" w:after="0" w:afterLines="0" w:line="240" w:lineRule="auto"/>
        <w:rPr>
          <w:rFonts w:hint="eastAsia" w:asciiTheme="minorEastAsia" w:hAnsiTheme="minorEastAsia" w:eastAsiaTheme="minorEastAsia" w:cstheme="minorEastAsia"/>
          <w:highlight w:val="none"/>
          <w:lang w:val="en-US" w:eastAsia="zh-CN"/>
        </w:rPr>
      </w:pPr>
      <w:r>
        <w:rPr>
          <w:rFonts w:hint="eastAsia"/>
          <w:highlight w:val="none"/>
          <w:lang w:val="en-US" w:eastAsia="zh-CN"/>
        </w:rPr>
        <w:t>6</w:t>
      </w:r>
      <w:r>
        <w:rPr>
          <w:rFonts w:hint="eastAsia"/>
          <w:highlight w:val="none"/>
        </w:rPr>
        <w:t>.1</w:t>
      </w:r>
      <w:r>
        <w:rPr>
          <w:rFonts w:hint="eastAsia"/>
          <w:highlight w:val="none"/>
          <w:lang w:val="en-US" w:eastAsia="zh-CN"/>
        </w:rPr>
        <w:t>.1</w:t>
      </w:r>
      <w:r>
        <w:rPr>
          <w:rFonts w:hint="eastAsia" w:ascii="宋体" w:hAnsi="Times New Roman" w:eastAsia="宋体" w:cs="Times New Roman"/>
          <w:b w:val="0"/>
          <w:i w:val="0"/>
          <w:sz w:val="21"/>
          <w:highlight w:val="none"/>
          <w:lang w:val="en-US" w:eastAsia="zh-CN" w:bidi="ar-SA"/>
        </w:rPr>
        <w:t>　</w:t>
      </w:r>
      <w:r>
        <w:rPr>
          <w:rFonts w:hint="eastAsia" w:ascii="宋体" w:hAnsi="Times New Roman" w:eastAsia="宋体" w:cs="Times New Roman"/>
          <w:highlight w:val="none"/>
          <w:lang w:val="en-US" w:eastAsia="zh-CN"/>
        </w:rPr>
        <w:t>创建无异味工厂的主体可依据表1中的指标（各项指标的详细解释、计算方法及判定依据见附录B），结合行业类型、异味源识别结果、风险分级、周边环境敏感程度和现有治理基础编制创建方案，明确主要目标、重点任务、工程项目以及工作进度安排，分阶段开展建设工作。</w:t>
      </w:r>
    </w:p>
    <w:p w14:paraId="35FCAE72">
      <w:pPr>
        <w:pStyle w:val="108"/>
        <w:spacing w:before="0" w:beforeLines="0" w:after="0" w:afterLines="0" w:line="240" w:lineRule="auto"/>
        <w:rPr>
          <w:rFonts w:hint="eastAsia" w:asciiTheme="minorEastAsia" w:hAnsiTheme="minorEastAsia" w:eastAsiaTheme="minorEastAsia" w:cstheme="minorEastAsia"/>
          <w:highlight w:val="none"/>
          <w:lang w:val="en-US" w:eastAsia="zh-CN"/>
        </w:rPr>
      </w:pPr>
      <w:r>
        <w:rPr>
          <w:rFonts w:hint="eastAsia"/>
          <w:highlight w:val="none"/>
          <w:lang w:val="en-US" w:eastAsia="zh-CN"/>
        </w:rPr>
        <w:t>6</w:t>
      </w:r>
      <w:r>
        <w:rPr>
          <w:rFonts w:hint="eastAsia"/>
          <w:highlight w:val="none"/>
        </w:rPr>
        <w:t>.</w:t>
      </w:r>
      <w:r>
        <w:rPr>
          <w:rFonts w:hint="eastAsia"/>
          <w:highlight w:val="none"/>
          <w:lang w:val="en-US" w:eastAsia="zh-CN"/>
        </w:rPr>
        <w:t>1.2</w:t>
      </w:r>
      <w:r>
        <w:rPr>
          <w:rFonts w:hint="eastAsia" w:ascii="宋体" w:hAnsi="Times New Roman" w:eastAsia="宋体" w:cs="Times New Roman"/>
          <w:b w:val="0"/>
          <w:i w:val="0"/>
          <w:sz w:val="21"/>
          <w:highlight w:val="none"/>
          <w:lang w:val="en-US" w:eastAsia="zh-CN" w:bidi="ar-SA"/>
        </w:rPr>
        <w:t>　</w:t>
      </w:r>
      <w:r>
        <w:rPr>
          <w:rFonts w:hint="eastAsia" w:asciiTheme="minorEastAsia" w:hAnsiTheme="minorEastAsia" w:eastAsiaTheme="minorEastAsia" w:cstheme="minorEastAsia"/>
          <w:highlight w:val="none"/>
          <w:lang w:val="en-US" w:eastAsia="zh-CN"/>
        </w:rPr>
        <w:t>创建主体应制定建设情况监测与评估计划，明确监测指标、评估形式及频次。定期对指标完成情况进行自评（参照附录C），并将自评结果作为OMP更新、问题整改和持续改进的重要依据。</w:t>
      </w:r>
    </w:p>
    <w:p w14:paraId="0195F37A">
      <w:pPr>
        <w:pStyle w:val="68"/>
        <w:numPr>
          <w:ilvl w:val="0"/>
          <w:numId w:val="0"/>
        </w:numPr>
        <w:spacing w:before="156" w:after="156" w:line="275" w:lineRule="auto"/>
        <w:rPr>
          <w:rFonts w:hint="eastAsia" w:ascii="黑体" w:hAnsi="黑体" w:cs="黑体"/>
          <w:highlight w:val="none"/>
        </w:rPr>
      </w:pPr>
      <w:r>
        <w:rPr>
          <w:rFonts w:hint="eastAsia" w:ascii="黑体" w:hAnsi="黑体" w:cs="黑体"/>
          <w:highlight w:val="none"/>
          <w:lang w:val="en-US" w:eastAsia="zh-CN"/>
        </w:rPr>
        <w:t>6</w:t>
      </w:r>
      <w:r>
        <w:rPr>
          <w:rFonts w:hint="eastAsia" w:ascii="黑体" w:hAnsi="黑体" w:cs="黑体"/>
          <w:highlight w:val="none"/>
        </w:rPr>
        <w:t>.</w:t>
      </w:r>
      <w:r>
        <w:rPr>
          <w:rFonts w:hint="eastAsia" w:ascii="黑体" w:hAnsi="黑体" w:cs="黑体"/>
          <w:highlight w:val="none"/>
          <w:lang w:val="en-US" w:eastAsia="zh-CN"/>
        </w:rPr>
        <w:t>2　</w:t>
      </w:r>
      <w:r>
        <w:rPr>
          <w:rFonts w:hint="eastAsia" w:ascii="黑体" w:hAnsi="黑体" w:cs="黑体"/>
          <w:highlight w:val="none"/>
        </w:rPr>
        <w:t>指标类型说明</w:t>
      </w:r>
    </w:p>
    <w:p w14:paraId="51F5EC93">
      <w:pPr>
        <w:pStyle w:val="108"/>
        <w:spacing w:before="0" w:beforeLines="0" w:after="0" w:afterLines="0" w:line="240" w:lineRule="auto"/>
        <w:rPr>
          <w:rFonts w:hint="eastAsia" w:ascii="宋体" w:hAnsi="Times New Roman" w:eastAsia="宋体" w:cs="Times New Roman"/>
          <w:b w:val="0"/>
          <w:i w:val="0"/>
          <w:sz w:val="21"/>
          <w:highlight w:val="none"/>
          <w:lang w:val="en-US" w:eastAsia="zh-CN" w:bidi="ar-SA"/>
        </w:rPr>
      </w:pPr>
      <w:r>
        <w:rPr>
          <w:rFonts w:hint="eastAsia"/>
          <w:highlight w:val="none"/>
          <w:lang w:val="en-US" w:eastAsia="zh-CN"/>
        </w:rPr>
        <w:t>6</w:t>
      </w:r>
      <w:r>
        <w:rPr>
          <w:rFonts w:hint="eastAsia"/>
          <w:highlight w:val="none"/>
        </w:rPr>
        <w:t>.</w:t>
      </w:r>
      <w:r>
        <w:rPr>
          <w:rFonts w:hint="eastAsia"/>
          <w:highlight w:val="none"/>
          <w:lang w:val="en-US" w:eastAsia="zh-CN"/>
        </w:rPr>
        <w:t>2.1</w:t>
      </w:r>
      <w:r>
        <w:rPr>
          <w:rFonts w:hint="eastAsia" w:ascii="宋体" w:hAnsi="Times New Roman" w:eastAsia="宋体" w:cs="Times New Roman"/>
          <w:b w:val="0"/>
          <w:i w:val="0"/>
          <w:sz w:val="21"/>
          <w:highlight w:val="none"/>
          <w:lang w:val="en-US" w:eastAsia="zh-CN" w:bidi="ar-SA"/>
        </w:rPr>
        <w:t>　一类指标是无异味工厂创建的基本条件类指标，原则上应满足。未满足一类指标的，不宜认定为达到无异味工厂创建基本要求。</w:t>
      </w:r>
    </w:p>
    <w:p w14:paraId="2DB3572D">
      <w:pPr>
        <w:pStyle w:val="108"/>
        <w:spacing w:before="0" w:beforeLines="0" w:after="0" w:afterLines="0" w:line="240" w:lineRule="auto"/>
        <w:rPr>
          <w:rFonts w:hint="eastAsia" w:ascii="宋体" w:eastAsia="宋体" w:cs="Times New Roman"/>
          <w:b w:val="0"/>
          <w:i w:val="0"/>
          <w:sz w:val="21"/>
          <w:highlight w:val="none"/>
          <w:lang w:val="en-US" w:eastAsia="zh-CN" w:bidi="ar-SA"/>
        </w:rPr>
      </w:pPr>
      <w:r>
        <w:rPr>
          <w:rFonts w:hint="eastAsia"/>
          <w:highlight w:val="none"/>
          <w:lang w:val="en-US" w:eastAsia="zh-CN"/>
        </w:rPr>
        <w:t>6</w:t>
      </w:r>
      <w:r>
        <w:rPr>
          <w:rFonts w:hint="eastAsia"/>
          <w:highlight w:val="none"/>
        </w:rPr>
        <w:t>.</w:t>
      </w:r>
      <w:r>
        <w:rPr>
          <w:rFonts w:hint="eastAsia"/>
          <w:highlight w:val="none"/>
          <w:lang w:val="en-US" w:eastAsia="zh-CN"/>
        </w:rPr>
        <w:t>2.2</w:t>
      </w:r>
      <w:r>
        <w:rPr>
          <w:rFonts w:hint="eastAsia" w:ascii="宋体" w:hAnsi="Times New Roman" w:eastAsia="宋体" w:cs="Times New Roman"/>
          <w:b w:val="0"/>
          <w:i w:val="0"/>
          <w:sz w:val="21"/>
          <w:highlight w:val="none"/>
          <w:lang w:val="en-US" w:eastAsia="zh-CN" w:bidi="ar-SA"/>
        </w:rPr>
        <w:t>　二类指标是无异味工厂创建的核心提升类指标，创建主体应结合行业特征、异味污染风险和实际条件达到相关目标要求。对于因行业特性、生产工艺或客观条件确不适用的，应提供说明材料</w:t>
      </w:r>
      <w:r>
        <w:rPr>
          <w:rFonts w:hint="eastAsia" w:ascii="宋体" w:eastAsia="宋体" w:cs="Times New Roman"/>
          <w:b w:val="0"/>
          <w:i w:val="0"/>
          <w:sz w:val="21"/>
          <w:highlight w:val="none"/>
          <w:lang w:val="en-US" w:eastAsia="zh-CN" w:bidi="ar-SA"/>
        </w:rPr>
        <w:t>。</w:t>
      </w:r>
    </w:p>
    <w:p w14:paraId="6BDF97D4">
      <w:pPr>
        <w:pStyle w:val="108"/>
        <w:spacing w:before="0" w:beforeLines="0" w:after="0" w:afterLines="0" w:line="240" w:lineRule="auto"/>
        <w:rPr>
          <w:rFonts w:hint="eastAsia" w:ascii="宋体" w:eastAsia="宋体" w:cs="Times New Roman"/>
          <w:b w:val="0"/>
          <w:i w:val="0"/>
          <w:sz w:val="21"/>
          <w:highlight w:val="none"/>
          <w:lang w:val="en-US" w:eastAsia="zh-CN" w:bidi="ar-SA"/>
        </w:rPr>
      </w:pPr>
      <w:r>
        <w:rPr>
          <w:rFonts w:hint="eastAsia"/>
          <w:highlight w:val="none"/>
          <w:lang w:val="en-US" w:eastAsia="zh-CN"/>
        </w:rPr>
        <w:t>6</w:t>
      </w:r>
      <w:r>
        <w:rPr>
          <w:rFonts w:hint="eastAsia"/>
          <w:highlight w:val="none"/>
        </w:rPr>
        <w:t>.</w:t>
      </w:r>
      <w:r>
        <w:rPr>
          <w:rFonts w:hint="eastAsia"/>
          <w:highlight w:val="none"/>
          <w:lang w:val="en-US" w:eastAsia="zh-CN"/>
        </w:rPr>
        <w:t>2.3</w:t>
      </w:r>
      <w:r>
        <w:rPr>
          <w:rFonts w:hint="eastAsia" w:ascii="宋体" w:hAnsi="Times New Roman" w:eastAsia="宋体" w:cs="Times New Roman"/>
          <w:b w:val="0"/>
          <w:i w:val="0"/>
          <w:sz w:val="21"/>
          <w:highlight w:val="none"/>
          <w:lang w:val="en-US" w:eastAsia="zh-CN" w:bidi="ar-SA"/>
        </w:rPr>
        <w:t>　三类指标是无异味工厂创建的引领示范类指标，鼓励工厂积极对标开展建设，用于体现创建工作的先进性和持续提升水平</w:t>
      </w:r>
      <w:r>
        <w:rPr>
          <w:rFonts w:hint="eastAsia" w:ascii="宋体" w:eastAsia="宋体" w:cs="Times New Roman"/>
          <w:b w:val="0"/>
          <w:i w:val="0"/>
          <w:sz w:val="21"/>
          <w:highlight w:val="none"/>
          <w:lang w:val="en-US" w:eastAsia="zh-CN" w:bidi="ar-SA"/>
        </w:rPr>
        <w:t>。</w:t>
      </w:r>
    </w:p>
    <w:p w14:paraId="0526A08A">
      <w:pPr>
        <w:pStyle w:val="59"/>
        <w:ind w:firstLine="0" w:firstLineChars="0"/>
        <w:jc w:val="center"/>
        <w:rPr>
          <w:rFonts w:hint="eastAsia" w:asciiTheme="minorEastAsia" w:hAnsiTheme="minorEastAsia" w:eastAsiaTheme="minorEastAsia" w:cstheme="minorEastAsia"/>
          <w:highlight w:val="none"/>
          <w:lang w:val="en-US" w:eastAsia="zh-CN"/>
        </w:rPr>
      </w:pPr>
      <w:r>
        <w:rPr>
          <w:rFonts w:hint="eastAsia"/>
          <w:highlight w:val="none"/>
          <w:lang w:val="en-US" w:eastAsia="zh-CN"/>
        </w:rPr>
        <w:t xml:space="preserve">表1 </w:t>
      </w:r>
      <w:r>
        <w:rPr>
          <w:rFonts w:hint="eastAsia" w:asciiTheme="minorEastAsia" w:hAnsiTheme="minorEastAsia" w:eastAsiaTheme="minorEastAsia" w:cstheme="minorEastAsia"/>
          <w:highlight w:val="none"/>
          <w:lang w:val="en-US" w:eastAsia="zh-CN"/>
        </w:rPr>
        <w:t>无异味工厂建设指标表</w:t>
      </w:r>
    </w:p>
    <w:tbl>
      <w:tblPr>
        <w:tblStyle w:val="2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15"/>
        <w:gridCol w:w="730"/>
        <w:gridCol w:w="3590"/>
        <w:gridCol w:w="2971"/>
        <w:gridCol w:w="1052"/>
      </w:tblGrid>
      <w:tr w14:paraId="55FB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shd w:val="clear" w:color="auto" w:fill="auto"/>
            <w:tcMar>
              <w:top w:w="30" w:type="dxa"/>
              <w:left w:w="45" w:type="dxa"/>
              <w:bottom w:w="30" w:type="dxa"/>
              <w:right w:w="45" w:type="dxa"/>
            </w:tcMar>
            <w:vAlign w:val="center"/>
          </w:tcPr>
          <w:p w14:paraId="7D74BB89">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类别</w:t>
            </w:r>
          </w:p>
        </w:tc>
        <w:tc>
          <w:tcPr>
            <w:tcW w:w="722" w:type="dxa"/>
            <w:shd w:val="clear" w:color="auto" w:fill="auto"/>
            <w:tcMar>
              <w:top w:w="30" w:type="dxa"/>
              <w:left w:w="45" w:type="dxa"/>
              <w:bottom w:w="30" w:type="dxa"/>
              <w:right w:w="45" w:type="dxa"/>
            </w:tcMar>
            <w:vAlign w:val="center"/>
          </w:tcPr>
          <w:p w14:paraId="692114BD">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序号</w:t>
            </w:r>
          </w:p>
        </w:tc>
        <w:tc>
          <w:tcPr>
            <w:tcW w:w="3548" w:type="dxa"/>
            <w:shd w:val="clear" w:color="auto" w:fill="auto"/>
            <w:tcMar>
              <w:top w:w="30" w:type="dxa"/>
              <w:left w:w="45" w:type="dxa"/>
              <w:bottom w:w="30" w:type="dxa"/>
              <w:right w:w="45" w:type="dxa"/>
            </w:tcMar>
            <w:vAlign w:val="center"/>
          </w:tcPr>
          <w:p w14:paraId="40E274B9">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指标名称</w:t>
            </w:r>
          </w:p>
        </w:tc>
        <w:tc>
          <w:tcPr>
            <w:tcW w:w="2936" w:type="dxa"/>
            <w:shd w:val="clear" w:color="auto" w:fill="auto"/>
            <w:tcMar>
              <w:top w:w="30" w:type="dxa"/>
              <w:left w:w="45" w:type="dxa"/>
              <w:bottom w:w="30" w:type="dxa"/>
              <w:right w:w="45" w:type="dxa"/>
            </w:tcMar>
            <w:vAlign w:val="center"/>
          </w:tcPr>
          <w:p w14:paraId="07B5543E">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指标要求/目标值</w:t>
            </w:r>
          </w:p>
        </w:tc>
        <w:tc>
          <w:tcPr>
            <w:tcW w:w="1040" w:type="dxa"/>
            <w:shd w:val="clear" w:color="auto" w:fill="auto"/>
            <w:tcMar>
              <w:top w:w="30" w:type="dxa"/>
              <w:left w:w="45" w:type="dxa"/>
              <w:bottom w:w="30" w:type="dxa"/>
              <w:right w:w="45" w:type="dxa"/>
            </w:tcMar>
            <w:vAlign w:val="center"/>
          </w:tcPr>
          <w:p w14:paraId="583C76B9">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指标类型</w:t>
            </w:r>
          </w:p>
        </w:tc>
      </w:tr>
      <w:tr w14:paraId="42EC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restart"/>
            <w:shd w:val="clear" w:color="auto" w:fill="auto"/>
            <w:tcMar>
              <w:top w:w="30" w:type="dxa"/>
              <w:left w:w="45" w:type="dxa"/>
              <w:bottom w:w="30" w:type="dxa"/>
              <w:right w:w="45" w:type="dxa"/>
            </w:tcMar>
            <w:vAlign w:val="center"/>
          </w:tcPr>
          <w:p w14:paraId="62F52BB4">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一、绩效</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目标</w:t>
            </w:r>
          </w:p>
        </w:tc>
        <w:tc>
          <w:tcPr>
            <w:tcW w:w="722" w:type="dxa"/>
            <w:shd w:val="clear" w:color="auto" w:fill="auto"/>
            <w:tcMar>
              <w:top w:w="30" w:type="dxa"/>
              <w:left w:w="45" w:type="dxa"/>
              <w:bottom w:w="30" w:type="dxa"/>
              <w:right w:w="45" w:type="dxa"/>
            </w:tcMar>
            <w:vAlign w:val="center"/>
          </w:tcPr>
          <w:p w14:paraId="20FEEB11">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1</w:t>
            </w:r>
          </w:p>
        </w:tc>
        <w:tc>
          <w:tcPr>
            <w:tcW w:w="3548" w:type="dxa"/>
            <w:shd w:val="clear" w:color="auto" w:fill="auto"/>
            <w:tcMar>
              <w:top w:w="30" w:type="dxa"/>
              <w:left w:w="45" w:type="dxa"/>
              <w:bottom w:w="30" w:type="dxa"/>
              <w:right w:w="45" w:type="dxa"/>
            </w:tcMar>
            <w:vAlign w:val="center"/>
          </w:tcPr>
          <w:p w14:paraId="18F3082F">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厂界臭气浓度</w:t>
            </w:r>
          </w:p>
        </w:tc>
        <w:tc>
          <w:tcPr>
            <w:tcW w:w="2936" w:type="dxa"/>
            <w:shd w:val="clear" w:color="auto" w:fill="auto"/>
            <w:tcMar>
              <w:top w:w="30" w:type="dxa"/>
              <w:left w:w="45" w:type="dxa"/>
              <w:bottom w:w="30" w:type="dxa"/>
              <w:right w:w="45" w:type="dxa"/>
            </w:tcMar>
            <w:vAlign w:val="center"/>
          </w:tcPr>
          <w:p w14:paraId="2C404C64">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 w:bidi="ar"/>
                <w:woUserID w:val="1"/>
              </w:rPr>
            </w:pPr>
            <w:r>
              <w:rPr>
                <w:rFonts w:hint="eastAsia" w:ascii="宋体" w:hAnsi="宋体" w:eastAsia="宋体" w:cs="宋体"/>
                <w:kern w:val="0"/>
                <w:sz w:val="20"/>
                <w:szCs w:val="20"/>
                <w:highlight w:val="none"/>
                <w:lang w:val="en-US" w:eastAsia="zh-CN" w:bidi="ar"/>
              </w:rPr>
              <w:t>满足国家或地方排放标准要求</w:t>
            </w:r>
          </w:p>
        </w:tc>
        <w:tc>
          <w:tcPr>
            <w:tcW w:w="1040" w:type="dxa"/>
            <w:shd w:val="clear" w:color="auto" w:fill="auto"/>
            <w:tcMar>
              <w:top w:w="30" w:type="dxa"/>
              <w:left w:w="45" w:type="dxa"/>
              <w:bottom w:w="30" w:type="dxa"/>
              <w:right w:w="45" w:type="dxa"/>
            </w:tcMar>
            <w:vAlign w:val="center"/>
          </w:tcPr>
          <w:p w14:paraId="6DBC2D51">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一类</w:t>
            </w:r>
          </w:p>
        </w:tc>
      </w:tr>
      <w:tr w14:paraId="23F8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3EF41398">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06C35F15">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2</w:t>
            </w:r>
          </w:p>
        </w:tc>
        <w:tc>
          <w:tcPr>
            <w:tcW w:w="3548" w:type="dxa"/>
            <w:shd w:val="clear" w:color="auto" w:fill="auto"/>
            <w:tcMar>
              <w:top w:w="30" w:type="dxa"/>
              <w:left w:w="45" w:type="dxa"/>
              <w:bottom w:w="30" w:type="dxa"/>
              <w:right w:w="45" w:type="dxa"/>
            </w:tcMar>
            <w:vAlign w:val="center"/>
          </w:tcPr>
          <w:p w14:paraId="7D6DB4E9">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特征异味污染物浓度</w:t>
            </w:r>
          </w:p>
        </w:tc>
        <w:tc>
          <w:tcPr>
            <w:tcW w:w="2936" w:type="dxa"/>
            <w:shd w:val="clear" w:color="auto" w:fill="auto"/>
            <w:tcMar>
              <w:top w:w="30" w:type="dxa"/>
              <w:left w:w="45" w:type="dxa"/>
              <w:bottom w:w="30" w:type="dxa"/>
              <w:right w:w="45" w:type="dxa"/>
            </w:tcMar>
            <w:vAlign w:val="center"/>
          </w:tcPr>
          <w:p w14:paraId="6285D7FD">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≤排放标准限值的</w:t>
            </w:r>
            <w:r>
              <w:rPr>
                <w:rFonts w:hint="eastAsia" w:ascii="宋体" w:hAnsi="宋体" w:cs="宋体"/>
                <w:kern w:val="0"/>
                <w:sz w:val="20"/>
                <w:szCs w:val="20"/>
                <w:highlight w:val="none"/>
                <w:lang w:val="en-US" w:eastAsia="zh-CN" w:bidi="ar"/>
              </w:rPr>
              <w:t>75</w:t>
            </w:r>
            <w:r>
              <w:rPr>
                <w:rFonts w:hint="eastAsia" w:ascii="宋体" w:hAnsi="宋体" w:eastAsia="宋体" w:cs="宋体"/>
                <w:kern w:val="0"/>
                <w:sz w:val="20"/>
                <w:szCs w:val="20"/>
                <w:highlight w:val="none"/>
                <w:lang w:val="en-US" w:eastAsia="zh-CN" w:bidi="ar"/>
              </w:rPr>
              <w:t>%</w:t>
            </w:r>
          </w:p>
        </w:tc>
        <w:tc>
          <w:tcPr>
            <w:tcW w:w="1040" w:type="dxa"/>
            <w:shd w:val="clear" w:color="auto" w:fill="auto"/>
            <w:tcMar>
              <w:top w:w="30" w:type="dxa"/>
              <w:left w:w="45" w:type="dxa"/>
              <w:bottom w:w="30" w:type="dxa"/>
              <w:right w:w="45" w:type="dxa"/>
            </w:tcMar>
            <w:vAlign w:val="center"/>
          </w:tcPr>
          <w:p w14:paraId="48D9293F">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一类</w:t>
            </w:r>
          </w:p>
        </w:tc>
      </w:tr>
      <w:tr w14:paraId="6442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122D26EE">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73828732">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3</w:t>
            </w:r>
          </w:p>
        </w:tc>
        <w:tc>
          <w:tcPr>
            <w:tcW w:w="3548" w:type="dxa"/>
            <w:shd w:val="clear" w:color="auto" w:fill="auto"/>
            <w:tcMar>
              <w:top w:w="30" w:type="dxa"/>
              <w:left w:w="45" w:type="dxa"/>
              <w:bottom w:w="30" w:type="dxa"/>
              <w:right w:w="45" w:type="dxa"/>
            </w:tcMar>
            <w:vAlign w:val="center"/>
          </w:tcPr>
          <w:p w14:paraId="5CD048A7">
            <w:pPr>
              <w:keepNext w:val="0"/>
              <w:keepLines w:val="0"/>
              <w:widowControl/>
              <w:suppressLineNumbers w:val="0"/>
              <w:bidi w:val="0"/>
              <w:spacing w:line="240" w:lineRule="auto"/>
              <w:jc w:val="center"/>
              <w:textAlignment w:val="bottom"/>
              <w:rPr>
                <w:rFonts w:hint="default" w:ascii="宋体" w:hAnsi="宋体" w:cs="宋体"/>
                <w:sz w:val="20"/>
                <w:szCs w:val="20"/>
                <w:highlight w:val="none"/>
                <w:lang w:val="en-US"/>
              </w:rPr>
            </w:pPr>
            <w:r>
              <w:rPr>
                <w:rFonts w:hint="eastAsia" w:ascii="宋体" w:hAnsi="宋体" w:cs="宋体"/>
                <w:kern w:val="0"/>
                <w:sz w:val="20"/>
                <w:szCs w:val="20"/>
                <w:highlight w:val="none"/>
                <w:lang w:val="en-US" w:eastAsia="zh-CN" w:bidi="ar"/>
              </w:rPr>
              <w:t>查实异味投诉整改闭环率</w:t>
            </w:r>
          </w:p>
        </w:tc>
        <w:tc>
          <w:tcPr>
            <w:tcW w:w="2936" w:type="dxa"/>
            <w:shd w:val="clear" w:color="auto" w:fill="auto"/>
            <w:tcMar>
              <w:top w:w="30" w:type="dxa"/>
              <w:left w:w="45" w:type="dxa"/>
              <w:bottom w:w="30" w:type="dxa"/>
              <w:right w:w="45" w:type="dxa"/>
            </w:tcMar>
            <w:vAlign w:val="center"/>
          </w:tcPr>
          <w:p w14:paraId="5C89B6BF">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default" w:ascii="Arial" w:hAnsi="Arial" w:eastAsia="宋体" w:cs="Arial"/>
                <w:kern w:val="0"/>
                <w:sz w:val="20"/>
                <w:szCs w:val="20"/>
                <w:highlight w:val="none"/>
                <w:lang w:val="en-US" w:eastAsia="zh-CN" w:bidi="ar"/>
              </w:rPr>
              <w:t>100%</w:t>
            </w:r>
          </w:p>
        </w:tc>
        <w:tc>
          <w:tcPr>
            <w:tcW w:w="1040" w:type="dxa"/>
            <w:shd w:val="clear" w:color="auto" w:fill="auto"/>
            <w:tcMar>
              <w:top w:w="30" w:type="dxa"/>
              <w:left w:w="45" w:type="dxa"/>
              <w:bottom w:w="30" w:type="dxa"/>
              <w:right w:w="45" w:type="dxa"/>
            </w:tcMar>
            <w:vAlign w:val="center"/>
          </w:tcPr>
          <w:p w14:paraId="72C04954">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一</w:t>
            </w:r>
            <w:r>
              <w:rPr>
                <w:rFonts w:hint="eastAsia" w:ascii="宋体" w:hAnsi="宋体" w:eastAsia="宋体" w:cs="宋体"/>
                <w:kern w:val="0"/>
                <w:sz w:val="20"/>
                <w:szCs w:val="20"/>
                <w:highlight w:val="none"/>
                <w:lang w:val="en-US" w:eastAsia="zh-CN" w:bidi="ar"/>
              </w:rPr>
              <w:t>类</w:t>
            </w:r>
          </w:p>
        </w:tc>
      </w:tr>
      <w:tr w14:paraId="7641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776C6451">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3AED57D5">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4</w:t>
            </w:r>
          </w:p>
        </w:tc>
        <w:tc>
          <w:tcPr>
            <w:tcW w:w="3548" w:type="dxa"/>
            <w:shd w:val="clear" w:color="auto" w:fill="auto"/>
            <w:tcMar>
              <w:top w:w="30" w:type="dxa"/>
              <w:left w:w="45" w:type="dxa"/>
              <w:bottom w:w="30" w:type="dxa"/>
              <w:right w:w="45" w:type="dxa"/>
            </w:tcMar>
            <w:vAlign w:val="center"/>
          </w:tcPr>
          <w:p w14:paraId="0F6DAB6B">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重大环境安全事故或重大社会影响事件</w:t>
            </w:r>
          </w:p>
        </w:tc>
        <w:tc>
          <w:tcPr>
            <w:tcW w:w="2936" w:type="dxa"/>
            <w:shd w:val="clear" w:color="auto" w:fill="auto"/>
            <w:tcMar>
              <w:top w:w="30" w:type="dxa"/>
              <w:left w:w="45" w:type="dxa"/>
              <w:bottom w:w="30" w:type="dxa"/>
              <w:right w:w="45" w:type="dxa"/>
            </w:tcMar>
            <w:vAlign w:val="center"/>
          </w:tcPr>
          <w:p w14:paraId="0818F927">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过去</w:t>
            </w:r>
            <w:r>
              <w:rPr>
                <w:rFonts w:hint="eastAsia" w:ascii="宋体" w:hAnsi="宋体" w:eastAsia="宋体" w:cs="宋体"/>
                <w:kern w:val="0"/>
                <w:sz w:val="20"/>
                <w:szCs w:val="20"/>
                <w:highlight w:val="none"/>
                <w:lang w:val="en-US" w:eastAsia="zh-CN" w:bidi="ar"/>
              </w:rPr>
              <w:t>3年</w:t>
            </w:r>
            <w:r>
              <w:rPr>
                <w:rFonts w:hint="eastAsia" w:ascii="宋体" w:hAnsi="宋体" w:cs="宋体"/>
                <w:kern w:val="0"/>
                <w:sz w:val="20"/>
                <w:szCs w:val="20"/>
                <w:highlight w:val="none"/>
                <w:lang w:val="en-US" w:eastAsia="zh-CN" w:bidi="ar"/>
              </w:rPr>
              <w:t>累计</w:t>
            </w:r>
            <w:r>
              <w:rPr>
                <w:rFonts w:hint="eastAsia" w:ascii="宋体" w:hAnsi="宋体" w:eastAsia="宋体" w:cs="宋体"/>
                <w:kern w:val="0"/>
                <w:sz w:val="20"/>
                <w:szCs w:val="20"/>
                <w:highlight w:val="none"/>
                <w:lang w:val="en-US" w:eastAsia="zh-CN" w:bidi="ar"/>
              </w:rPr>
              <w:t>0次</w:t>
            </w:r>
          </w:p>
        </w:tc>
        <w:tc>
          <w:tcPr>
            <w:tcW w:w="1040" w:type="dxa"/>
            <w:shd w:val="clear" w:color="auto" w:fill="auto"/>
            <w:tcMar>
              <w:top w:w="30" w:type="dxa"/>
              <w:left w:w="45" w:type="dxa"/>
              <w:bottom w:w="30" w:type="dxa"/>
              <w:right w:w="45" w:type="dxa"/>
            </w:tcMar>
            <w:vAlign w:val="center"/>
          </w:tcPr>
          <w:p w14:paraId="5A52EEFB">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一类</w:t>
            </w:r>
          </w:p>
        </w:tc>
      </w:tr>
      <w:tr w14:paraId="5749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4E6D363A">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7C66368B">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5</w:t>
            </w:r>
          </w:p>
        </w:tc>
        <w:tc>
          <w:tcPr>
            <w:tcW w:w="3548" w:type="dxa"/>
            <w:shd w:val="clear" w:color="auto" w:fill="auto"/>
            <w:tcMar>
              <w:top w:w="30" w:type="dxa"/>
              <w:left w:w="45" w:type="dxa"/>
              <w:bottom w:w="30" w:type="dxa"/>
              <w:right w:w="45" w:type="dxa"/>
            </w:tcMar>
            <w:vAlign w:val="center"/>
          </w:tcPr>
          <w:p w14:paraId="0D19DDB7">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感官评价</w:t>
            </w:r>
          </w:p>
        </w:tc>
        <w:tc>
          <w:tcPr>
            <w:tcW w:w="2936" w:type="dxa"/>
            <w:shd w:val="clear" w:color="auto" w:fill="auto"/>
            <w:tcMar>
              <w:top w:w="30" w:type="dxa"/>
              <w:left w:w="45" w:type="dxa"/>
              <w:bottom w:w="30" w:type="dxa"/>
              <w:right w:w="45" w:type="dxa"/>
            </w:tcMar>
            <w:vAlign w:val="center"/>
          </w:tcPr>
          <w:p w14:paraId="769E6D25">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厂界及周边敏感目标无明显异味影响</w:t>
            </w:r>
          </w:p>
        </w:tc>
        <w:tc>
          <w:tcPr>
            <w:tcW w:w="1040" w:type="dxa"/>
            <w:shd w:val="clear" w:color="auto" w:fill="auto"/>
            <w:tcMar>
              <w:top w:w="30" w:type="dxa"/>
              <w:left w:w="45" w:type="dxa"/>
              <w:bottom w:w="30" w:type="dxa"/>
              <w:right w:w="45" w:type="dxa"/>
            </w:tcMar>
            <w:vAlign w:val="center"/>
          </w:tcPr>
          <w:p w14:paraId="69169229">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二类</w:t>
            </w:r>
          </w:p>
        </w:tc>
      </w:tr>
      <w:tr w14:paraId="7DEB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1102" w:type="dxa"/>
            <w:vMerge w:val="restart"/>
            <w:shd w:val="clear" w:color="auto" w:fill="auto"/>
            <w:tcMar>
              <w:top w:w="30" w:type="dxa"/>
              <w:left w:w="45" w:type="dxa"/>
              <w:bottom w:w="30" w:type="dxa"/>
              <w:right w:w="45" w:type="dxa"/>
            </w:tcMar>
            <w:vAlign w:val="center"/>
          </w:tcPr>
          <w:p w14:paraId="0B712888">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二、源头</w:t>
            </w:r>
            <w:r>
              <w:rPr>
                <w:rFonts w:hint="eastAsia" w:ascii="宋体" w:hAnsi="宋体" w:cs="宋体"/>
                <w:kern w:val="0"/>
                <w:sz w:val="20"/>
                <w:szCs w:val="20"/>
                <w:highlight w:val="none"/>
                <w:lang w:val="en-US" w:eastAsia="zh-CN" w:bidi="ar"/>
              </w:rPr>
              <w:t>削减</w:t>
            </w:r>
            <w:r>
              <w:rPr>
                <w:rFonts w:hint="eastAsia" w:ascii="宋体" w:hAnsi="宋体" w:eastAsia="宋体" w:cs="宋体"/>
                <w:kern w:val="0"/>
                <w:sz w:val="20"/>
                <w:szCs w:val="20"/>
                <w:highlight w:val="none"/>
                <w:lang w:val="en-US" w:eastAsia="zh-CN" w:bidi="ar"/>
              </w:rPr>
              <w:t>与过程控制</w:t>
            </w:r>
          </w:p>
        </w:tc>
        <w:tc>
          <w:tcPr>
            <w:tcW w:w="722" w:type="dxa"/>
            <w:shd w:val="clear" w:color="auto" w:fill="auto"/>
            <w:tcMar>
              <w:top w:w="30" w:type="dxa"/>
              <w:left w:w="45" w:type="dxa"/>
              <w:bottom w:w="30" w:type="dxa"/>
              <w:right w:w="45" w:type="dxa"/>
            </w:tcMar>
            <w:vAlign w:val="center"/>
          </w:tcPr>
          <w:p w14:paraId="1D272C97">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6</w:t>
            </w:r>
          </w:p>
        </w:tc>
        <w:tc>
          <w:tcPr>
            <w:tcW w:w="3548" w:type="dxa"/>
            <w:shd w:val="clear" w:color="auto" w:fill="auto"/>
            <w:tcMar>
              <w:top w:w="30" w:type="dxa"/>
              <w:left w:w="45" w:type="dxa"/>
              <w:bottom w:w="30" w:type="dxa"/>
              <w:right w:w="45" w:type="dxa"/>
            </w:tcMar>
            <w:vAlign w:val="center"/>
          </w:tcPr>
          <w:p w14:paraId="6E8A5AD2">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原辅材料异味风险评估与替代计划</w:t>
            </w:r>
          </w:p>
        </w:tc>
        <w:tc>
          <w:tcPr>
            <w:tcW w:w="2936" w:type="dxa"/>
            <w:shd w:val="clear" w:color="auto" w:fill="auto"/>
            <w:tcMar>
              <w:top w:w="30" w:type="dxa"/>
              <w:left w:w="45" w:type="dxa"/>
              <w:bottom w:w="30" w:type="dxa"/>
              <w:right w:w="45" w:type="dxa"/>
            </w:tcMar>
            <w:vAlign w:val="center"/>
          </w:tcPr>
          <w:p w14:paraId="55E97227">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已建立并实施</w:t>
            </w:r>
          </w:p>
        </w:tc>
        <w:tc>
          <w:tcPr>
            <w:tcW w:w="1040" w:type="dxa"/>
            <w:shd w:val="clear" w:color="auto" w:fill="auto"/>
            <w:tcMar>
              <w:top w:w="30" w:type="dxa"/>
              <w:left w:w="45" w:type="dxa"/>
              <w:bottom w:w="30" w:type="dxa"/>
              <w:right w:w="45" w:type="dxa"/>
            </w:tcMar>
            <w:vAlign w:val="center"/>
          </w:tcPr>
          <w:p w14:paraId="7672F0AD">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二类</w:t>
            </w:r>
          </w:p>
        </w:tc>
      </w:tr>
      <w:tr w14:paraId="7319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427D5605">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5F34BC71">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7</w:t>
            </w:r>
          </w:p>
        </w:tc>
        <w:tc>
          <w:tcPr>
            <w:tcW w:w="3548" w:type="dxa"/>
            <w:shd w:val="clear" w:color="auto" w:fill="auto"/>
            <w:tcMar>
              <w:top w:w="30" w:type="dxa"/>
              <w:left w:w="45" w:type="dxa"/>
              <w:bottom w:w="30" w:type="dxa"/>
              <w:right w:w="45" w:type="dxa"/>
            </w:tcMar>
            <w:vAlign w:val="center"/>
          </w:tcPr>
          <w:p w14:paraId="30F5BB48">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涉异味生产设备密闭化率</w:t>
            </w:r>
          </w:p>
        </w:tc>
        <w:tc>
          <w:tcPr>
            <w:tcW w:w="2936" w:type="dxa"/>
            <w:shd w:val="clear" w:color="auto" w:fill="auto"/>
            <w:tcMar>
              <w:top w:w="30" w:type="dxa"/>
              <w:left w:w="45" w:type="dxa"/>
              <w:bottom w:w="30" w:type="dxa"/>
              <w:right w:w="45" w:type="dxa"/>
            </w:tcMar>
            <w:vAlign w:val="center"/>
          </w:tcPr>
          <w:p w14:paraId="64543371">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100%（除工艺、安全或客观条件不适用外</w:t>
            </w:r>
          </w:p>
        </w:tc>
        <w:tc>
          <w:tcPr>
            <w:tcW w:w="1040" w:type="dxa"/>
            <w:shd w:val="clear" w:color="auto" w:fill="auto"/>
            <w:tcMar>
              <w:top w:w="30" w:type="dxa"/>
              <w:left w:w="45" w:type="dxa"/>
              <w:bottom w:w="30" w:type="dxa"/>
              <w:right w:w="45" w:type="dxa"/>
            </w:tcMar>
            <w:vAlign w:val="center"/>
          </w:tcPr>
          <w:p w14:paraId="7B731B2A">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一类</w:t>
            </w:r>
          </w:p>
        </w:tc>
      </w:tr>
      <w:tr w14:paraId="51B8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7FBD3638">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5A700BA1">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8</w:t>
            </w:r>
          </w:p>
        </w:tc>
        <w:tc>
          <w:tcPr>
            <w:tcW w:w="3548" w:type="dxa"/>
            <w:shd w:val="clear" w:color="auto" w:fill="auto"/>
            <w:tcMar>
              <w:top w:w="30" w:type="dxa"/>
              <w:left w:w="45" w:type="dxa"/>
              <w:bottom w:w="30" w:type="dxa"/>
              <w:right w:w="45" w:type="dxa"/>
            </w:tcMar>
            <w:vAlign w:val="center"/>
          </w:tcPr>
          <w:p w14:paraId="1A1615D0">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重点设备低泄漏或密封措施落实情况</w:t>
            </w:r>
          </w:p>
        </w:tc>
        <w:tc>
          <w:tcPr>
            <w:tcW w:w="2936" w:type="dxa"/>
            <w:shd w:val="clear" w:color="auto" w:fill="auto"/>
            <w:tcMar>
              <w:top w:w="30" w:type="dxa"/>
              <w:left w:w="45" w:type="dxa"/>
              <w:bottom w:w="30" w:type="dxa"/>
              <w:right w:w="45" w:type="dxa"/>
            </w:tcMar>
            <w:vAlign w:val="center"/>
          </w:tcPr>
          <w:p w14:paraId="403C2005">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满足创建要求</w:t>
            </w:r>
          </w:p>
        </w:tc>
        <w:tc>
          <w:tcPr>
            <w:tcW w:w="1040" w:type="dxa"/>
            <w:shd w:val="clear" w:color="auto" w:fill="auto"/>
            <w:tcMar>
              <w:top w:w="30" w:type="dxa"/>
              <w:left w:w="45" w:type="dxa"/>
              <w:bottom w:w="30" w:type="dxa"/>
              <w:right w:w="45" w:type="dxa"/>
            </w:tcMar>
            <w:vAlign w:val="center"/>
          </w:tcPr>
          <w:p w14:paraId="43522F81">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二类</w:t>
            </w:r>
          </w:p>
        </w:tc>
      </w:tr>
      <w:tr w14:paraId="4D41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3F19A8A4">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3039DAB3">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9</w:t>
            </w:r>
          </w:p>
        </w:tc>
        <w:tc>
          <w:tcPr>
            <w:tcW w:w="3548" w:type="dxa"/>
            <w:shd w:val="clear" w:color="auto" w:fill="auto"/>
            <w:tcMar>
              <w:top w:w="30" w:type="dxa"/>
              <w:left w:w="45" w:type="dxa"/>
              <w:bottom w:w="30" w:type="dxa"/>
              <w:right w:w="45" w:type="dxa"/>
            </w:tcMar>
            <w:vAlign w:val="center"/>
          </w:tcPr>
          <w:p w14:paraId="51D2205A">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真空系统干式化或密闭循环情况</w:t>
            </w:r>
          </w:p>
        </w:tc>
        <w:tc>
          <w:tcPr>
            <w:tcW w:w="2936" w:type="dxa"/>
            <w:shd w:val="clear" w:color="auto" w:fill="auto"/>
            <w:tcMar>
              <w:top w:w="30" w:type="dxa"/>
              <w:left w:w="45" w:type="dxa"/>
              <w:bottom w:w="30" w:type="dxa"/>
              <w:right w:w="45" w:type="dxa"/>
            </w:tcMar>
            <w:vAlign w:val="center"/>
          </w:tcPr>
          <w:p w14:paraId="7EA811A8">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满足创建要求</w:t>
            </w:r>
          </w:p>
        </w:tc>
        <w:tc>
          <w:tcPr>
            <w:tcW w:w="1040" w:type="dxa"/>
            <w:shd w:val="clear" w:color="auto" w:fill="auto"/>
            <w:tcMar>
              <w:top w:w="30" w:type="dxa"/>
              <w:left w:w="45" w:type="dxa"/>
              <w:bottom w:w="30" w:type="dxa"/>
              <w:right w:w="45" w:type="dxa"/>
            </w:tcMar>
            <w:vAlign w:val="center"/>
          </w:tcPr>
          <w:p w14:paraId="2E2DE8AD">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二类</w:t>
            </w:r>
          </w:p>
        </w:tc>
      </w:tr>
      <w:tr w14:paraId="3F09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6A7E500B">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3471FC8F">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10</w:t>
            </w:r>
          </w:p>
        </w:tc>
        <w:tc>
          <w:tcPr>
            <w:tcW w:w="3548" w:type="dxa"/>
            <w:shd w:val="clear" w:color="auto" w:fill="auto"/>
            <w:tcMar>
              <w:top w:w="30" w:type="dxa"/>
              <w:left w:w="45" w:type="dxa"/>
              <w:bottom w:w="30" w:type="dxa"/>
              <w:right w:w="45" w:type="dxa"/>
            </w:tcMar>
            <w:vAlign w:val="center"/>
          </w:tcPr>
          <w:p w14:paraId="4F46DC5C">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泄漏检测与修复（LDAR）覆盖</w:t>
            </w:r>
            <w:r>
              <w:rPr>
                <w:rFonts w:hint="eastAsia" w:ascii="宋体" w:hAnsi="宋体" w:cs="宋体"/>
                <w:kern w:val="0"/>
                <w:sz w:val="20"/>
                <w:szCs w:val="20"/>
                <w:highlight w:val="none"/>
                <w:lang w:val="en-US" w:eastAsia="zh-CN" w:bidi="ar"/>
              </w:rPr>
              <w:t>情况</w:t>
            </w:r>
          </w:p>
        </w:tc>
        <w:tc>
          <w:tcPr>
            <w:tcW w:w="2936" w:type="dxa"/>
            <w:shd w:val="clear" w:color="auto" w:fill="auto"/>
            <w:tcMar>
              <w:top w:w="30" w:type="dxa"/>
              <w:left w:w="45" w:type="dxa"/>
              <w:bottom w:w="30" w:type="dxa"/>
              <w:right w:w="45" w:type="dxa"/>
            </w:tcMar>
            <w:vAlign w:val="center"/>
          </w:tcPr>
          <w:p w14:paraId="69140227">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涉VOCs物料使用企业按要求实施</w:t>
            </w:r>
          </w:p>
        </w:tc>
        <w:tc>
          <w:tcPr>
            <w:tcW w:w="1040" w:type="dxa"/>
            <w:shd w:val="clear" w:color="auto" w:fill="auto"/>
            <w:tcMar>
              <w:top w:w="30" w:type="dxa"/>
              <w:left w:w="45" w:type="dxa"/>
              <w:bottom w:w="30" w:type="dxa"/>
              <w:right w:w="45" w:type="dxa"/>
            </w:tcMar>
            <w:vAlign w:val="center"/>
          </w:tcPr>
          <w:p w14:paraId="40515B22">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二类</w:t>
            </w:r>
          </w:p>
        </w:tc>
      </w:tr>
      <w:tr w14:paraId="39A5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596355A0">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03730EC2">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11</w:t>
            </w:r>
          </w:p>
        </w:tc>
        <w:tc>
          <w:tcPr>
            <w:tcW w:w="3548" w:type="dxa"/>
            <w:shd w:val="clear" w:color="auto" w:fill="auto"/>
            <w:tcMar>
              <w:top w:w="30" w:type="dxa"/>
              <w:left w:w="45" w:type="dxa"/>
              <w:bottom w:w="30" w:type="dxa"/>
              <w:right w:w="45" w:type="dxa"/>
            </w:tcMar>
            <w:vAlign w:val="center"/>
          </w:tcPr>
          <w:p w14:paraId="080B6F33">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涉异味重点装置自动化控制或工况监控</w:t>
            </w:r>
          </w:p>
        </w:tc>
        <w:tc>
          <w:tcPr>
            <w:tcW w:w="2936" w:type="dxa"/>
            <w:shd w:val="clear" w:color="auto" w:fill="auto"/>
            <w:tcMar>
              <w:top w:w="30" w:type="dxa"/>
              <w:left w:w="45" w:type="dxa"/>
              <w:bottom w:w="30" w:type="dxa"/>
              <w:right w:w="45" w:type="dxa"/>
            </w:tcMar>
            <w:vAlign w:val="center"/>
          </w:tcPr>
          <w:p w14:paraId="6F50A5EC">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具备关键参数监控、记录或报警能力</w:t>
            </w:r>
          </w:p>
        </w:tc>
        <w:tc>
          <w:tcPr>
            <w:tcW w:w="1040" w:type="dxa"/>
            <w:shd w:val="clear" w:color="auto" w:fill="auto"/>
            <w:tcMar>
              <w:top w:w="30" w:type="dxa"/>
              <w:left w:w="45" w:type="dxa"/>
              <w:bottom w:w="30" w:type="dxa"/>
              <w:right w:w="45" w:type="dxa"/>
            </w:tcMar>
            <w:vAlign w:val="center"/>
          </w:tcPr>
          <w:p w14:paraId="6C7024CE">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三类</w:t>
            </w:r>
          </w:p>
        </w:tc>
      </w:tr>
      <w:tr w14:paraId="03E9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restart"/>
            <w:shd w:val="clear" w:color="auto" w:fill="auto"/>
            <w:tcMar>
              <w:top w:w="30" w:type="dxa"/>
              <w:left w:w="45" w:type="dxa"/>
              <w:bottom w:w="30" w:type="dxa"/>
              <w:right w:w="45" w:type="dxa"/>
            </w:tcMar>
            <w:vAlign w:val="center"/>
          </w:tcPr>
          <w:p w14:paraId="145C852F">
            <w:pPr>
              <w:keepNext w:val="0"/>
              <w:keepLines w:val="0"/>
              <w:widowControl/>
              <w:suppressLineNumbers w:val="0"/>
              <w:bidi w:val="0"/>
              <w:spacing w:line="240" w:lineRule="auto"/>
              <w:jc w:val="center"/>
              <w:textAlignment w:val="bottom"/>
              <w:rPr>
                <w:rFonts w:hint="default" w:ascii="宋体" w:hAnsi="宋体" w:cs="宋体"/>
                <w:sz w:val="20"/>
                <w:szCs w:val="20"/>
                <w:highlight w:val="none"/>
                <w:lang w:val="en-US"/>
              </w:rPr>
            </w:pPr>
            <w:r>
              <w:rPr>
                <w:rFonts w:hint="eastAsia" w:ascii="宋体" w:hAnsi="宋体" w:eastAsia="宋体" w:cs="宋体"/>
                <w:kern w:val="0"/>
                <w:sz w:val="20"/>
                <w:szCs w:val="20"/>
                <w:highlight w:val="none"/>
                <w:lang w:val="en-US" w:eastAsia="zh-CN" w:bidi="ar"/>
              </w:rPr>
              <w:t>三、末端治理</w:t>
            </w:r>
            <w:r>
              <w:rPr>
                <w:rFonts w:hint="eastAsia" w:ascii="宋体" w:hAnsi="宋体" w:cs="宋体"/>
                <w:kern w:val="0"/>
                <w:sz w:val="20"/>
                <w:szCs w:val="20"/>
                <w:highlight w:val="none"/>
                <w:lang w:val="en-US" w:eastAsia="zh-CN" w:bidi="ar"/>
              </w:rPr>
              <w:t>与运行管理</w:t>
            </w:r>
          </w:p>
        </w:tc>
        <w:tc>
          <w:tcPr>
            <w:tcW w:w="722" w:type="dxa"/>
            <w:shd w:val="clear" w:color="auto" w:fill="auto"/>
            <w:tcMar>
              <w:top w:w="30" w:type="dxa"/>
              <w:left w:w="45" w:type="dxa"/>
              <w:bottom w:w="30" w:type="dxa"/>
              <w:right w:w="45" w:type="dxa"/>
            </w:tcMar>
            <w:vAlign w:val="center"/>
          </w:tcPr>
          <w:p w14:paraId="47321D6F">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12</w:t>
            </w:r>
          </w:p>
        </w:tc>
        <w:tc>
          <w:tcPr>
            <w:tcW w:w="3548" w:type="dxa"/>
            <w:shd w:val="clear" w:color="auto" w:fill="auto"/>
            <w:tcMar>
              <w:top w:w="30" w:type="dxa"/>
              <w:left w:w="45" w:type="dxa"/>
              <w:bottom w:w="30" w:type="dxa"/>
              <w:right w:w="45" w:type="dxa"/>
            </w:tcMar>
            <w:vAlign w:val="center"/>
          </w:tcPr>
          <w:p w14:paraId="228F4014">
            <w:pPr>
              <w:keepNext w:val="0"/>
              <w:keepLines w:val="0"/>
              <w:widowControl/>
              <w:suppressLineNumbers w:val="0"/>
              <w:bidi w:val="0"/>
              <w:spacing w:line="240" w:lineRule="auto"/>
              <w:jc w:val="center"/>
              <w:textAlignment w:val="bottom"/>
              <w:rPr>
                <w:rFonts w:hint="default" w:ascii="宋体" w:hAnsi="宋体" w:cs="宋体"/>
                <w:sz w:val="20"/>
                <w:szCs w:val="20"/>
                <w:highlight w:val="none"/>
                <w:lang w:val="en-US"/>
              </w:rPr>
            </w:pPr>
            <w:r>
              <w:rPr>
                <w:rFonts w:hint="eastAsia" w:ascii="宋体" w:hAnsi="宋体" w:eastAsia="宋体" w:cs="宋体"/>
                <w:kern w:val="0"/>
                <w:sz w:val="20"/>
                <w:szCs w:val="20"/>
                <w:highlight w:val="none"/>
                <w:lang w:val="en-US" w:eastAsia="zh-CN" w:bidi="ar"/>
              </w:rPr>
              <w:t>废气收集系统适配性</w:t>
            </w:r>
          </w:p>
        </w:tc>
        <w:tc>
          <w:tcPr>
            <w:tcW w:w="2936" w:type="dxa"/>
            <w:shd w:val="clear" w:color="auto" w:fill="auto"/>
            <w:tcMar>
              <w:top w:w="30" w:type="dxa"/>
              <w:left w:w="45" w:type="dxa"/>
              <w:bottom w:w="30" w:type="dxa"/>
              <w:right w:w="45" w:type="dxa"/>
            </w:tcMar>
            <w:vAlign w:val="center"/>
          </w:tcPr>
          <w:p w14:paraId="42F3536F">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收集方式、控制风速和处理能力满足设计要求</w:t>
            </w:r>
          </w:p>
        </w:tc>
        <w:tc>
          <w:tcPr>
            <w:tcW w:w="1040" w:type="dxa"/>
            <w:shd w:val="clear" w:color="auto" w:fill="auto"/>
            <w:tcMar>
              <w:top w:w="30" w:type="dxa"/>
              <w:left w:w="45" w:type="dxa"/>
              <w:bottom w:w="30" w:type="dxa"/>
              <w:right w:w="45" w:type="dxa"/>
            </w:tcMar>
            <w:vAlign w:val="center"/>
          </w:tcPr>
          <w:p w14:paraId="2CB5B9FD">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二类</w:t>
            </w:r>
          </w:p>
        </w:tc>
      </w:tr>
      <w:tr w14:paraId="4AB0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2EE710CC">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1E756232">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13</w:t>
            </w:r>
          </w:p>
        </w:tc>
        <w:tc>
          <w:tcPr>
            <w:tcW w:w="3548" w:type="dxa"/>
            <w:shd w:val="clear" w:color="auto" w:fill="auto"/>
            <w:tcMar>
              <w:top w:w="30" w:type="dxa"/>
              <w:left w:w="45" w:type="dxa"/>
              <w:bottom w:w="30" w:type="dxa"/>
              <w:right w:w="45" w:type="dxa"/>
            </w:tcMar>
            <w:vAlign w:val="center"/>
          </w:tcPr>
          <w:p w14:paraId="68CB009C">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治理设施关键运行参数监控率</w:t>
            </w:r>
          </w:p>
        </w:tc>
        <w:tc>
          <w:tcPr>
            <w:tcW w:w="2936" w:type="dxa"/>
            <w:shd w:val="clear" w:color="auto" w:fill="auto"/>
            <w:tcMar>
              <w:top w:w="30" w:type="dxa"/>
              <w:left w:w="45" w:type="dxa"/>
              <w:bottom w:w="30" w:type="dxa"/>
              <w:right w:w="45" w:type="dxa"/>
            </w:tcMar>
            <w:vAlign w:val="center"/>
          </w:tcPr>
          <w:p w14:paraId="3AD51705">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100%</w:t>
            </w:r>
          </w:p>
        </w:tc>
        <w:tc>
          <w:tcPr>
            <w:tcW w:w="1040" w:type="dxa"/>
            <w:shd w:val="clear" w:color="auto" w:fill="auto"/>
            <w:tcMar>
              <w:top w:w="30" w:type="dxa"/>
              <w:left w:w="45" w:type="dxa"/>
              <w:bottom w:w="30" w:type="dxa"/>
              <w:right w:w="45" w:type="dxa"/>
            </w:tcMar>
            <w:vAlign w:val="center"/>
          </w:tcPr>
          <w:p w14:paraId="1708D9F9">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二类</w:t>
            </w:r>
          </w:p>
        </w:tc>
      </w:tr>
      <w:tr w14:paraId="1859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3AA669C0">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42BADE38">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14</w:t>
            </w:r>
          </w:p>
        </w:tc>
        <w:tc>
          <w:tcPr>
            <w:tcW w:w="3548" w:type="dxa"/>
            <w:shd w:val="clear" w:color="auto" w:fill="auto"/>
            <w:tcMar>
              <w:top w:w="30" w:type="dxa"/>
              <w:left w:w="45" w:type="dxa"/>
              <w:bottom w:w="30" w:type="dxa"/>
              <w:right w:w="45" w:type="dxa"/>
            </w:tcMar>
            <w:vAlign w:val="center"/>
          </w:tcPr>
          <w:p w14:paraId="7CDD0638">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废气排气筒规范化设置率</w:t>
            </w:r>
          </w:p>
        </w:tc>
        <w:tc>
          <w:tcPr>
            <w:tcW w:w="2936" w:type="dxa"/>
            <w:shd w:val="clear" w:color="auto" w:fill="auto"/>
            <w:tcMar>
              <w:top w:w="30" w:type="dxa"/>
              <w:left w:w="45" w:type="dxa"/>
              <w:bottom w:w="30" w:type="dxa"/>
              <w:right w:w="45" w:type="dxa"/>
            </w:tcMar>
            <w:vAlign w:val="center"/>
          </w:tcPr>
          <w:p w14:paraId="39422BD6">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100%</w:t>
            </w:r>
          </w:p>
        </w:tc>
        <w:tc>
          <w:tcPr>
            <w:tcW w:w="1040" w:type="dxa"/>
            <w:shd w:val="clear" w:color="auto" w:fill="auto"/>
            <w:tcMar>
              <w:top w:w="30" w:type="dxa"/>
              <w:left w:w="45" w:type="dxa"/>
              <w:bottom w:w="30" w:type="dxa"/>
              <w:right w:w="45" w:type="dxa"/>
            </w:tcMar>
            <w:vAlign w:val="center"/>
          </w:tcPr>
          <w:p w14:paraId="1D1AD87F">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二类</w:t>
            </w:r>
          </w:p>
        </w:tc>
      </w:tr>
      <w:tr w14:paraId="6572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4029450B">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2A83FD48">
            <w:pPr>
              <w:keepNext w:val="0"/>
              <w:keepLines w:val="0"/>
              <w:widowControl/>
              <w:suppressLineNumbers w:val="0"/>
              <w:bidi w:val="0"/>
              <w:spacing w:line="240" w:lineRule="auto"/>
              <w:jc w:val="center"/>
              <w:textAlignment w:val="bottom"/>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15</w:t>
            </w:r>
          </w:p>
        </w:tc>
        <w:tc>
          <w:tcPr>
            <w:tcW w:w="3548" w:type="dxa"/>
            <w:shd w:val="clear" w:color="auto" w:fill="auto"/>
            <w:tcMar>
              <w:top w:w="30" w:type="dxa"/>
              <w:left w:w="45" w:type="dxa"/>
              <w:bottom w:w="30" w:type="dxa"/>
              <w:right w:w="45" w:type="dxa"/>
            </w:tcMar>
            <w:vAlign w:val="center"/>
          </w:tcPr>
          <w:p w14:paraId="362E68FE">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治理设施定期检测与评估</w:t>
            </w:r>
          </w:p>
        </w:tc>
        <w:tc>
          <w:tcPr>
            <w:tcW w:w="2936" w:type="dxa"/>
            <w:shd w:val="clear" w:color="auto" w:fill="auto"/>
            <w:tcMar>
              <w:top w:w="30" w:type="dxa"/>
              <w:left w:w="45" w:type="dxa"/>
              <w:bottom w:w="30" w:type="dxa"/>
              <w:right w:w="45" w:type="dxa"/>
            </w:tcMar>
            <w:vAlign w:val="center"/>
          </w:tcPr>
          <w:p w14:paraId="570A7951">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按要求开展</w:t>
            </w:r>
          </w:p>
        </w:tc>
        <w:tc>
          <w:tcPr>
            <w:tcW w:w="1040" w:type="dxa"/>
            <w:shd w:val="clear" w:color="auto" w:fill="auto"/>
            <w:tcMar>
              <w:top w:w="30" w:type="dxa"/>
              <w:left w:w="45" w:type="dxa"/>
              <w:bottom w:w="30" w:type="dxa"/>
              <w:right w:w="45" w:type="dxa"/>
            </w:tcMar>
            <w:vAlign w:val="center"/>
          </w:tcPr>
          <w:p w14:paraId="210ED86A">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二类</w:t>
            </w:r>
          </w:p>
        </w:tc>
      </w:tr>
      <w:tr w14:paraId="2C4D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restart"/>
            <w:shd w:val="clear" w:color="auto" w:fill="auto"/>
            <w:tcMar>
              <w:top w:w="30" w:type="dxa"/>
              <w:left w:w="45" w:type="dxa"/>
              <w:bottom w:w="30" w:type="dxa"/>
              <w:right w:w="45" w:type="dxa"/>
            </w:tcMar>
            <w:vAlign w:val="center"/>
          </w:tcPr>
          <w:p w14:paraId="0262FE8A">
            <w:pPr>
              <w:spacing w:line="240" w:lineRule="auto"/>
              <w:jc w:val="center"/>
              <w:rPr>
                <w:rFonts w:hint="eastAsia" w:ascii="宋体" w:hAnsi="宋体" w:eastAsia="宋体" w:cs="宋体"/>
                <w:sz w:val="20"/>
                <w:szCs w:val="20"/>
                <w:highlight w:val="none"/>
              </w:rPr>
            </w:pPr>
            <w:r>
              <w:rPr>
                <w:rFonts w:hint="eastAsia" w:ascii="宋体" w:hAnsi="宋体" w:cs="宋体"/>
                <w:sz w:val="20"/>
                <w:szCs w:val="20"/>
                <w:highlight w:val="none"/>
                <w:lang w:val="en-US" w:eastAsia="zh-CN"/>
              </w:rPr>
              <w:t>四、</w:t>
            </w:r>
            <w:r>
              <w:rPr>
                <w:rFonts w:hint="eastAsia" w:ascii="宋体" w:hAnsi="宋体" w:eastAsia="宋体" w:cs="宋体"/>
                <w:sz w:val="20"/>
                <w:szCs w:val="20"/>
                <w:highlight w:val="none"/>
              </w:rPr>
              <w:t>监测评估与台账管理</w:t>
            </w:r>
          </w:p>
        </w:tc>
        <w:tc>
          <w:tcPr>
            <w:tcW w:w="722" w:type="dxa"/>
            <w:shd w:val="clear" w:color="auto" w:fill="auto"/>
            <w:tcMar>
              <w:top w:w="30" w:type="dxa"/>
              <w:left w:w="45" w:type="dxa"/>
              <w:bottom w:w="30" w:type="dxa"/>
              <w:right w:w="45" w:type="dxa"/>
            </w:tcMar>
            <w:vAlign w:val="center"/>
          </w:tcPr>
          <w:p w14:paraId="2BA2C151">
            <w:pPr>
              <w:keepNext w:val="0"/>
              <w:keepLines w:val="0"/>
              <w:widowControl/>
              <w:suppressLineNumbers w:val="0"/>
              <w:bidi w:val="0"/>
              <w:spacing w:line="240" w:lineRule="auto"/>
              <w:jc w:val="center"/>
              <w:textAlignment w:val="bottom"/>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16</w:t>
            </w:r>
          </w:p>
        </w:tc>
        <w:tc>
          <w:tcPr>
            <w:tcW w:w="3548" w:type="dxa"/>
            <w:shd w:val="clear" w:color="auto" w:fill="auto"/>
            <w:tcMar>
              <w:top w:w="30" w:type="dxa"/>
              <w:left w:w="45" w:type="dxa"/>
              <w:bottom w:w="30" w:type="dxa"/>
              <w:right w:w="45" w:type="dxa"/>
            </w:tcMar>
            <w:vAlign w:val="center"/>
          </w:tcPr>
          <w:p w14:paraId="04F71BED">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异味自行监测方案</w:t>
            </w:r>
          </w:p>
        </w:tc>
        <w:tc>
          <w:tcPr>
            <w:tcW w:w="2936" w:type="dxa"/>
            <w:shd w:val="clear" w:color="auto" w:fill="auto"/>
            <w:tcMar>
              <w:top w:w="30" w:type="dxa"/>
              <w:left w:w="45" w:type="dxa"/>
              <w:bottom w:w="30" w:type="dxa"/>
              <w:right w:w="45" w:type="dxa"/>
            </w:tcMar>
            <w:vAlign w:val="center"/>
          </w:tcPr>
          <w:p w14:paraId="288BF589">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已制定并实施</w:t>
            </w:r>
          </w:p>
        </w:tc>
        <w:tc>
          <w:tcPr>
            <w:tcW w:w="1040" w:type="dxa"/>
            <w:shd w:val="clear" w:color="auto" w:fill="auto"/>
            <w:tcMar>
              <w:top w:w="30" w:type="dxa"/>
              <w:left w:w="45" w:type="dxa"/>
              <w:bottom w:w="30" w:type="dxa"/>
              <w:right w:w="45" w:type="dxa"/>
            </w:tcMar>
            <w:vAlign w:val="center"/>
          </w:tcPr>
          <w:p w14:paraId="14032BD8">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一类</w:t>
            </w:r>
          </w:p>
        </w:tc>
      </w:tr>
      <w:tr w14:paraId="0533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0D30A6B5">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2FF9BB48">
            <w:pPr>
              <w:keepNext w:val="0"/>
              <w:keepLines w:val="0"/>
              <w:widowControl/>
              <w:suppressLineNumbers w:val="0"/>
              <w:bidi w:val="0"/>
              <w:spacing w:line="240" w:lineRule="auto"/>
              <w:jc w:val="center"/>
              <w:textAlignment w:val="bottom"/>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17</w:t>
            </w:r>
          </w:p>
        </w:tc>
        <w:tc>
          <w:tcPr>
            <w:tcW w:w="3548" w:type="dxa"/>
            <w:shd w:val="clear" w:color="auto" w:fill="auto"/>
            <w:tcMar>
              <w:top w:w="30" w:type="dxa"/>
              <w:left w:w="45" w:type="dxa"/>
              <w:bottom w:w="30" w:type="dxa"/>
              <w:right w:w="45" w:type="dxa"/>
            </w:tcMar>
            <w:vAlign w:val="center"/>
          </w:tcPr>
          <w:p w14:paraId="41D8946B">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重点异味源、主要排放口、厂界和敏感目标监测或巡查</w:t>
            </w:r>
          </w:p>
        </w:tc>
        <w:tc>
          <w:tcPr>
            <w:tcW w:w="2936" w:type="dxa"/>
            <w:shd w:val="clear" w:color="auto" w:fill="auto"/>
            <w:tcMar>
              <w:top w:w="30" w:type="dxa"/>
              <w:left w:w="45" w:type="dxa"/>
              <w:bottom w:w="30" w:type="dxa"/>
              <w:right w:w="45" w:type="dxa"/>
            </w:tcMar>
            <w:vAlign w:val="center"/>
          </w:tcPr>
          <w:p w14:paraId="4F679ADF">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已纳入监测或巡查范围</w:t>
            </w:r>
          </w:p>
        </w:tc>
        <w:tc>
          <w:tcPr>
            <w:tcW w:w="1040" w:type="dxa"/>
            <w:shd w:val="clear" w:color="auto" w:fill="auto"/>
            <w:tcMar>
              <w:top w:w="30" w:type="dxa"/>
              <w:left w:w="45" w:type="dxa"/>
              <w:bottom w:w="30" w:type="dxa"/>
              <w:right w:w="45" w:type="dxa"/>
            </w:tcMar>
            <w:vAlign w:val="center"/>
          </w:tcPr>
          <w:p w14:paraId="7F45D778">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二类</w:t>
            </w:r>
          </w:p>
        </w:tc>
      </w:tr>
      <w:tr w14:paraId="6C36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55B15B3D">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3710E08F">
            <w:pPr>
              <w:keepNext w:val="0"/>
              <w:keepLines w:val="0"/>
              <w:widowControl/>
              <w:suppressLineNumbers w:val="0"/>
              <w:bidi w:val="0"/>
              <w:spacing w:line="240" w:lineRule="auto"/>
              <w:jc w:val="center"/>
              <w:textAlignment w:val="bottom"/>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18</w:t>
            </w:r>
          </w:p>
        </w:tc>
        <w:tc>
          <w:tcPr>
            <w:tcW w:w="3548" w:type="dxa"/>
            <w:shd w:val="clear" w:color="auto" w:fill="auto"/>
            <w:tcMar>
              <w:top w:w="30" w:type="dxa"/>
              <w:left w:w="45" w:type="dxa"/>
              <w:bottom w:w="30" w:type="dxa"/>
              <w:right w:w="45" w:type="dxa"/>
            </w:tcMar>
            <w:vAlign w:val="center"/>
          </w:tcPr>
          <w:p w14:paraId="67413083">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台账记录完整性</w:t>
            </w:r>
          </w:p>
        </w:tc>
        <w:tc>
          <w:tcPr>
            <w:tcW w:w="2936" w:type="dxa"/>
            <w:shd w:val="clear" w:color="auto" w:fill="auto"/>
            <w:tcMar>
              <w:top w:w="30" w:type="dxa"/>
              <w:left w:w="45" w:type="dxa"/>
              <w:bottom w:w="30" w:type="dxa"/>
              <w:right w:w="45" w:type="dxa"/>
            </w:tcMar>
            <w:vAlign w:val="center"/>
          </w:tcPr>
          <w:p w14:paraId="1BA5C5F9">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完整、规范、可追溯</w:t>
            </w:r>
          </w:p>
        </w:tc>
        <w:tc>
          <w:tcPr>
            <w:tcW w:w="1040" w:type="dxa"/>
            <w:shd w:val="clear" w:color="auto" w:fill="auto"/>
            <w:tcMar>
              <w:top w:w="30" w:type="dxa"/>
              <w:left w:w="45" w:type="dxa"/>
              <w:bottom w:w="30" w:type="dxa"/>
              <w:right w:w="45" w:type="dxa"/>
            </w:tcMar>
            <w:vAlign w:val="center"/>
          </w:tcPr>
          <w:p w14:paraId="75E9E414">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二类</w:t>
            </w:r>
          </w:p>
        </w:tc>
      </w:tr>
      <w:tr w14:paraId="5BC6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restart"/>
            <w:shd w:val="clear" w:color="auto" w:fill="auto"/>
            <w:tcMar>
              <w:top w:w="30" w:type="dxa"/>
              <w:left w:w="45" w:type="dxa"/>
              <w:bottom w:w="30" w:type="dxa"/>
              <w:right w:w="45" w:type="dxa"/>
            </w:tcMar>
            <w:vAlign w:val="center"/>
          </w:tcPr>
          <w:p w14:paraId="3F7EE392">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五、OMP、培训与沟通</w:t>
            </w:r>
          </w:p>
        </w:tc>
        <w:tc>
          <w:tcPr>
            <w:tcW w:w="722" w:type="dxa"/>
            <w:shd w:val="clear" w:color="auto" w:fill="auto"/>
            <w:tcMar>
              <w:top w:w="30" w:type="dxa"/>
              <w:left w:w="45" w:type="dxa"/>
              <w:bottom w:w="30" w:type="dxa"/>
              <w:right w:w="45" w:type="dxa"/>
            </w:tcMar>
            <w:vAlign w:val="center"/>
          </w:tcPr>
          <w:p w14:paraId="6C13B6B0">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19</w:t>
            </w:r>
          </w:p>
        </w:tc>
        <w:tc>
          <w:tcPr>
            <w:tcW w:w="3548" w:type="dxa"/>
            <w:shd w:val="clear" w:color="auto" w:fill="auto"/>
            <w:tcMar>
              <w:top w:w="30" w:type="dxa"/>
              <w:left w:w="45" w:type="dxa"/>
              <w:bottom w:w="30" w:type="dxa"/>
              <w:right w:w="45" w:type="dxa"/>
            </w:tcMar>
            <w:vAlign w:val="center"/>
          </w:tcPr>
          <w:p w14:paraId="3CBA3AD6">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OMP制定与执行</w:t>
            </w:r>
          </w:p>
        </w:tc>
        <w:tc>
          <w:tcPr>
            <w:tcW w:w="2936" w:type="dxa"/>
            <w:shd w:val="clear" w:color="auto" w:fill="auto"/>
            <w:tcMar>
              <w:top w:w="30" w:type="dxa"/>
              <w:left w:w="45" w:type="dxa"/>
              <w:bottom w:w="30" w:type="dxa"/>
              <w:right w:w="45" w:type="dxa"/>
            </w:tcMar>
            <w:vAlign w:val="center"/>
          </w:tcPr>
          <w:p w14:paraId="6D9A4225">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已制定并实施，定期评估更新</w:t>
            </w:r>
          </w:p>
        </w:tc>
        <w:tc>
          <w:tcPr>
            <w:tcW w:w="1040" w:type="dxa"/>
            <w:shd w:val="clear" w:color="auto" w:fill="auto"/>
            <w:tcMar>
              <w:top w:w="30" w:type="dxa"/>
              <w:left w:w="45" w:type="dxa"/>
              <w:bottom w:w="30" w:type="dxa"/>
              <w:right w:w="45" w:type="dxa"/>
            </w:tcMar>
            <w:vAlign w:val="center"/>
          </w:tcPr>
          <w:p w14:paraId="00A34E1E">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一类</w:t>
            </w:r>
          </w:p>
        </w:tc>
      </w:tr>
      <w:tr w14:paraId="3F6F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6EA9464B">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00CE9FF0">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20</w:t>
            </w:r>
          </w:p>
        </w:tc>
        <w:tc>
          <w:tcPr>
            <w:tcW w:w="3548" w:type="dxa"/>
            <w:shd w:val="clear" w:color="auto" w:fill="auto"/>
            <w:tcMar>
              <w:top w:w="30" w:type="dxa"/>
              <w:left w:w="45" w:type="dxa"/>
              <w:bottom w:w="30" w:type="dxa"/>
              <w:right w:w="45" w:type="dxa"/>
            </w:tcMar>
            <w:vAlign w:val="center"/>
          </w:tcPr>
          <w:p w14:paraId="40B553C0">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关键岗位培训覆盖率</w:t>
            </w:r>
          </w:p>
        </w:tc>
        <w:tc>
          <w:tcPr>
            <w:tcW w:w="2936" w:type="dxa"/>
            <w:shd w:val="clear" w:color="auto" w:fill="auto"/>
            <w:tcMar>
              <w:top w:w="30" w:type="dxa"/>
              <w:left w:w="45" w:type="dxa"/>
              <w:bottom w:w="30" w:type="dxa"/>
              <w:right w:w="45" w:type="dxa"/>
            </w:tcMar>
            <w:vAlign w:val="center"/>
          </w:tcPr>
          <w:p w14:paraId="643742CE">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100%</w:t>
            </w:r>
          </w:p>
        </w:tc>
        <w:tc>
          <w:tcPr>
            <w:tcW w:w="1040" w:type="dxa"/>
            <w:shd w:val="clear" w:color="auto" w:fill="auto"/>
            <w:tcMar>
              <w:top w:w="30" w:type="dxa"/>
              <w:left w:w="45" w:type="dxa"/>
              <w:bottom w:w="30" w:type="dxa"/>
              <w:right w:w="45" w:type="dxa"/>
            </w:tcMar>
            <w:vAlign w:val="center"/>
          </w:tcPr>
          <w:p w14:paraId="035F6311">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二类</w:t>
            </w:r>
          </w:p>
        </w:tc>
      </w:tr>
      <w:tr w14:paraId="4C50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20B41FCF">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791C5CE0">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21</w:t>
            </w:r>
          </w:p>
        </w:tc>
        <w:tc>
          <w:tcPr>
            <w:tcW w:w="3548" w:type="dxa"/>
            <w:shd w:val="clear" w:color="auto" w:fill="auto"/>
            <w:tcMar>
              <w:top w:w="30" w:type="dxa"/>
              <w:left w:w="45" w:type="dxa"/>
              <w:bottom w:w="30" w:type="dxa"/>
              <w:right w:w="45" w:type="dxa"/>
            </w:tcMar>
            <w:vAlign w:val="center"/>
          </w:tcPr>
          <w:p w14:paraId="05388386">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异味投诉响应和闭环处置</w:t>
            </w:r>
          </w:p>
        </w:tc>
        <w:tc>
          <w:tcPr>
            <w:tcW w:w="2936" w:type="dxa"/>
            <w:shd w:val="clear" w:color="auto" w:fill="auto"/>
            <w:tcMar>
              <w:top w:w="30" w:type="dxa"/>
              <w:left w:w="45" w:type="dxa"/>
              <w:bottom w:w="30" w:type="dxa"/>
              <w:right w:w="45" w:type="dxa"/>
            </w:tcMar>
            <w:vAlign w:val="center"/>
          </w:tcPr>
          <w:p w14:paraId="4F9D4506">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按OMP要求及时响应并闭环</w:t>
            </w:r>
          </w:p>
        </w:tc>
        <w:tc>
          <w:tcPr>
            <w:tcW w:w="1040" w:type="dxa"/>
            <w:shd w:val="clear" w:color="auto" w:fill="auto"/>
            <w:tcMar>
              <w:top w:w="30" w:type="dxa"/>
              <w:left w:w="45" w:type="dxa"/>
              <w:bottom w:w="30" w:type="dxa"/>
              <w:right w:w="45" w:type="dxa"/>
            </w:tcMar>
            <w:vAlign w:val="center"/>
          </w:tcPr>
          <w:p w14:paraId="1884F7DF">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二类</w:t>
            </w:r>
          </w:p>
        </w:tc>
      </w:tr>
      <w:tr w14:paraId="75E5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2" w:type="dxa"/>
            <w:vMerge w:val="continue"/>
            <w:shd w:val="clear" w:color="auto" w:fill="auto"/>
            <w:tcMar>
              <w:top w:w="30" w:type="dxa"/>
              <w:left w:w="45" w:type="dxa"/>
              <w:bottom w:w="30" w:type="dxa"/>
              <w:right w:w="45" w:type="dxa"/>
            </w:tcMar>
            <w:vAlign w:val="center"/>
          </w:tcPr>
          <w:p w14:paraId="49A753B6">
            <w:pPr>
              <w:spacing w:line="240" w:lineRule="auto"/>
              <w:jc w:val="center"/>
              <w:rPr>
                <w:rFonts w:hint="eastAsia" w:ascii="宋体" w:hAnsi="宋体" w:eastAsia="宋体" w:cs="宋体"/>
                <w:sz w:val="20"/>
                <w:szCs w:val="20"/>
                <w:highlight w:val="none"/>
              </w:rPr>
            </w:pPr>
          </w:p>
        </w:tc>
        <w:tc>
          <w:tcPr>
            <w:tcW w:w="722" w:type="dxa"/>
            <w:shd w:val="clear" w:color="auto" w:fill="auto"/>
            <w:tcMar>
              <w:top w:w="30" w:type="dxa"/>
              <w:left w:w="45" w:type="dxa"/>
              <w:bottom w:w="30" w:type="dxa"/>
              <w:right w:w="45" w:type="dxa"/>
            </w:tcMar>
            <w:vAlign w:val="center"/>
          </w:tcPr>
          <w:p w14:paraId="4CC440E9">
            <w:pPr>
              <w:keepNext w:val="0"/>
              <w:keepLines w:val="0"/>
              <w:widowControl/>
              <w:suppressLineNumbers w:val="0"/>
              <w:bidi w:val="0"/>
              <w:spacing w:line="240" w:lineRule="auto"/>
              <w:jc w:val="center"/>
              <w:textAlignment w:val="bottom"/>
              <w:rPr>
                <w:rFonts w:hint="default" w:ascii="宋体" w:hAnsi="宋体" w:cs="宋体"/>
                <w:sz w:val="20"/>
                <w:szCs w:val="20"/>
                <w:highlight w:val="none"/>
                <w:lang w:val="en-US"/>
              </w:rPr>
            </w:pPr>
            <w:r>
              <w:rPr>
                <w:rFonts w:hint="eastAsia" w:ascii="宋体" w:hAnsi="宋体" w:cs="宋体"/>
                <w:kern w:val="0"/>
                <w:sz w:val="20"/>
                <w:szCs w:val="20"/>
                <w:highlight w:val="none"/>
                <w:lang w:val="en-US" w:eastAsia="zh-CN" w:bidi="ar"/>
              </w:rPr>
              <w:t>22</w:t>
            </w:r>
          </w:p>
        </w:tc>
        <w:tc>
          <w:tcPr>
            <w:tcW w:w="3548" w:type="dxa"/>
            <w:shd w:val="clear" w:color="auto" w:fill="auto"/>
            <w:tcMar>
              <w:top w:w="30" w:type="dxa"/>
              <w:left w:w="45" w:type="dxa"/>
              <w:bottom w:w="30" w:type="dxa"/>
              <w:right w:w="45" w:type="dxa"/>
            </w:tcMar>
            <w:vAlign w:val="center"/>
          </w:tcPr>
          <w:p w14:paraId="3EDF6DC5">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公众沟通活动</w:t>
            </w:r>
          </w:p>
        </w:tc>
        <w:tc>
          <w:tcPr>
            <w:tcW w:w="2936" w:type="dxa"/>
            <w:shd w:val="clear" w:color="auto" w:fill="auto"/>
            <w:tcMar>
              <w:top w:w="30" w:type="dxa"/>
              <w:left w:w="45" w:type="dxa"/>
              <w:bottom w:w="30" w:type="dxa"/>
              <w:right w:w="45" w:type="dxa"/>
            </w:tcMar>
            <w:vAlign w:val="center"/>
          </w:tcPr>
          <w:p w14:paraId="0ECF7D26">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按OMP要求开展</w:t>
            </w:r>
          </w:p>
        </w:tc>
        <w:tc>
          <w:tcPr>
            <w:tcW w:w="1040" w:type="dxa"/>
            <w:shd w:val="clear" w:color="auto" w:fill="auto"/>
            <w:tcMar>
              <w:top w:w="30" w:type="dxa"/>
              <w:left w:w="45" w:type="dxa"/>
              <w:bottom w:w="30" w:type="dxa"/>
              <w:right w:w="45" w:type="dxa"/>
            </w:tcMar>
            <w:vAlign w:val="center"/>
          </w:tcPr>
          <w:p w14:paraId="0F82CBD8">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三类</w:t>
            </w:r>
          </w:p>
        </w:tc>
      </w:tr>
    </w:tbl>
    <w:p w14:paraId="536B8933">
      <w:pPr>
        <w:pStyle w:val="108"/>
        <w:spacing w:line="275" w:lineRule="auto"/>
        <w:rPr>
          <w:rFonts w:ascii="Times New Roman"/>
          <w:highlight w:val="none"/>
        </w:rPr>
      </w:pPr>
      <w:r>
        <w:rPr>
          <w:rFonts w:hint="eastAsia"/>
          <w:highlight w:val="none"/>
          <w:lang w:val="en-US" w:eastAsia="zh-CN"/>
        </w:rPr>
        <w:t>注：本表用于指导无异味工厂创建和自评，不作为等级评价或认证认定的直接依据。</w:t>
      </w:r>
      <w:r>
        <w:rPr>
          <w:rFonts w:hint="eastAsia" w:ascii="Times New Roman"/>
          <w:highlight w:val="none"/>
        </w:rPr>
        <w:br w:type="page"/>
      </w:r>
    </w:p>
    <w:p w14:paraId="16957DFE">
      <w:pPr>
        <w:pStyle w:val="79"/>
        <w:spacing w:before="78" w:after="156"/>
        <w:rPr>
          <w:highlight w:val="none"/>
        </w:rPr>
      </w:pPr>
      <w:bookmarkStart w:id="83" w:name="_Toc20570"/>
      <w:r>
        <w:rPr>
          <w:highlight w:val="none"/>
        </w:rPr>
        <w:br w:type="textWrapping"/>
      </w:r>
      <w:r>
        <w:rPr>
          <w:rFonts w:hint="eastAsia"/>
          <w:highlight w:val="none"/>
        </w:rPr>
        <w:t>（资料性）</w:t>
      </w:r>
      <w:r>
        <w:rPr>
          <w:highlight w:val="none"/>
        </w:rPr>
        <w:br w:type="textWrapping"/>
      </w:r>
      <w:r>
        <w:rPr>
          <w:rFonts w:hint="eastAsia"/>
          <w:highlight w:val="none"/>
        </w:rPr>
        <w:t>异味管理计划（OMP）编制框架</w:t>
      </w:r>
      <w:bookmarkEnd w:id="83"/>
    </w:p>
    <w:p w14:paraId="0E40120B">
      <w:pPr>
        <w:pStyle w:val="59"/>
        <w:rPr>
          <w:highlight w:val="none"/>
        </w:rPr>
      </w:pPr>
    </w:p>
    <w:p w14:paraId="379DDF08">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val="en-US" w:eastAsia="zh-CN"/>
        </w:rPr>
        <w:t>A</w:t>
      </w:r>
      <w:r>
        <w:rPr>
          <w:rFonts w:hint="eastAsia" w:ascii="黑体" w:hAnsi="Times New Roman" w:eastAsia="黑体" w:cs="Times New Roman"/>
          <w:highlight w:val="none"/>
        </w:rPr>
        <w:t>.</w:t>
      </w:r>
      <w:r>
        <w:rPr>
          <w:rFonts w:hint="eastAsia" w:ascii="黑体" w:eastAsia="黑体" w:cs="Times New Roman"/>
          <w:highlight w:val="none"/>
          <w:lang w:val="en-US" w:eastAsia="zh-CN"/>
        </w:rPr>
        <w:t>1</w:t>
      </w:r>
      <w:r>
        <w:rPr>
          <w:rFonts w:hint="eastAsia" w:ascii="黑体" w:hAnsi="Times New Roman" w:eastAsia="黑体" w:cs="Times New Roman"/>
          <w:highlight w:val="none"/>
          <w:lang w:val="en-US" w:eastAsia="zh-CN"/>
        </w:rPr>
        <w:t>　</w:t>
      </w:r>
      <w:r>
        <w:rPr>
          <w:rFonts w:hint="eastAsia" w:ascii="黑体" w:hAnsi="Times New Roman" w:eastAsia="黑体" w:cs="Times New Roman"/>
          <w:highlight w:val="none"/>
        </w:rPr>
        <w:t>总则</w:t>
      </w:r>
    </w:p>
    <w:p w14:paraId="2D378C44">
      <w:pPr>
        <w:pStyle w:val="59"/>
        <w:keepNext w:val="0"/>
        <w:keepLines w:val="0"/>
        <w:pageBreakBefore w:val="0"/>
        <w:widowControl/>
        <w:kinsoku/>
        <w:wordWrap/>
        <w:overflowPunct/>
        <w:topLinePunct w:val="0"/>
        <w:autoSpaceDE w:val="0"/>
        <w:autoSpaceDN w:val="0"/>
        <w:bidi w:val="0"/>
        <w:adjustRightInd/>
        <w:snapToGrid w:val="0"/>
        <w:ind w:left="0" w:leftChars="0" w:firstLine="0" w:firstLineChars="0"/>
        <w:textAlignment w:val="auto"/>
        <w:rPr>
          <w:rFonts w:hint="eastAsia" w:ascii="宋体" w:hAnsi="Times New Roman" w:eastAsia="宋体" w:cs="Times New Roman"/>
          <w:szCs w:val="21"/>
          <w:highlight w:val="none"/>
        </w:rPr>
      </w:pPr>
      <w:r>
        <w:rPr>
          <w:rFonts w:hint="eastAsia" w:ascii="黑体" w:eastAsia="黑体" w:cs="Times New Roman"/>
          <w:szCs w:val="21"/>
          <w:highlight w:val="none"/>
          <w:lang w:val="en-US" w:eastAsia="zh-CN"/>
        </w:rPr>
        <w:t>A.1.1</w:t>
      </w:r>
      <w:r>
        <w:rPr>
          <w:rFonts w:hint="eastAsia" w:ascii="宋体" w:hAnsi="Times New Roman" w:eastAsia="宋体" w:cs="Times New Roman"/>
          <w:szCs w:val="21"/>
          <w:highlight w:val="none"/>
          <w:lang w:val="en-US" w:eastAsia="zh-CN"/>
        </w:rPr>
        <w:t>　</w:t>
      </w:r>
      <w:r>
        <w:rPr>
          <w:rFonts w:hint="eastAsia" w:ascii="宋体" w:hAnsi="Times New Roman" w:eastAsia="宋体" w:cs="Times New Roman"/>
          <w:szCs w:val="21"/>
          <w:highlight w:val="none"/>
        </w:rPr>
        <w:t>异味管理计划（OMP）是无异味工厂创建主体实施异味全过程管控的纲领性文件，也是企业落实异味污染防治主体责任的重要依据。企业</w:t>
      </w:r>
      <w:r>
        <w:rPr>
          <w:rFonts w:hint="eastAsia" w:cs="Times New Roman"/>
          <w:szCs w:val="21"/>
          <w:highlight w:val="none"/>
          <w:lang w:val="en-US" w:eastAsia="zh-CN"/>
        </w:rPr>
        <w:t>应</w:t>
      </w:r>
      <w:r>
        <w:rPr>
          <w:rFonts w:hint="eastAsia" w:ascii="宋体" w:hAnsi="Times New Roman" w:eastAsia="宋体" w:cs="Times New Roman"/>
          <w:szCs w:val="21"/>
          <w:highlight w:val="none"/>
        </w:rPr>
        <w:t>基于风险思维和全过程控制理念，识别生产经营活动中的异味源，开展风险分级，制定相应的源头削减、过程控制、末端治理、监测评估、异常工况管理、投诉处理、公众沟通及持续改进措施，推动异味污染风险持续受控。</w:t>
      </w:r>
    </w:p>
    <w:p w14:paraId="00000004">
      <w:pPr>
        <w:pStyle w:val="59"/>
        <w:keepNext w:val="0"/>
        <w:keepLines w:val="0"/>
        <w:pageBreakBefore w:val="0"/>
        <w:widowControl/>
        <w:kinsoku/>
        <w:wordWrap/>
        <w:overflowPunct/>
        <w:topLinePunct w:val="0"/>
        <w:autoSpaceDE w:val="0"/>
        <w:autoSpaceDN w:val="0"/>
        <w:bidi w:val="0"/>
        <w:adjustRightInd/>
        <w:snapToGrid/>
        <w:spacing w:before="0" w:beforeLines="0" w:after="0" w:afterLines="0"/>
        <w:ind w:left="0" w:leftChars="0" w:firstLine="0" w:firstLineChars="0"/>
        <w:textAlignment w:val="auto"/>
        <w:rPr>
          <w:rFonts w:hint="eastAsia" w:ascii="宋体" w:hAnsi="Times New Roman" w:eastAsia="宋体" w:cs="Times New Roman"/>
          <w:szCs w:val="21"/>
          <w:highlight w:val="none"/>
        </w:rPr>
      </w:pPr>
      <w:r>
        <w:rPr>
          <w:rFonts w:hint="eastAsia" w:ascii="黑体" w:eastAsia="黑体" w:cs="Times New Roman"/>
          <w:szCs w:val="21"/>
          <w:highlight w:val="none"/>
          <w:lang w:val="en-US" w:eastAsia="zh-CN"/>
        </w:rPr>
        <w:t>A.1.2</w:t>
      </w:r>
      <w:r>
        <w:rPr>
          <w:rFonts w:hint="eastAsia" w:cs="Times New Roman"/>
          <w:szCs w:val="21"/>
          <w:highlight w:val="none"/>
          <w:lang w:val="en-US" w:eastAsia="zh-CN"/>
        </w:rPr>
        <w:t>　</w:t>
      </w:r>
      <w:r>
        <w:rPr>
          <w:rFonts w:hint="eastAsia" w:ascii="宋体" w:hAnsi="Times New Roman" w:eastAsia="宋体" w:cs="Times New Roman"/>
          <w:szCs w:val="21"/>
          <w:highlight w:val="none"/>
          <w:rtl w:val="0"/>
        </w:rPr>
        <w:t>OMP宜由企业主要负责人或其授权负责人签发，并纳入企业日常环境管理体系。OMP应实施动态管理，当发生以下情形之一时，宜及时进行评估和修订：</w:t>
      </w:r>
    </w:p>
    <w:p w14:paraId="00000005">
      <w:pPr>
        <w:pStyle w:val="5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420" w:leftChars="200" w:firstLine="0" w:firstLineChars="0"/>
        <w:textAlignment w:val="auto"/>
        <w:rPr>
          <w:rFonts w:hint="eastAsia" w:ascii="宋体" w:hAnsi="Times New Roman" w:eastAsia="宋体" w:cs="Times New Roman"/>
          <w:szCs w:val="21"/>
          <w:highlight w:val="none"/>
        </w:rPr>
      </w:pPr>
      <w:r>
        <w:rPr>
          <w:rFonts w:hint="eastAsia" w:cs="Times New Roman"/>
          <w:szCs w:val="21"/>
          <w:highlight w:val="none"/>
          <w:rtl w:val="0"/>
          <w:lang w:val="en-US" w:eastAsia="zh-CN"/>
        </w:rPr>
        <w:t>a）</w:t>
      </w:r>
      <w:r>
        <w:rPr>
          <w:rFonts w:hint="eastAsia" w:ascii="宋体" w:hAnsi="Times New Roman" w:eastAsia="宋体" w:cs="Times New Roman"/>
          <w:szCs w:val="21"/>
          <w:highlight w:val="none"/>
          <w:rtl w:val="0"/>
        </w:rPr>
        <w:t>生产工艺、原辅材料、产品结构或治理设施发生重大变化；</w:t>
      </w:r>
    </w:p>
    <w:p w14:paraId="49B7B4B3">
      <w:pPr>
        <w:pStyle w:val="5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420" w:leftChars="200" w:firstLine="0" w:firstLineChars="0"/>
        <w:textAlignment w:val="auto"/>
        <w:rPr>
          <w:rFonts w:hint="eastAsia" w:ascii="宋体" w:hAnsi="Times New Roman" w:eastAsia="宋体" w:cs="Times New Roman"/>
          <w:szCs w:val="21"/>
          <w:highlight w:val="none"/>
          <w:rtl w:val="0"/>
        </w:rPr>
      </w:pPr>
      <w:r>
        <w:rPr>
          <w:rFonts w:hint="eastAsia" w:cs="Times New Roman"/>
          <w:szCs w:val="21"/>
          <w:highlight w:val="none"/>
          <w:rtl w:val="0"/>
          <w:lang w:val="en-US" w:eastAsia="zh-CN"/>
        </w:rPr>
        <w:t>b）发生查实的异味投诉、异味污染事件或厂界异味监测持续异常</w:t>
      </w:r>
      <w:r>
        <w:rPr>
          <w:rFonts w:hint="eastAsia" w:ascii="宋体" w:hAnsi="Times New Roman" w:eastAsia="宋体" w:cs="Times New Roman"/>
          <w:szCs w:val="21"/>
          <w:highlight w:val="none"/>
          <w:rtl w:val="0"/>
        </w:rPr>
        <w:t>；</w:t>
      </w:r>
    </w:p>
    <w:p w14:paraId="00000006">
      <w:pPr>
        <w:pStyle w:val="5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420" w:leftChars="200" w:firstLine="0" w:firstLineChars="0"/>
        <w:textAlignment w:val="auto"/>
        <w:rPr>
          <w:rFonts w:hint="eastAsia" w:ascii="宋体" w:hAnsi="Times New Roman" w:eastAsia="宋体" w:cs="Times New Roman"/>
          <w:szCs w:val="21"/>
          <w:highlight w:val="none"/>
        </w:rPr>
      </w:pPr>
      <w:r>
        <w:rPr>
          <w:rFonts w:hint="eastAsia" w:cs="Times New Roman"/>
          <w:szCs w:val="21"/>
          <w:highlight w:val="none"/>
          <w:rtl w:val="0"/>
          <w:lang w:val="en-US" w:eastAsia="zh-CN"/>
        </w:rPr>
        <w:t>c）</w:t>
      </w:r>
      <w:r>
        <w:rPr>
          <w:rFonts w:hint="eastAsia" w:ascii="宋体" w:hAnsi="Times New Roman" w:eastAsia="宋体" w:cs="Times New Roman"/>
          <w:szCs w:val="21"/>
          <w:highlight w:val="none"/>
          <w:rtl w:val="0"/>
        </w:rPr>
        <w:t>治理设施发生非计划停运、长期低效运行或主要运行参数</w:t>
      </w:r>
      <w:r>
        <w:rPr>
          <w:rFonts w:hint="eastAsia" w:cs="Times New Roman"/>
          <w:szCs w:val="21"/>
          <w:highlight w:val="none"/>
          <w:rtl w:val="0"/>
          <w:lang w:val="en-US" w:eastAsia="zh-CN"/>
        </w:rPr>
        <w:t>持续</w:t>
      </w:r>
      <w:r>
        <w:rPr>
          <w:rFonts w:hint="eastAsia" w:ascii="宋体" w:hAnsi="Times New Roman" w:eastAsia="宋体" w:cs="Times New Roman"/>
          <w:szCs w:val="21"/>
          <w:highlight w:val="none"/>
          <w:rtl w:val="0"/>
        </w:rPr>
        <w:t>异常；</w:t>
      </w:r>
    </w:p>
    <w:p w14:paraId="377167AC">
      <w:pPr>
        <w:pStyle w:val="5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420" w:leftChars="200" w:firstLine="0" w:firstLineChars="0"/>
        <w:textAlignment w:val="auto"/>
        <w:rPr>
          <w:rFonts w:hint="eastAsia" w:ascii="宋体" w:hAnsi="Times New Roman" w:eastAsia="宋体" w:cs="Times New Roman"/>
          <w:szCs w:val="21"/>
          <w:highlight w:val="none"/>
          <w:rtl w:val="0"/>
          <w:lang w:eastAsia="zh-CN"/>
        </w:rPr>
      </w:pPr>
      <w:r>
        <w:rPr>
          <w:rFonts w:hint="eastAsia" w:cs="Times New Roman"/>
          <w:szCs w:val="21"/>
          <w:highlight w:val="none"/>
          <w:rtl w:val="0"/>
          <w:lang w:val="en-US" w:eastAsia="zh-CN"/>
        </w:rPr>
        <w:t>d）国家、地方相关法律法规、标准或管理要求发生变化</w:t>
      </w:r>
      <w:r>
        <w:rPr>
          <w:rFonts w:hint="eastAsia" w:cs="Times New Roman"/>
          <w:szCs w:val="21"/>
          <w:highlight w:val="none"/>
          <w:rtl w:val="0"/>
          <w:lang w:eastAsia="zh-CN"/>
        </w:rPr>
        <w:t>；</w:t>
      </w:r>
    </w:p>
    <w:p w14:paraId="17A6D740">
      <w:pPr>
        <w:pStyle w:val="5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420" w:leftChars="200" w:firstLine="0" w:firstLineChars="0"/>
        <w:textAlignment w:val="auto"/>
        <w:rPr>
          <w:rFonts w:hint="eastAsia" w:ascii="宋体" w:hAnsi="Times New Roman" w:eastAsia="宋体" w:cs="Times New Roman"/>
          <w:szCs w:val="21"/>
          <w:highlight w:val="none"/>
          <w:rtl w:val="0"/>
        </w:rPr>
      </w:pPr>
      <w:r>
        <w:rPr>
          <w:rFonts w:hint="eastAsia" w:ascii="宋体" w:hAnsi="Times New Roman" w:eastAsia="宋体" w:cs="Times New Roman"/>
          <w:szCs w:val="21"/>
          <w:highlight w:val="none"/>
          <w:rtl w:val="0"/>
        </w:rPr>
        <w:t>e）企业周边敏感目标分布、环境敏感程度或投诉风险发生明显变化</w:t>
      </w:r>
      <w:r>
        <w:rPr>
          <w:rFonts w:hint="eastAsia" w:cs="Times New Roman"/>
          <w:szCs w:val="21"/>
          <w:highlight w:val="none"/>
          <w:rtl w:val="0"/>
          <w:lang w:eastAsia="zh-CN"/>
        </w:rPr>
        <w:t>；</w:t>
      </w:r>
    </w:p>
    <w:p w14:paraId="7AE09BA9">
      <w:pPr>
        <w:pStyle w:val="5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420" w:leftChars="200" w:firstLine="0" w:firstLineChars="0"/>
        <w:textAlignment w:val="auto"/>
        <w:rPr>
          <w:rFonts w:hint="eastAsia" w:cs="Times New Roman"/>
          <w:szCs w:val="21"/>
          <w:highlight w:val="none"/>
          <w:rtl w:val="0"/>
          <w:lang w:eastAsia="zh-CN"/>
        </w:rPr>
      </w:pPr>
      <w:r>
        <w:rPr>
          <w:rFonts w:hint="eastAsia" w:cs="Times New Roman"/>
          <w:szCs w:val="21"/>
          <w:highlight w:val="none"/>
          <w:rtl w:val="0"/>
          <w:lang w:val="en-US" w:eastAsia="zh-CN"/>
        </w:rPr>
        <w:t>f</w:t>
      </w:r>
      <w:r>
        <w:rPr>
          <w:rFonts w:hint="eastAsia" w:ascii="宋体" w:hAnsi="Times New Roman" w:eastAsia="宋体" w:cs="Times New Roman"/>
          <w:szCs w:val="21"/>
          <w:highlight w:val="none"/>
          <w:rtl w:val="0"/>
        </w:rPr>
        <w:t>）企业内部审核或自评估发现OMP内容与实际运行情况不一致</w:t>
      </w:r>
      <w:r>
        <w:rPr>
          <w:rFonts w:hint="eastAsia" w:cs="Times New Roman"/>
          <w:szCs w:val="21"/>
          <w:highlight w:val="none"/>
          <w:rtl w:val="0"/>
          <w:lang w:eastAsia="zh-CN"/>
        </w:rPr>
        <w:t>。</w:t>
      </w:r>
    </w:p>
    <w:p w14:paraId="7C8B62CB">
      <w:pPr>
        <w:pStyle w:val="5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eastAsia="宋体" w:cs="Times New Roman"/>
          <w:szCs w:val="21"/>
          <w:highlight w:val="none"/>
          <w:rtl w:val="0"/>
          <w:lang w:val="en-US" w:eastAsia="zh-CN"/>
        </w:rPr>
      </w:pPr>
      <w:r>
        <w:rPr>
          <w:rFonts w:hint="eastAsia" w:ascii="黑体" w:eastAsia="黑体" w:cs="Times New Roman"/>
          <w:szCs w:val="21"/>
          <w:highlight w:val="none"/>
          <w:lang w:val="en-US" w:eastAsia="zh-CN"/>
        </w:rPr>
        <w:t>A.1.3</w:t>
      </w:r>
      <w:r>
        <w:rPr>
          <w:rFonts w:hint="eastAsia" w:cs="Times New Roman"/>
          <w:szCs w:val="21"/>
          <w:highlight w:val="none"/>
          <w:lang w:val="en-US" w:eastAsia="zh-CN"/>
        </w:rPr>
        <w:t>　</w:t>
      </w:r>
      <w:r>
        <w:rPr>
          <w:rFonts w:hint="eastAsia" w:ascii="宋体" w:hAnsi="Times New Roman" w:eastAsia="宋体" w:cs="Times New Roman"/>
          <w:szCs w:val="21"/>
          <w:highlight w:val="none"/>
          <w:rtl w:val="0"/>
        </w:rPr>
        <w:t>OMP的内容和深度宜与企业行业类型、生产规模、异味源复杂程度、周边环境敏感程度和管理基础相适应。对异味源单一、环境风险较低的企业，可适当简化OMP内容；对异味源复杂、投诉风险较高或周边敏感目标密集的企业，宜细化异味源清单、风险分级、监测评估和异常响应要求</w:t>
      </w:r>
      <w:r>
        <w:rPr>
          <w:rFonts w:hint="eastAsia" w:cs="Times New Roman"/>
          <w:szCs w:val="21"/>
          <w:highlight w:val="none"/>
          <w:rtl w:val="0"/>
          <w:lang w:eastAsia="zh-CN"/>
        </w:rPr>
        <w:t>。</w:t>
      </w:r>
    </w:p>
    <w:p w14:paraId="342E58C7">
      <w:pPr>
        <w:pStyle w:val="59"/>
        <w:spacing w:before="157" w:after="157" w:line="240" w:lineRule="auto"/>
        <w:ind w:firstLine="0" w:firstLineChars="0"/>
        <w:rPr>
          <w:rFonts w:hint="eastAsia" w:ascii="黑体" w:hAnsi="Times New Roman" w:eastAsia="黑体" w:cs="Times New Roman"/>
          <w:b w:val="0"/>
          <w:bCs w:val="0"/>
          <w:kern w:val="0"/>
          <w:sz w:val="21"/>
          <w:szCs w:val="20"/>
          <w:highlight w:val="none"/>
          <w:lang w:val="en-US" w:eastAsia="zh-CN"/>
        </w:rPr>
      </w:pPr>
      <w:r>
        <w:rPr>
          <w:rFonts w:hint="eastAsia" w:ascii="黑体" w:hAnsi="Times New Roman" w:eastAsia="黑体" w:cs="Times New Roman"/>
          <w:b w:val="0"/>
          <w:bCs w:val="0"/>
          <w:kern w:val="0"/>
          <w:sz w:val="21"/>
          <w:szCs w:val="20"/>
          <w:highlight w:val="none"/>
          <w:rtl w:val="0"/>
          <w:lang w:val="en-US" w:eastAsia="zh-CN"/>
        </w:rPr>
        <w:t>A.2　组织架构与职责分工</w:t>
      </w:r>
    </w:p>
    <w:p w14:paraId="0A1EC40C">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Pr>
      </w:pPr>
      <w:r>
        <w:rPr>
          <w:rFonts w:hint="eastAsia" w:ascii="黑体" w:hAnsi="Times New Roman" w:eastAsia="黑体" w:cs="Times New Roman"/>
          <w:kern w:val="0"/>
          <w:sz w:val="21"/>
          <w:szCs w:val="21"/>
          <w:highlight w:val="none"/>
          <w:rtl w:val="0"/>
          <w:lang w:val="en-US" w:eastAsia="zh-CN" w:bidi="ar-SA"/>
        </w:rPr>
        <w:t>A.2.1</w:t>
      </w:r>
      <w:r>
        <w:rPr>
          <w:rFonts w:hint="eastAsia" w:ascii="宋体" w:hAnsi="宋体" w:eastAsia="宋体" w:cs="宋体"/>
          <w:color w:val="1F1F1F"/>
          <w:kern w:val="0"/>
          <w:sz w:val="21"/>
          <w:szCs w:val="21"/>
          <w:rtl w:val="0"/>
        </w:rPr>
        <w:t>　OMP宜明确企业异味管理的组织架构、责任部门和岗位职责，形成主要负责人统筹、环保管理部门牵头、生产、设备、应急等相关部门协同落实的工作机制。</w:t>
      </w:r>
    </w:p>
    <w:p w14:paraId="4F608C16">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0" w:firstLineChars="0"/>
        <w:jc w:val="both"/>
        <w:rPr>
          <w:rFonts w:hint="eastAsia" w:ascii="宋体" w:hAnsi="宋体" w:eastAsia="宋体" w:cs="宋体"/>
          <w:color w:val="1F1F1F"/>
          <w:kern w:val="0"/>
          <w:sz w:val="21"/>
          <w:szCs w:val="21"/>
          <w:rtl w:val="0"/>
        </w:rPr>
      </w:pPr>
      <w:r>
        <w:rPr>
          <w:rFonts w:hint="eastAsia" w:ascii="黑体" w:hAnsi="Times New Roman" w:eastAsia="黑体" w:cs="Times New Roman"/>
          <w:kern w:val="0"/>
          <w:sz w:val="21"/>
          <w:szCs w:val="21"/>
          <w:highlight w:val="none"/>
          <w:rtl w:val="0"/>
          <w:lang w:val="en-US" w:eastAsia="zh-CN" w:bidi="ar-SA"/>
        </w:rPr>
        <w:t>A.2.2</w:t>
      </w:r>
      <w:r>
        <w:rPr>
          <w:rFonts w:hint="eastAsia" w:ascii="宋体" w:hAnsi="宋体" w:eastAsia="宋体" w:cs="宋体"/>
          <w:color w:val="1F1F1F"/>
          <w:kern w:val="0"/>
          <w:sz w:val="21"/>
          <w:szCs w:val="21"/>
          <w:rtl w:val="0"/>
        </w:rPr>
        <w:t>　职责分工宜包括但不限于以下内容：</w:t>
      </w:r>
    </w:p>
    <w:p w14:paraId="43CECBC6">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tl w:val="0"/>
        </w:rPr>
      </w:pPr>
      <w:r>
        <w:rPr>
          <w:rFonts w:hint="eastAsia" w:ascii="宋体" w:hAnsi="宋体" w:eastAsia="宋体" w:cs="宋体"/>
          <w:color w:val="1F1F1F"/>
          <w:kern w:val="0"/>
          <w:sz w:val="21"/>
          <w:szCs w:val="21"/>
          <w:rtl w:val="0"/>
        </w:rPr>
        <w:t>a）企业主要负责人或其授权负责人：负责OMP的批准、资源保障和重大事项协调；</w:t>
      </w:r>
    </w:p>
    <w:p w14:paraId="3B0DD91A">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tl w:val="0"/>
        </w:rPr>
      </w:pPr>
      <w:r>
        <w:rPr>
          <w:rFonts w:hint="eastAsia" w:ascii="宋体" w:hAnsi="宋体" w:eastAsia="宋体" w:cs="宋体"/>
          <w:color w:val="1F1F1F"/>
          <w:kern w:val="0"/>
          <w:sz w:val="21"/>
          <w:szCs w:val="21"/>
          <w:rtl w:val="0"/>
        </w:rPr>
        <w:t>b）环保管理部门：负责OMP的编制、修订、日常监督检查、监测评估、投诉受理和公众沟通等工作；</w:t>
      </w:r>
    </w:p>
    <w:p w14:paraId="74FAFC0D">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tl w:val="0"/>
        </w:rPr>
      </w:pPr>
      <w:r>
        <w:rPr>
          <w:rFonts w:hint="eastAsia" w:ascii="宋体" w:hAnsi="宋体" w:eastAsia="宋体" w:cs="宋体"/>
          <w:color w:val="1F1F1F"/>
          <w:kern w:val="0"/>
          <w:sz w:val="21"/>
          <w:szCs w:val="21"/>
          <w:rtl w:val="0"/>
        </w:rPr>
        <w:t>c）生产管理部门：负责源头削减、工艺优化、生产过程异味控制和标准化操作规程执行；</w:t>
      </w:r>
    </w:p>
    <w:p w14:paraId="28CB13BE">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tl w:val="0"/>
        </w:rPr>
      </w:pPr>
      <w:r>
        <w:rPr>
          <w:rFonts w:hint="eastAsia" w:ascii="宋体" w:hAnsi="宋体" w:eastAsia="宋体" w:cs="宋体"/>
          <w:color w:val="1F1F1F"/>
          <w:kern w:val="0"/>
          <w:sz w:val="21"/>
          <w:szCs w:val="21"/>
          <w:rtl w:val="0"/>
        </w:rPr>
        <w:t>d）设备管理部门：负责涉异味设备密闭化、泄漏检测与修复、治理设施运行维护和异常故障处置；</w:t>
      </w:r>
    </w:p>
    <w:p w14:paraId="2FD76ACC">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tl w:val="0"/>
        </w:rPr>
      </w:pPr>
      <w:r>
        <w:rPr>
          <w:rFonts w:hint="eastAsia" w:ascii="宋体" w:hAnsi="宋体" w:eastAsia="宋体" w:cs="宋体"/>
          <w:color w:val="1F1F1F"/>
          <w:kern w:val="0"/>
          <w:sz w:val="21"/>
          <w:szCs w:val="21"/>
          <w:rtl w:val="0"/>
        </w:rPr>
        <w:t>e）应急管理部门或相关岗位：负责非正常工况、突发泄漏、治理设施故障等情形下的应急响应和协同处置。</w:t>
      </w:r>
    </w:p>
    <w:p w14:paraId="7937D771">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0" w:firstLineChars="0"/>
        <w:jc w:val="both"/>
        <w:rPr>
          <w:rFonts w:hint="eastAsia" w:ascii="宋体" w:hAnsi="宋体" w:eastAsia="宋体" w:cs="宋体"/>
          <w:color w:val="1F1F1F"/>
          <w:kern w:val="0"/>
          <w:sz w:val="21"/>
          <w:szCs w:val="21"/>
          <w:rtl w:val="0"/>
        </w:rPr>
      </w:pPr>
      <w:r>
        <w:rPr>
          <w:rFonts w:hint="eastAsia" w:ascii="黑体" w:hAnsi="Times New Roman" w:eastAsia="黑体" w:cs="Times New Roman"/>
          <w:color w:val="auto"/>
          <w:kern w:val="0"/>
          <w:sz w:val="21"/>
          <w:szCs w:val="21"/>
          <w:highlight w:val="none"/>
          <w:rtl w:val="0"/>
        </w:rPr>
        <w:t>A.2.3</w:t>
      </w:r>
      <w:r>
        <w:rPr>
          <w:rFonts w:hint="eastAsia" w:ascii="宋体" w:hAnsi="宋体" w:eastAsia="宋体" w:cs="宋体"/>
          <w:color w:val="1F1F1F"/>
          <w:kern w:val="0"/>
          <w:sz w:val="21"/>
          <w:szCs w:val="21"/>
          <w:rtl w:val="0"/>
        </w:rPr>
        <w:t>　企业宜建立OMP沟通协调机制，定期研究异味管控情况，协调解决异味源治理、设施运行、投诉处理和持续改进中的问题。</w:t>
      </w:r>
    </w:p>
    <w:p w14:paraId="2D5B88FC">
      <w:pPr>
        <w:pStyle w:val="59"/>
        <w:spacing w:before="157" w:beforeLines="50" w:after="157" w:afterLines="50" w:line="240" w:lineRule="auto"/>
        <w:ind w:firstLine="0" w:firstLineChars="0"/>
        <w:rPr>
          <w:rFonts w:hint="eastAsia" w:ascii="黑体" w:hAnsi="Times New Roman" w:eastAsia="黑体" w:cs="Times New Roman"/>
          <w:b w:val="0"/>
          <w:bCs w:val="0"/>
          <w:kern w:val="0"/>
          <w:sz w:val="21"/>
          <w:szCs w:val="20"/>
          <w:highlight w:val="none"/>
          <w:lang w:val="en-US" w:eastAsia="zh-CN"/>
        </w:rPr>
      </w:pPr>
      <w:r>
        <w:rPr>
          <w:rFonts w:hint="eastAsia" w:ascii="黑体" w:hAnsi="Times New Roman" w:eastAsia="黑体" w:cs="Times New Roman"/>
          <w:b w:val="0"/>
          <w:bCs w:val="0"/>
          <w:kern w:val="0"/>
          <w:sz w:val="21"/>
          <w:szCs w:val="20"/>
          <w:highlight w:val="none"/>
          <w:rtl w:val="0"/>
          <w:lang w:val="en-US" w:eastAsia="zh-CN"/>
        </w:rPr>
        <w:t>A.3　异味源识别与风险分级</w:t>
      </w:r>
    </w:p>
    <w:p w14:paraId="61F611D5">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tl w:val="0"/>
          <w:lang w:eastAsia="zh-CN"/>
        </w:rPr>
      </w:pPr>
      <w:r>
        <w:rPr>
          <w:rFonts w:hint="eastAsia" w:ascii="黑体" w:hAnsi="Times New Roman" w:eastAsia="黑体" w:cs="Times New Roman"/>
          <w:kern w:val="0"/>
          <w:sz w:val="21"/>
          <w:szCs w:val="21"/>
          <w:highlight w:val="none"/>
          <w:rtl w:val="0"/>
          <w:lang w:val="en-US" w:eastAsia="zh-CN" w:bidi="ar-SA"/>
        </w:rPr>
        <w:t>A.3.1</w:t>
      </w:r>
      <w:r>
        <w:rPr>
          <w:rFonts w:hint="eastAsia" w:ascii="宋体" w:hAnsi="宋体" w:eastAsia="宋体" w:cs="宋体"/>
          <w:color w:val="1F1F1F"/>
          <w:kern w:val="0"/>
          <w:sz w:val="21"/>
          <w:szCs w:val="21"/>
          <w:rtl w:val="0"/>
        </w:rPr>
        <w:t>　企业宜开展异味源排查，建立异味源清单。清单宜覆盖原辅材料入厂、储存、生产加工、装卸转运、废水处理、固体废物和危险废物贮存、废气治理设施运行及非正常工况等环节</w:t>
      </w:r>
      <w:r>
        <w:rPr>
          <w:rFonts w:hint="eastAsia" w:ascii="宋体" w:hAnsi="宋体" w:cs="宋体"/>
          <w:color w:val="1F1F1F"/>
          <w:kern w:val="0"/>
          <w:sz w:val="21"/>
          <w:szCs w:val="21"/>
          <w:rtl w:val="0"/>
          <w:lang w:eastAsia="zh-CN"/>
        </w:rPr>
        <w:t>。</w:t>
      </w:r>
    </w:p>
    <w:p w14:paraId="69DA4751">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Pr>
      </w:pPr>
      <w:r>
        <w:rPr>
          <w:rFonts w:hint="eastAsia" w:ascii="黑体" w:hAnsi="Times New Roman" w:eastAsia="黑体" w:cs="Times New Roman"/>
          <w:kern w:val="0"/>
          <w:sz w:val="21"/>
          <w:szCs w:val="21"/>
          <w:highlight w:val="none"/>
          <w:rtl w:val="0"/>
          <w:lang w:val="en-US" w:eastAsia="zh-CN" w:bidi="ar-SA"/>
        </w:rPr>
        <w:t>A.3.2</w:t>
      </w:r>
      <w:r>
        <w:rPr>
          <w:rFonts w:hint="eastAsia" w:ascii="宋体" w:hAnsi="宋体" w:eastAsia="宋体" w:cs="宋体"/>
          <w:color w:val="1F1F1F"/>
          <w:kern w:val="0"/>
          <w:sz w:val="21"/>
          <w:szCs w:val="21"/>
          <w:rtl w:val="0"/>
        </w:rPr>
        <w:t>　异味源清单宜包括以下内容：</w:t>
      </w:r>
    </w:p>
    <w:p w14:paraId="04188516">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tl w:val="0"/>
        </w:rPr>
      </w:pPr>
      <w:r>
        <w:rPr>
          <w:rFonts w:hint="eastAsia" w:ascii="宋体" w:hAnsi="宋体" w:eastAsia="宋体" w:cs="宋体"/>
          <w:color w:val="1F1F1F"/>
          <w:kern w:val="0"/>
          <w:sz w:val="21"/>
          <w:szCs w:val="21"/>
          <w:rtl w:val="0"/>
        </w:rPr>
        <w:t>a）异味源名称、位置和所属生产或管理环节；</w:t>
      </w:r>
    </w:p>
    <w:p w14:paraId="4590ACBE">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tl w:val="0"/>
        </w:rPr>
      </w:pPr>
      <w:r>
        <w:rPr>
          <w:rFonts w:hint="eastAsia" w:ascii="宋体" w:hAnsi="宋体" w:eastAsia="宋体" w:cs="宋体"/>
          <w:color w:val="1F1F1F"/>
          <w:kern w:val="0"/>
          <w:sz w:val="21"/>
          <w:szCs w:val="21"/>
          <w:rtl w:val="0"/>
        </w:rPr>
        <w:t>b）异味源类型，包括有组织排放源、无组织逸散源、间歇性排放源、非正常工况源等；</w:t>
      </w:r>
    </w:p>
    <w:p w14:paraId="4EC31B04">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tl w:val="0"/>
        </w:rPr>
      </w:pPr>
      <w:r>
        <w:rPr>
          <w:rFonts w:hint="eastAsia" w:ascii="宋体" w:hAnsi="宋体" w:eastAsia="宋体" w:cs="宋体"/>
          <w:color w:val="1F1F1F"/>
          <w:kern w:val="0"/>
          <w:sz w:val="21"/>
          <w:szCs w:val="21"/>
          <w:rtl w:val="0"/>
        </w:rPr>
        <w:t>c）主要异味特征、可能涉及的特征异味污染物和排放方式；</w:t>
      </w:r>
    </w:p>
    <w:p w14:paraId="6E386837">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tl w:val="0"/>
        </w:rPr>
      </w:pPr>
      <w:r>
        <w:rPr>
          <w:rFonts w:hint="eastAsia" w:ascii="宋体" w:hAnsi="宋体" w:cs="宋体"/>
          <w:color w:val="1F1F1F"/>
          <w:kern w:val="0"/>
          <w:sz w:val="21"/>
          <w:szCs w:val="21"/>
          <w:rtl w:val="0"/>
          <w:lang w:val="en-US" w:eastAsia="zh-CN"/>
        </w:rPr>
        <w:t>d</w:t>
      </w:r>
      <w:r>
        <w:rPr>
          <w:rFonts w:hint="eastAsia" w:ascii="宋体" w:hAnsi="宋体" w:eastAsia="宋体" w:cs="宋体"/>
          <w:color w:val="1F1F1F"/>
          <w:kern w:val="0"/>
          <w:sz w:val="21"/>
          <w:szCs w:val="21"/>
          <w:rtl w:val="0"/>
        </w:rPr>
        <w:t>）现有密闭、收集、治理、监测和管理措施；</w:t>
      </w:r>
    </w:p>
    <w:p w14:paraId="23B2D507">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tl w:val="0"/>
        </w:rPr>
      </w:pPr>
      <w:r>
        <w:rPr>
          <w:rFonts w:hint="eastAsia" w:ascii="宋体" w:hAnsi="宋体" w:cs="宋体"/>
          <w:color w:val="1F1F1F"/>
          <w:kern w:val="0"/>
          <w:sz w:val="21"/>
          <w:szCs w:val="21"/>
          <w:rtl w:val="0"/>
          <w:lang w:val="en-US" w:eastAsia="zh-CN"/>
        </w:rPr>
        <w:t>e</w:t>
      </w:r>
      <w:r>
        <w:rPr>
          <w:rFonts w:hint="eastAsia" w:ascii="宋体" w:hAnsi="宋体" w:eastAsia="宋体" w:cs="宋体"/>
          <w:color w:val="1F1F1F"/>
          <w:kern w:val="0"/>
          <w:sz w:val="21"/>
          <w:szCs w:val="21"/>
          <w:rtl w:val="0"/>
        </w:rPr>
        <w:t>）与厂界、办公生活区及周边敏感目标的空间关系；</w:t>
      </w:r>
    </w:p>
    <w:p w14:paraId="0A3A09F8">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tl w:val="0"/>
        </w:rPr>
      </w:pPr>
      <w:r>
        <w:rPr>
          <w:rFonts w:hint="eastAsia" w:ascii="宋体" w:hAnsi="宋体" w:cs="宋体"/>
          <w:color w:val="1F1F1F"/>
          <w:kern w:val="0"/>
          <w:sz w:val="21"/>
          <w:szCs w:val="21"/>
          <w:rtl w:val="0"/>
          <w:lang w:val="en-US" w:eastAsia="zh-CN"/>
        </w:rPr>
        <w:t>f</w:t>
      </w:r>
      <w:r>
        <w:rPr>
          <w:rFonts w:hint="eastAsia" w:ascii="宋体" w:hAnsi="宋体" w:eastAsia="宋体" w:cs="宋体"/>
          <w:color w:val="1F1F1F"/>
          <w:kern w:val="0"/>
          <w:sz w:val="21"/>
          <w:szCs w:val="21"/>
          <w:rtl w:val="0"/>
        </w:rPr>
        <w:t>）历史投诉、异常事件或监测异常情况。</w:t>
      </w:r>
    </w:p>
    <w:p w14:paraId="75A81A95">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default" w:ascii="宋体" w:hAnsi="宋体" w:eastAsia="宋体" w:cs="宋体"/>
          <w:color w:val="1F1F1F"/>
          <w:kern w:val="0"/>
          <w:sz w:val="21"/>
          <w:szCs w:val="21"/>
          <w:lang w:val="en-US" w:eastAsia="zh-CN"/>
        </w:rPr>
      </w:pPr>
      <w:r>
        <w:rPr>
          <w:rFonts w:hint="eastAsia" w:ascii="黑体" w:hAnsi="Times New Roman" w:eastAsia="黑体" w:cs="Times New Roman"/>
          <w:kern w:val="0"/>
          <w:sz w:val="21"/>
          <w:szCs w:val="21"/>
          <w:highlight w:val="none"/>
          <w:rtl w:val="0"/>
          <w:lang w:val="en-US" w:eastAsia="zh-CN" w:bidi="ar-SA"/>
        </w:rPr>
        <w:t>A.3.3</w:t>
      </w:r>
      <w:r>
        <w:rPr>
          <w:rFonts w:hint="eastAsia" w:ascii="宋体" w:hAnsi="宋体" w:eastAsia="宋体" w:cs="宋体"/>
          <w:color w:val="1F1F1F"/>
          <w:kern w:val="0"/>
          <w:sz w:val="21"/>
          <w:szCs w:val="21"/>
          <w:rtl w:val="0"/>
        </w:rPr>
        <w:t>　企业宜结合异味源强度、排放频次、持续时间、异味性质、控制现状、异常工况影响、与敏感目标距离和主导风向关系等因素，对异味源开展风险分级，确定重点管控对象</w:t>
      </w:r>
      <w:r>
        <w:rPr>
          <w:rFonts w:hint="eastAsia" w:ascii="宋体" w:hAnsi="宋体" w:cs="宋体"/>
          <w:color w:val="1F1F1F"/>
          <w:kern w:val="0"/>
          <w:sz w:val="21"/>
          <w:szCs w:val="21"/>
          <w:rtl w:val="0"/>
          <w:lang w:eastAsia="zh-CN"/>
        </w:rPr>
        <w:t>。</w:t>
      </w:r>
    </w:p>
    <w:p w14:paraId="6723A1FA">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0" w:firstLineChars="0"/>
        <w:jc w:val="both"/>
        <w:rPr>
          <w:rFonts w:hint="eastAsia" w:ascii="宋体" w:hAnsi="宋体" w:eastAsia="宋体" w:cs="宋体"/>
          <w:color w:val="1F1F1F"/>
          <w:kern w:val="0"/>
          <w:sz w:val="21"/>
          <w:szCs w:val="21"/>
          <w:rtl w:val="0"/>
        </w:rPr>
      </w:pPr>
      <w:r>
        <w:rPr>
          <w:rFonts w:hint="eastAsia" w:ascii="黑体" w:hAnsi="Times New Roman" w:eastAsia="黑体" w:cs="Times New Roman"/>
          <w:color w:val="auto"/>
          <w:kern w:val="0"/>
          <w:sz w:val="21"/>
          <w:szCs w:val="21"/>
          <w:highlight w:val="none"/>
          <w:rtl w:val="0"/>
        </w:rPr>
        <w:t>A.3.</w:t>
      </w:r>
      <w:r>
        <w:rPr>
          <w:rFonts w:hint="eastAsia" w:ascii="黑体" w:hAnsi="Times New Roman" w:eastAsia="黑体" w:cs="Times New Roman"/>
          <w:color w:val="auto"/>
          <w:kern w:val="0"/>
          <w:sz w:val="21"/>
          <w:szCs w:val="21"/>
          <w:highlight w:val="none"/>
          <w:rtl w:val="0"/>
          <w:lang w:eastAsia="zh-CN"/>
        </w:rPr>
        <w:t>4</w:t>
      </w:r>
      <w:r>
        <w:rPr>
          <w:rFonts w:hint="eastAsia" w:ascii="宋体" w:hAnsi="宋体" w:eastAsia="宋体" w:cs="宋体"/>
          <w:color w:val="1F1F1F"/>
          <w:kern w:val="0"/>
          <w:sz w:val="21"/>
          <w:szCs w:val="21"/>
          <w:rtl w:val="0"/>
        </w:rPr>
        <w:t>　对高风险异味源、涉投诉异味源、靠近厂界或周边敏感目标的异味源，企业宜制定针对性控制措施，明确整改或提升要求、责任部门和完成时限。</w:t>
      </w:r>
    </w:p>
    <w:p w14:paraId="73DEBED7">
      <w:pPr>
        <w:pStyle w:val="59"/>
        <w:spacing w:before="157" w:beforeLines="50" w:after="157" w:afterLines="50" w:line="240" w:lineRule="auto"/>
        <w:ind w:firstLine="0" w:firstLineChars="0"/>
        <w:rPr>
          <w:rFonts w:hint="eastAsia" w:ascii="黑体" w:hAnsi="Times New Roman" w:eastAsia="黑体" w:cs="Times New Roman"/>
          <w:b w:val="0"/>
          <w:bCs w:val="0"/>
          <w:kern w:val="0"/>
          <w:sz w:val="21"/>
          <w:szCs w:val="20"/>
          <w:highlight w:val="none"/>
          <w:lang w:val="en-US" w:eastAsia="zh-CN"/>
        </w:rPr>
      </w:pPr>
      <w:r>
        <w:rPr>
          <w:rFonts w:hint="eastAsia" w:ascii="黑体" w:hAnsi="Times New Roman" w:eastAsia="黑体" w:cs="Times New Roman"/>
          <w:b w:val="0"/>
          <w:bCs w:val="0"/>
          <w:kern w:val="0"/>
          <w:sz w:val="21"/>
          <w:szCs w:val="20"/>
          <w:highlight w:val="none"/>
          <w:rtl w:val="0"/>
          <w:lang w:val="en-US" w:eastAsia="zh-CN"/>
        </w:rPr>
        <w:t>A.4　控制措施与运行要求</w:t>
      </w:r>
    </w:p>
    <w:p w14:paraId="23245F2B">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rPr>
      </w:pPr>
      <w:r>
        <w:rPr>
          <w:rFonts w:hint="eastAsia" w:ascii="黑体" w:hAnsi="Times New Roman" w:eastAsia="黑体" w:cs="Times New Roman"/>
          <w:kern w:val="0"/>
          <w:sz w:val="21"/>
          <w:szCs w:val="21"/>
          <w:highlight w:val="none"/>
          <w:rtl w:val="0"/>
          <w:lang w:val="en-US" w:eastAsia="zh-CN" w:bidi="ar-SA"/>
        </w:rPr>
        <w:t>A.4.1</w:t>
      </w:r>
      <w:r>
        <w:rPr>
          <w:rFonts w:hint="eastAsia" w:ascii="宋体" w:hAnsi="宋体" w:eastAsia="宋体" w:cs="宋体"/>
          <w:color w:val="1F1F1F"/>
          <w:kern w:val="0"/>
          <w:sz w:val="21"/>
          <w:szCs w:val="21"/>
          <w:rtl w:val="0"/>
        </w:rPr>
        <w:t>　OMP宜按照源头削减、过程控制和末端治理的逻辑，明确不同异味源的控制措施和运行要求。</w:t>
      </w:r>
    </w:p>
    <w:p w14:paraId="0955606D">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rPr>
      </w:pPr>
      <w:r>
        <w:rPr>
          <w:rFonts w:hint="eastAsia" w:ascii="黑体" w:hAnsi="Times New Roman" w:eastAsia="黑体" w:cs="Times New Roman"/>
          <w:color w:val="auto"/>
          <w:kern w:val="0"/>
          <w:sz w:val="21"/>
          <w:szCs w:val="21"/>
          <w:highlight w:val="none"/>
          <w:rtl w:val="0"/>
        </w:rPr>
        <w:t>A.4.2</w:t>
      </w:r>
      <w:r>
        <w:rPr>
          <w:rFonts w:hint="eastAsia" w:ascii="宋体" w:hAnsi="宋体" w:eastAsia="宋体" w:cs="宋体"/>
          <w:color w:val="1F1F1F"/>
          <w:kern w:val="0"/>
          <w:sz w:val="21"/>
          <w:szCs w:val="21"/>
          <w:rtl w:val="0"/>
        </w:rPr>
        <w:t>　源头削减措施宜包括原辅材料替代、工艺优化、设备改进、物料密闭储存和低逸散操作方式等内容</w:t>
      </w:r>
      <w:r>
        <w:rPr>
          <w:rFonts w:hint="eastAsia" w:ascii="宋体" w:hAnsi="宋体" w:cs="宋体"/>
          <w:color w:val="1F1F1F"/>
          <w:kern w:val="0"/>
          <w:sz w:val="21"/>
          <w:szCs w:val="21"/>
          <w:rtl w:val="0"/>
          <w:lang w:eastAsia="zh-CN"/>
        </w:rPr>
        <w:t>。</w:t>
      </w:r>
    </w:p>
    <w:p w14:paraId="06479A93">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rPr>
      </w:pPr>
      <w:r>
        <w:rPr>
          <w:rFonts w:hint="eastAsia" w:ascii="黑体" w:hAnsi="Times New Roman" w:eastAsia="黑体" w:cs="Times New Roman"/>
          <w:color w:val="auto"/>
          <w:kern w:val="0"/>
          <w:sz w:val="21"/>
          <w:szCs w:val="21"/>
          <w:highlight w:val="none"/>
          <w:rtl w:val="0"/>
        </w:rPr>
        <w:t>A.4.3</w:t>
      </w:r>
      <w:r>
        <w:rPr>
          <w:rFonts w:hint="eastAsia" w:ascii="宋体" w:hAnsi="宋体" w:eastAsia="宋体" w:cs="宋体"/>
          <w:color w:val="1F1F1F"/>
          <w:kern w:val="0"/>
          <w:sz w:val="21"/>
          <w:szCs w:val="21"/>
          <w:rtl w:val="0"/>
        </w:rPr>
        <w:t>　过程控制措施宜包括密闭化、负压控制、局部收集、泄漏检测与修复、现场清洁、密闭转运、规范操作和巡检维护等内容。</w:t>
      </w:r>
    </w:p>
    <w:p w14:paraId="617C4A81">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rPr>
      </w:pPr>
      <w:r>
        <w:rPr>
          <w:rFonts w:hint="eastAsia" w:ascii="黑体" w:hAnsi="Times New Roman" w:eastAsia="黑体" w:cs="Times New Roman"/>
          <w:color w:val="auto"/>
          <w:kern w:val="0"/>
          <w:sz w:val="21"/>
          <w:szCs w:val="21"/>
          <w:highlight w:val="none"/>
          <w:rtl w:val="0"/>
        </w:rPr>
        <w:t>A.4.</w:t>
      </w:r>
      <w:r>
        <w:rPr>
          <w:rFonts w:hint="eastAsia" w:ascii="黑体" w:hAnsi="Times New Roman" w:eastAsia="黑体" w:cs="Times New Roman"/>
          <w:color w:val="auto"/>
          <w:kern w:val="0"/>
          <w:sz w:val="21"/>
          <w:szCs w:val="21"/>
          <w:highlight w:val="none"/>
          <w:rtl w:val="0"/>
          <w:lang w:val="en-US" w:eastAsia="zh-CN"/>
        </w:rPr>
        <w:t>4</w:t>
      </w:r>
      <w:r>
        <w:rPr>
          <w:rFonts w:hint="eastAsia" w:ascii="宋体" w:hAnsi="宋体" w:eastAsia="宋体" w:cs="宋体"/>
          <w:color w:val="1F1F1F"/>
          <w:kern w:val="0"/>
          <w:sz w:val="21"/>
          <w:szCs w:val="21"/>
          <w:rtl w:val="0"/>
        </w:rPr>
        <w:t>　末端治理措施宜包括废气收集系统、预处理设施、主体治理设施、排气筒规范化设置、关键运行参数控制和处理效果评估等内容。</w:t>
      </w:r>
    </w:p>
    <w:p w14:paraId="3FA4D734">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rPr>
      </w:pPr>
      <w:r>
        <w:rPr>
          <w:rFonts w:hint="eastAsia" w:ascii="黑体" w:hAnsi="Times New Roman" w:eastAsia="黑体" w:cs="Times New Roman"/>
          <w:color w:val="auto"/>
          <w:kern w:val="0"/>
          <w:sz w:val="21"/>
          <w:szCs w:val="21"/>
          <w:highlight w:val="none"/>
          <w:rtl w:val="0"/>
        </w:rPr>
        <w:t>A.4.</w:t>
      </w:r>
      <w:r>
        <w:rPr>
          <w:rFonts w:hint="eastAsia" w:ascii="黑体" w:hAnsi="Times New Roman" w:eastAsia="黑体" w:cs="Times New Roman"/>
          <w:color w:val="auto"/>
          <w:kern w:val="0"/>
          <w:sz w:val="21"/>
          <w:szCs w:val="21"/>
          <w:highlight w:val="none"/>
          <w:rtl w:val="0"/>
          <w:lang w:val="en-US" w:eastAsia="zh-CN"/>
        </w:rPr>
        <w:t>5</w:t>
      </w:r>
      <w:r>
        <w:rPr>
          <w:rFonts w:hint="eastAsia" w:ascii="宋体" w:hAnsi="宋体" w:eastAsia="宋体" w:cs="宋体"/>
          <w:color w:val="1F1F1F"/>
          <w:kern w:val="0"/>
          <w:sz w:val="21"/>
          <w:szCs w:val="21"/>
          <w:rtl w:val="0"/>
        </w:rPr>
        <w:t>　对关键异味控制设施，OMP宜明确运行控制要求，包括设计处理能力、适用废气条件、关键运行参数范围、巡检频次、维护保养要求和异常处置要求。相关要求宜采用可记录、可检查、可追溯的表达方式，避免仅使用“加强管理”“定期维护”等笼统表述。</w:t>
      </w:r>
    </w:p>
    <w:p w14:paraId="57F7C8BC">
      <w:pPr>
        <w:pStyle w:val="59"/>
        <w:spacing w:before="157" w:beforeLines="50" w:after="157" w:afterLines="50" w:line="240" w:lineRule="auto"/>
        <w:ind w:firstLine="0" w:firstLineChars="0"/>
        <w:rPr>
          <w:rFonts w:hint="eastAsia" w:ascii="黑体" w:hAnsi="Times New Roman" w:eastAsia="黑体" w:cs="Times New Roman"/>
          <w:b w:val="0"/>
          <w:bCs w:val="0"/>
          <w:kern w:val="0"/>
          <w:sz w:val="21"/>
          <w:szCs w:val="20"/>
          <w:highlight w:val="none"/>
          <w:lang w:val="en-US" w:eastAsia="zh-CN"/>
        </w:rPr>
      </w:pPr>
      <w:r>
        <w:rPr>
          <w:rFonts w:hint="eastAsia" w:ascii="黑体" w:hAnsi="Times New Roman" w:eastAsia="黑体" w:cs="Times New Roman"/>
          <w:b w:val="0"/>
          <w:bCs w:val="0"/>
          <w:kern w:val="0"/>
          <w:sz w:val="21"/>
          <w:szCs w:val="20"/>
          <w:highlight w:val="none"/>
          <w:rtl w:val="0"/>
          <w:lang w:val="en-US" w:eastAsia="zh-CN"/>
        </w:rPr>
        <w:t>A.5　监测评估与响应管理</w:t>
      </w:r>
    </w:p>
    <w:p w14:paraId="5A334AD9">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rPr>
      </w:pPr>
      <w:r>
        <w:rPr>
          <w:rFonts w:hint="eastAsia" w:ascii="黑体" w:hAnsi="Times New Roman" w:eastAsia="黑体" w:cs="Times New Roman"/>
          <w:kern w:val="0"/>
          <w:sz w:val="21"/>
          <w:szCs w:val="21"/>
          <w:highlight w:val="none"/>
          <w:rtl w:val="0"/>
          <w:lang w:val="en-US" w:eastAsia="zh-CN" w:bidi="ar-SA"/>
        </w:rPr>
        <w:t>A.5.1</w:t>
      </w:r>
      <w:r>
        <w:rPr>
          <w:rFonts w:hint="eastAsia" w:ascii="宋体" w:hAnsi="宋体" w:eastAsia="宋体" w:cs="宋体"/>
          <w:color w:val="1F1F1F"/>
          <w:kern w:val="0"/>
          <w:sz w:val="21"/>
          <w:szCs w:val="21"/>
          <w:rtl w:val="0"/>
        </w:rPr>
        <w:t>　OMP宜明确异味监测与巡查方案，包括监测点位、监测指标、监测频次、监测方法、巡查路线、记录要求和数据管理要求。监测点位宜覆盖主要涉异味有组织排放口、厂界、靠近敏感目标一侧厂界、厂区内部高风险异味源及投诉关联区域。</w:t>
      </w:r>
    </w:p>
    <w:p w14:paraId="7E7B7C9D">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0" w:firstLineChars="0"/>
        <w:jc w:val="both"/>
        <w:rPr>
          <w:rFonts w:hint="eastAsia" w:ascii="宋体" w:hAnsi="宋体" w:eastAsia="宋体" w:cs="宋体"/>
          <w:color w:val="1F1F1F"/>
          <w:kern w:val="0"/>
          <w:sz w:val="21"/>
          <w:szCs w:val="21"/>
          <w:rtl w:val="0"/>
        </w:rPr>
      </w:pPr>
      <w:r>
        <w:rPr>
          <w:rFonts w:hint="eastAsia" w:ascii="黑体" w:hAnsi="Times New Roman" w:eastAsia="黑体" w:cs="Times New Roman"/>
          <w:kern w:val="0"/>
          <w:sz w:val="21"/>
          <w:szCs w:val="21"/>
          <w:highlight w:val="none"/>
          <w:rtl w:val="0"/>
          <w:lang w:val="en-US" w:eastAsia="zh-CN" w:bidi="ar-SA"/>
        </w:rPr>
        <w:t>A.5.2</w:t>
      </w:r>
      <w:r>
        <w:rPr>
          <w:rFonts w:hint="eastAsia" w:ascii="宋体" w:hAnsi="宋体" w:eastAsia="宋体" w:cs="宋体"/>
          <w:color w:val="1F1F1F"/>
          <w:kern w:val="0"/>
          <w:sz w:val="21"/>
          <w:szCs w:val="21"/>
          <w:rtl w:val="0"/>
        </w:rPr>
        <w:t>　企业宜根据实际条件建立常规监测、专项监测和应急监测相结合的工作机制。对异味投诉高发、风险较高或周边敏感目标密集的企业，宜在夜间、凌晨、低风速、静稳、逆温等异味易感知或扩散不利时段开展巡查或监测</w:t>
      </w:r>
      <w:r>
        <w:rPr>
          <w:rFonts w:hint="eastAsia" w:ascii="宋体" w:hAnsi="宋体" w:cs="宋体"/>
          <w:color w:val="1F1F1F"/>
          <w:kern w:val="0"/>
          <w:sz w:val="21"/>
          <w:szCs w:val="21"/>
          <w:rtl w:val="0"/>
          <w:lang w:eastAsia="zh-CN"/>
        </w:rPr>
        <w:t>。</w:t>
      </w:r>
    </w:p>
    <w:p w14:paraId="78071983">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0" w:firstLineChars="0"/>
        <w:jc w:val="both"/>
        <w:rPr>
          <w:rFonts w:hint="eastAsia" w:ascii="宋体" w:hAnsi="宋体" w:eastAsia="宋体" w:cs="宋体"/>
          <w:color w:val="1F1F1F"/>
          <w:kern w:val="0"/>
          <w:sz w:val="21"/>
          <w:szCs w:val="21"/>
          <w:rtl w:val="0"/>
        </w:rPr>
      </w:pPr>
      <w:r>
        <w:rPr>
          <w:rFonts w:hint="eastAsia" w:ascii="黑体" w:hAnsi="Times New Roman" w:eastAsia="黑体" w:cs="Times New Roman"/>
          <w:color w:val="auto"/>
          <w:kern w:val="0"/>
          <w:sz w:val="21"/>
          <w:szCs w:val="21"/>
          <w:highlight w:val="none"/>
          <w:rtl w:val="0"/>
        </w:rPr>
        <w:t>A.5.3</w:t>
      </w:r>
      <w:r>
        <w:rPr>
          <w:rFonts w:hint="eastAsia" w:ascii="宋体" w:hAnsi="宋体" w:eastAsia="宋体" w:cs="宋体"/>
          <w:color w:val="1F1F1F"/>
          <w:kern w:val="0"/>
          <w:sz w:val="21"/>
          <w:szCs w:val="21"/>
          <w:rtl w:val="0"/>
        </w:rPr>
        <w:t>　具备条件的企业可布设电子鼻、VOCs微站、工况监控或其他预警设施，并与生产工况、治理设施运行参数和投诉信息进行关联分析。</w:t>
      </w:r>
    </w:p>
    <w:p w14:paraId="2FE79069">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0" w:firstLineChars="0"/>
        <w:jc w:val="both"/>
        <w:rPr>
          <w:rFonts w:hint="eastAsia" w:ascii="宋体" w:hAnsi="宋体" w:eastAsia="宋体" w:cs="宋体"/>
          <w:color w:val="1F1F1F"/>
          <w:kern w:val="0"/>
          <w:sz w:val="21"/>
          <w:szCs w:val="21"/>
          <w:rtl w:val="0"/>
          <w:lang w:eastAsia="zh-CN"/>
        </w:rPr>
      </w:pPr>
      <w:r>
        <w:rPr>
          <w:rFonts w:hint="eastAsia" w:ascii="黑体" w:hAnsi="Times New Roman" w:eastAsia="黑体" w:cs="Times New Roman"/>
          <w:color w:val="auto"/>
          <w:kern w:val="0"/>
          <w:sz w:val="21"/>
          <w:szCs w:val="21"/>
          <w:highlight w:val="none"/>
          <w:rtl w:val="0"/>
        </w:rPr>
        <w:t>A.5.</w:t>
      </w:r>
      <w:r>
        <w:rPr>
          <w:rFonts w:hint="eastAsia" w:ascii="黑体" w:hAnsi="Times New Roman" w:eastAsia="黑体" w:cs="Times New Roman"/>
          <w:color w:val="auto"/>
          <w:kern w:val="0"/>
          <w:sz w:val="21"/>
          <w:szCs w:val="21"/>
          <w:highlight w:val="none"/>
          <w:rtl w:val="0"/>
          <w:lang w:val="en-US" w:eastAsia="zh-CN"/>
        </w:rPr>
        <w:t>4</w:t>
      </w:r>
      <w:r>
        <w:rPr>
          <w:rFonts w:hint="eastAsia" w:ascii="宋体" w:hAnsi="宋体" w:eastAsia="宋体" w:cs="宋体"/>
          <w:color w:val="1F1F1F"/>
          <w:kern w:val="0"/>
          <w:sz w:val="21"/>
          <w:szCs w:val="21"/>
          <w:rtl w:val="0"/>
        </w:rPr>
        <w:t>　OMP宜建立分级响应机制。企业可根据监测异常、巡查发现、治理设施运行异常、外部投诉或不利气象条件等情形，分别启动自查复核、加密监测、设施调整、局部降负荷、应急收集处理、投诉反馈等响应措施</w:t>
      </w:r>
      <w:r>
        <w:rPr>
          <w:rFonts w:hint="eastAsia" w:ascii="宋体" w:hAnsi="宋体" w:cs="宋体"/>
          <w:color w:val="1F1F1F"/>
          <w:kern w:val="0"/>
          <w:sz w:val="21"/>
          <w:szCs w:val="21"/>
          <w:rtl w:val="0"/>
          <w:lang w:eastAsia="zh-CN"/>
        </w:rPr>
        <w:t>。</w:t>
      </w:r>
    </w:p>
    <w:p w14:paraId="15C4CE5A">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0" w:firstLineChars="0"/>
        <w:jc w:val="both"/>
        <w:rPr>
          <w:rFonts w:hint="eastAsia" w:ascii="宋体" w:hAnsi="宋体" w:eastAsia="宋体" w:cs="宋体"/>
          <w:color w:val="1F1F1F"/>
          <w:kern w:val="0"/>
          <w:sz w:val="21"/>
          <w:szCs w:val="21"/>
          <w:rtl w:val="0"/>
          <w:lang w:eastAsia="zh-CN"/>
        </w:rPr>
      </w:pPr>
      <w:r>
        <w:rPr>
          <w:rFonts w:hint="eastAsia" w:ascii="黑体" w:hAnsi="Times New Roman" w:eastAsia="黑体" w:cs="Times New Roman"/>
          <w:color w:val="auto"/>
          <w:kern w:val="0"/>
          <w:sz w:val="21"/>
          <w:szCs w:val="21"/>
          <w:highlight w:val="none"/>
          <w:rtl w:val="0"/>
        </w:rPr>
        <w:t>A.5.</w:t>
      </w:r>
      <w:r>
        <w:rPr>
          <w:rFonts w:hint="eastAsia" w:ascii="黑体" w:hAnsi="Times New Roman" w:eastAsia="黑体" w:cs="Times New Roman"/>
          <w:color w:val="auto"/>
          <w:kern w:val="0"/>
          <w:sz w:val="21"/>
          <w:szCs w:val="21"/>
          <w:highlight w:val="none"/>
          <w:rtl w:val="0"/>
          <w:lang w:val="en-US" w:eastAsia="zh-CN"/>
        </w:rPr>
        <w:t>5</w:t>
      </w:r>
      <w:r>
        <w:rPr>
          <w:rFonts w:hint="eastAsia" w:ascii="宋体" w:hAnsi="宋体" w:eastAsia="宋体" w:cs="宋体"/>
          <w:color w:val="1F1F1F"/>
          <w:kern w:val="0"/>
          <w:sz w:val="21"/>
          <w:szCs w:val="21"/>
          <w:rtl w:val="0"/>
        </w:rPr>
        <w:t>　监测、巡查和响应记录宜真实、完整、可追溯，保存期限应符合相关法律法规和企业环境管理要求</w:t>
      </w:r>
      <w:r>
        <w:rPr>
          <w:rFonts w:hint="eastAsia" w:ascii="宋体" w:hAnsi="宋体" w:cs="宋体"/>
          <w:color w:val="1F1F1F"/>
          <w:kern w:val="0"/>
          <w:sz w:val="21"/>
          <w:szCs w:val="21"/>
          <w:rtl w:val="0"/>
          <w:lang w:eastAsia="zh-CN"/>
        </w:rPr>
        <w:t>。</w:t>
      </w:r>
    </w:p>
    <w:p w14:paraId="6F278EF9">
      <w:pPr>
        <w:pStyle w:val="59"/>
        <w:spacing w:before="157" w:beforeLines="50" w:after="157" w:afterLines="50" w:line="240" w:lineRule="auto"/>
        <w:ind w:firstLine="0" w:firstLineChars="0"/>
        <w:rPr>
          <w:rFonts w:hint="eastAsia" w:ascii="黑体" w:hAnsi="Times New Roman" w:eastAsia="黑体" w:cs="Times New Roman"/>
          <w:b w:val="0"/>
          <w:bCs w:val="0"/>
          <w:kern w:val="0"/>
          <w:sz w:val="21"/>
          <w:szCs w:val="20"/>
          <w:highlight w:val="none"/>
          <w:lang w:val="en-US" w:eastAsia="zh-CN"/>
        </w:rPr>
      </w:pPr>
      <w:r>
        <w:rPr>
          <w:rFonts w:hint="eastAsia" w:ascii="黑体" w:hAnsi="Times New Roman" w:eastAsia="黑体" w:cs="Times New Roman"/>
          <w:b w:val="0"/>
          <w:bCs w:val="0"/>
          <w:kern w:val="0"/>
          <w:sz w:val="21"/>
          <w:szCs w:val="20"/>
          <w:highlight w:val="none"/>
          <w:rtl w:val="0"/>
          <w:lang w:val="en-US" w:eastAsia="zh-CN"/>
        </w:rPr>
        <w:t>A.6　异常工况与事件溯源</w:t>
      </w:r>
    </w:p>
    <w:p w14:paraId="6A47B658">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Pr>
      </w:pPr>
      <w:r>
        <w:rPr>
          <w:rFonts w:hint="eastAsia" w:ascii="黑体" w:hAnsi="Times New Roman" w:eastAsia="黑体" w:cs="Times New Roman"/>
          <w:kern w:val="0"/>
          <w:sz w:val="21"/>
          <w:szCs w:val="21"/>
          <w:highlight w:val="none"/>
          <w:rtl w:val="0"/>
          <w:lang w:val="en-US" w:eastAsia="zh-CN" w:bidi="ar-SA"/>
        </w:rPr>
        <w:t>A.6.1</w:t>
      </w:r>
      <w:r>
        <w:rPr>
          <w:rFonts w:hint="eastAsia" w:ascii="宋体" w:hAnsi="宋体" w:eastAsia="宋体" w:cs="宋体"/>
          <w:color w:val="1F1F1F"/>
          <w:kern w:val="0"/>
          <w:sz w:val="21"/>
          <w:szCs w:val="21"/>
          <w:rtl w:val="0"/>
        </w:rPr>
        <w:t>　OMP宜识别可能导致异味影响加重的异常工况，包括开停工、检维修、清洗置换、治理设施故障、物料泄漏、生产负荷波动、应急泄放以及极端不利气象条件等，并制定相应的管控措施。</w:t>
      </w:r>
    </w:p>
    <w:p w14:paraId="72B36BCC">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rPr>
      </w:pPr>
      <w:r>
        <w:rPr>
          <w:rFonts w:hint="eastAsia" w:ascii="黑体" w:hAnsi="Times New Roman" w:eastAsia="黑体" w:cs="Times New Roman"/>
          <w:color w:val="auto"/>
          <w:kern w:val="0"/>
          <w:sz w:val="21"/>
          <w:szCs w:val="21"/>
          <w:highlight w:val="none"/>
          <w:rtl w:val="0"/>
        </w:rPr>
        <w:t>A</w:t>
      </w:r>
      <w:r>
        <w:rPr>
          <w:rFonts w:hint="eastAsia" w:ascii="黑体" w:hAnsi="Times New Roman" w:eastAsia="黑体" w:cs="Times New Roman"/>
          <w:kern w:val="0"/>
          <w:sz w:val="21"/>
          <w:szCs w:val="21"/>
          <w:highlight w:val="none"/>
          <w:rtl w:val="0"/>
          <w:lang w:val="en-US" w:eastAsia="zh-CN" w:bidi="ar-SA"/>
        </w:rPr>
        <w:t>.6.2</w:t>
      </w:r>
      <w:r>
        <w:rPr>
          <w:rFonts w:hint="eastAsia" w:ascii="宋体" w:hAnsi="宋体" w:eastAsia="宋体" w:cs="宋体"/>
          <w:color w:val="1F1F1F"/>
          <w:kern w:val="0"/>
          <w:sz w:val="21"/>
          <w:szCs w:val="21"/>
          <w:rtl w:val="0"/>
        </w:rPr>
        <w:t>　对计划性非正常工况，OMP宜明确作业计划、风险提示、控制措施、现场巡查、废气收集处理、清洗废液管理和恢复条件等要求。</w:t>
      </w:r>
    </w:p>
    <w:p w14:paraId="53DBB483">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tl w:val="0"/>
          <w:lang w:eastAsia="zh-CN"/>
        </w:rPr>
      </w:pPr>
      <w:r>
        <w:rPr>
          <w:rFonts w:hint="eastAsia" w:ascii="黑体" w:hAnsi="Times New Roman" w:eastAsia="黑体" w:cs="Times New Roman"/>
          <w:color w:val="auto"/>
          <w:kern w:val="0"/>
          <w:sz w:val="21"/>
          <w:szCs w:val="21"/>
          <w:highlight w:val="none"/>
          <w:rtl w:val="0"/>
        </w:rPr>
        <w:t>A</w:t>
      </w:r>
      <w:r>
        <w:rPr>
          <w:rFonts w:hint="eastAsia" w:ascii="黑体" w:hAnsi="Times New Roman" w:eastAsia="黑体" w:cs="Times New Roman"/>
          <w:kern w:val="0"/>
          <w:sz w:val="21"/>
          <w:szCs w:val="21"/>
          <w:highlight w:val="none"/>
          <w:rtl w:val="0"/>
          <w:lang w:val="en-US" w:eastAsia="zh-CN" w:bidi="ar-SA"/>
        </w:rPr>
        <w:t>.6.3</w:t>
      </w:r>
      <w:r>
        <w:rPr>
          <w:rFonts w:hint="eastAsia" w:ascii="宋体" w:hAnsi="宋体" w:eastAsia="宋体" w:cs="宋体"/>
          <w:color w:val="1F1F1F"/>
          <w:kern w:val="0"/>
          <w:sz w:val="21"/>
          <w:szCs w:val="21"/>
          <w:rtl w:val="0"/>
        </w:rPr>
        <w:t>　对突发性异常工况，OMP宜明确发现、报告、核查、控制、监测、处置、恢复和记录流程</w:t>
      </w:r>
      <w:r>
        <w:rPr>
          <w:rFonts w:hint="eastAsia" w:ascii="宋体" w:hAnsi="宋体" w:cs="宋体"/>
          <w:color w:val="1F1F1F"/>
          <w:kern w:val="0"/>
          <w:sz w:val="21"/>
          <w:szCs w:val="21"/>
          <w:rtl w:val="0"/>
          <w:lang w:eastAsia="zh-CN"/>
        </w:rPr>
        <w:t>。</w:t>
      </w:r>
    </w:p>
    <w:p w14:paraId="3F5232F9">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tl w:val="0"/>
          <w:lang w:eastAsia="zh-CN"/>
        </w:rPr>
      </w:pPr>
      <w:r>
        <w:rPr>
          <w:rFonts w:hint="eastAsia" w:ascii="黑体" w:hAnsi="Times New Roman" w:eastAsia="黑体" w:cs="Times New Roman"/>
          <w:color w:val="auto"/>
          <w:kern w:val="0"/>
          <w:sz w:val="21"/>
          <w:szCs w:val="21"/>
          <w:highlight w:val="none"/>
          <w:rtl w:val="0"/>
        </w:rPr>
        <w:t>A</w:t>
      </w:r>
      <w:r>
        <w:rPr>
          <w:rFonts w:hint="eastAsia" w:ascii="黑体" w:hAnsi="Times New Roman" w:eastAsia="黑体" w:cs="Times New Roman"/>
          <w:kern w:val="0"/>
          <w:sz w:val="21"/>
          <w:szCs w:val="21"/>
          <w:highlight w:val="none"/>
          <w:rtl w:val="0"/>
          <w:lang w:val="en-US" w:eastAsia="zh-CN" w:bidi="ar-SA"/>
        </w:rPr>
        <w:t>.6.4</w:t>
      </w:r>
      <w:r>
        <w:rPr>
          <w:rFonts w:hint="eastAsia" w:ascii="宋体" w:hAnsi="宋体" w:eastAsia="宋体" w:cs="宋体"/>
          <w:color w:val="1F1F1F"/>
          <w:kern w:val="0"/>
          <w:sz w:val="21"/>
          <w:szCs w:val="21"/>
          <w:rtl w:val="0"/>
        </w:rPr>
        <w:t>　</w:t>
      </w:r>
      <w:r>
        <w:rPr>
          <w:rFonts w:hint="eastAsia" w:ascii="宋体" w:hAnsi="宋体" w:cs="宋体"/>
          <w:color w:val="1F1F1F"/>
          <w:kern w:val="0"/>
          <w:sz w:val="21"/>
          <w:szCs w:val="21"/>
          <w:rtl w:val="0"/>
          <w:lang w:eastAsia="zh-CN"/>
        </w:rPr>
        <w:t>发生异味投诉、监测异常或异味污染事件时，企业宜记录当时的气象条件、生产工况、物料操作、治理设施运行参数、现场巡查情况和处置措施，支撑异味事件溯源、原因分析和整改评估。</w:t>
      </w:r>
    </w:p>
    <w:p w14:paraId="5556BCE4">
      <w:pPr>
        <w:pStyle w:val="59"/>
        <w:spacing w:before="157" w:beforeLines="50" w:after="157" w:afterLines="50"/>
        <w:ind w:firstLine="0" w:firstLineChars="0"/>
        <w:rPr>
          <w:rFonts w:hint="eastAsia" w:ascii="黑体" w:eastAsia="黑体"/>
          <w:sz w:val="21"/>
          <w:szCs w:val="20"/>
          <w:highlight w:val="none"/>
          <w:lang w:bidi="ar-SA"/>
        </w:rPr>
      </w:pPr>
      <w:r>
        <w:rPr>
          <w:rFonts w:hint="eastAsia" w:ascii="黑体" w:eastAsia="黑体"/>
          <w:sz w:val="21"/>
          <w:szCs w:val="20"/>
          <w:highlight w:val="none"/>
        </w:rPr>
        <w:t>A.7</w:t>
      </w:r>
      <w:r>
        <w:rPr>
          <w:rFonts w:hint="eastAsia" w:ascii="黑体" w:eastAsia="黑体"/>
          <w:sz w:val="21"/>
          <w:szCs w:val="20"/>
          <w:highlight w:val="none"/>
          <w:lang w:val="en-US" w:eastAsia="zh-CN"/>
        </w:rPr>
        <w:t>　</w:t>
      </w:r>
      <w:r>
        <w:rPr>
          <w:rFonts w:hint="eastAsia" w:ascii="黑体" w:eastAsia="黑体"/>
          <w:sz w:val="21"/>
          <w:szCs w:val="20"/>
          <w:highlight w:val="none"/>
        </w:rPr>
        <w:t>投诉处理与公众沟通</w:t>
      </w:r>
    </w:p>
    <w:p w14:paraId="51D85036">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Pr>
      </w:pPr>
      <w:r>
        <w:rPr>
          <w:rFonts w:hint="eastAsia" w:ascii="黑体" w:hAnsi="Times New Roman" w:eastAsia="黑体" w:cs="Times New Roman"/>
          <w:kern w:val="0"/>
          <w:sz w:val="21"/>
          <w:szCs w:val="21"/>
          <w:highlight w:val="none"/>
          <w:lang w:bidi="ar-SA"/>
        </w:rPr>
        <w:t>A.7.1</w:t>
      </w:r>
      <w:r>
        <w:rPr>
          <w:rFonts w:hint="eastAsia" w:ascii="宋体" w:hAnsi="宋体" w:cs="宋体"/>
          <w:color w:val="1F1F1F"/>
          <w:kern w:val="0"/>
          <w:sz w:val="21"/>
          <w:szCs w:val="21"/>
        </w:rPr>
        <w:t>　OMP宜建立异味投诉处理机制，明确投诉受理渠道、责任部门、现场核查、疑似异味源排查、处置反馈、整改跟踪和回访要求。</w:t>
      </w:r>
    </w:p>
    <w:p w14:paraId="6450E4D9">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Pr>
      </w:pPr>
      <w:r>
        <w:rPr>
          <w:rFonts w:hint="eastAsia" w:ascii="黑体" w:hAnsi="Times New Roman" w:eastAsia="黑体" w:cs="Times New Roman"/>
          <w:kern w:val="0"/>
          <w:sz w:val="21"/>
          <w:szCs w:val="21"/>
          <w:highlight w:val="none"/>
          <w:lang w:bidi="ar-SA"/>
        </w:rPr>
        <w:t>A.7.2</w:t>
      </w:r>
      <w:r>
        <w:rPr>
          <w:rFonts w:hint="eastAsia" w:ascii="宋体" w:hAnsi="宋体" w:cs="宋体"/>
          <w:color w:val="1F1F1F"/>
          <w:kern w:val="0"/>
          <w:sz w:val="21"/>
          <w:szCs w:val="21"/>
        </w:rPr>
        <w:t>　企业宜结合行业特点、厂区安全要求和周边环境敏感程度，建立公众沟通机制。具备条件的企业可通过信息公开栏、电子显示屏、企业开放日、公众座谈、热线电话等方式，说明异味治理措施、投诉响应渠道和整改进展。</w:t>
      </w:r>
    </w:p>
    <w:p w14:paraId="03537732">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tl w:val="0"/>
        </w:rPr>
      </w:pPr>
      <w:r>
        <w:rPr>
          <w:rFonts w:hint="eastAsia" w:ascii="黑体" w:hAnsi="Times New Roman" w:eastAsia="黑体"/>
          <w:kern w:val="0"/>
          <w:sz w:val="21"/>
          <w:szCs w:val="21"/>
        </w:rPr>
        <w:t>A.7.</w:t>
      </w:r>
      <w:r>
        <w:rPr>
          <w:rFonts w:hint="eastAsia" w:ascii="黑体" w:hAnsi="Times New Roman" w:eastAsia="黑体"/>
          <w:kern w:val="0"/>
          <w:sz w:val="21"/>
          <w:szCs w:val="21"/>
          <w:lang w:val="en-US" w:eastAsia="zh-CN"/>
        </w:rPr>
        <w:t>3</w:t>
      </w:r>
      <w:r>
        <w:rPr>
          <w:rFonts w:hint="eastAsia" w:ascii="宋体" w:hAnsi="宋体" w:cs="宋体"/>
          <w:color w:val="1F1F1F"/>
          <w:kern w:val="0"/>
          <w:sz w:val="21"/>
          <w:szCs w:val="21"/>
        </w:rPr>
        <w:t>　</w:t>
      </w:r>
      <w:r>
        <w:rPr>
          <w:rFonts w:hint="eastAsia" w:ascii="宋体" w:hAnsi="宋体" w:cs="宋体"/>
          <w:color w:val="1F1F1F"/>
          <w:kern w:val="0"/>
          <w:sz w:val="21"/>
          <w:szCs w:val="21"/>
          <w:rtl w:val="0"/>
        </w:rPr>
        <w:t>发生查实异味投诉或异味污染事件时，企业宜及时向投诉人反馈核查和处置情况，并按园区或属地管理要求做好信息沟通；投诉记录、调查结论、整改措施及回访情况宜纳入OMP管理档案。</w:t>
      </w:r>
    </w:p>
    <w:p w14:paraId="087DC05D">
      <w:pPr>
        <w:pStyle w:val="59"/>
        <w:spacing w:before="157" w:beforeLines="50" w:after="157" w:afterLines="50"/>
        <w:ind w:firstLine="0" w:firstLineChars="0"/>
        <w:rPr>
          <w:rFonts w:hint="eastAsia" w:ascii="黑体" w:hAnsi="Times New Roman" w:eastAsia="黑体" w:cs="Times New Roman"/>
          <w:sz w:val="21"/>
          <w:szCs w:val="20"/>
          <w:highlight w:val="none"/>
        </w:rPr>
      </w:pPr>
      <w:r>
        <w:rPr>
          <w:rFonts w:hint="eastAsia" w:ascii="黑体" w:hAnsi="Times New Roman" w:eastAsia="黑体" w:cs="Times New Roman"/>
          <w:sz w:val="21"/>
          <w:szCs w:val="20"/>
          <w:highlight w:val="none"/>
        </w:rPr>
        <w:t>A.8</w:t>
      </w:r>
      <w:r>
        <w:rPr>
          <w:rFonts w:hint="eastAsia" w:ascii="黑体" w:hAnsi="Times New Roman" w:eastAsia="黑体" w:cs="Times New Roman"/>
          <w:sz w:val="21"/>
          <w:szCs w:val="20"/>
          <w:highlight w:val="none"/>
          <w:lang w:val="en-US" w:eastAsia="zh-CN"/>
        </w:rPr>
        <w:t>　</w:t>
      </w:r>
      <w:r>
        <w:rPr>
          <w:rFonts w:hint="eastAsia" w:ascii="黑体" w:hAnsi="Times New Roman" w:eastAsia="黑体" w:cs="Times New Roman"/>
          <w:sz w:val="21"/>
          <w:szCs w:val="20"/>
          <w:highlight w:val="none"/>
        </w:rPr>
        <w:t>评估更新与持续改进</w:t>
      </w:r>
    </w:p>
    <w:p w14:paraId="303643FD">
      <w:pPr>
        <w:pStyle w:val="59"/>
        <w:autoSpaceDE/>
        <w:autoSpaceDN/>
        <w:spacing w:after="0"/>
        <w:ind w:firstLine="0" w:firstLineChars="0"/>
        <w:rPr>
          <w:rFonts w:hint="eastAsia" w:ascii="宋体" w:hAnsi="宋体" w:eastAsia="宋体" w:cs="宋体"/>
          <w:sz w:val="21"/>
          <w:szCs w:val="21"/>
          <w:highlight w:val="none"/>
        </w:rPr>
      </w:pPr>
      <w:r>
        <w:rPr>
          <w:rFonts w:hint="eastAsia" w:ascii="黑体" w:hAnsi="Times New Roman" w:eastAsia="黑体" w:cs="Times New Roman"/>
          <w:sz w:val="21"/>
          <w:szCs w:val="21"/>
          <w:highlight w:val="none"/>
        </w:rPr>
        <w:t>A.8.1</w:t>
      </w:r>
      <w:r>
        <w:rPr>
          <w:rFonts w:hint="eastAsia" w:ascii="宋体" w:hAnsi="宋体" w:eastAsia="宋体" w:cs="宋体"/>
          <w:sz w:val="21"/>
          <w:szCs w:val="21"/>
          <w:highlight w:val="none"/>
        </w:rPr>
        <w:t>　企业宜定期评估OMP实施效果，评估内容可包括异味源清单更新情况、风险分级变化、控制措施落实情况、监测和巡查结果、治理设施运行状况、异常工况处置、投诉处理和公众沟通情况等。</w:t>
      </w:r>
    </w:p>
    <w:p w14:paraId="4A9EC05A">
      <w:pPr>
        <w:pStyle w:val="59"/>
        <w:autoSpaceDE/>
        <w:autoSpaceDN/>
        <w:spacing w:after="0"/>
        <w:ind w:firstLine="0" w:firstLineChars="0"/>
        <w:rPr>
          <w:rFonts w:hint="eastAsia" w:ascii="宋体" w:hAnsi="宋体" w:eastAsia="宋体" w:cs="宋体"/>
          <w:sz w:val="21"/>
          <w:szCs w:val="21"/>
          <w:highlight w:val="none"/>
        </w:rPr>
      </w:pPr>
      <w:r>
        <w:rPr>
          <w:rFonts w:hint="eastAsia" w:ascii="黑体" w:hAnsi="Times New Roman" w:eastAsia="黑体" w:cs="Times New Roman"/>
          <w:sz w:val="21"/>
          <w:szCs w:val="21"/>
          <w:highlight w:val="none"/>
        </w:rPr>
        <w:t>A.8.2</w:t>
      </w:r>
      <w:r>
        <w:rPr>
          <w:rFonts w:hint="eastAsia" w:ascii="宋体" w:hAnsi="宋体" w:eastAsia="宋体" w:cs="宋体"/>
          <w:sz w:val="21"/>
          <w:szCs w:val="21"/>
          <w:highlight w:val="none"/>
        </w:rPr>
        <w:t>　企业宜基于OMP评估结果，识别异味污染防治薄弱环节，形成问题清单和改进措施，并明确责任部门、完成时限和跟踪验证要求。</w:t>
      </w:r>
    </w:p>
    <w:p w14:paraId="134B7642">
      <w:pPr>
        <w:pStyle w:val="59"/>
        <w:autoSpaceDE/>
        <w:autoSpaceDN/>
        <w:spacing w:after="0"/>
        <w:ind w:firstLine="0" w:firstLineChars="0"/>
        <w:rPr>
          <w:rFonts w:hint="eastAsia" w:ascii="宋体" w:hAnsi="宋体" w:eastAsia="宋体" w:cs="宋体"/>
          <w:sz w:val="21"/>
          <w:szCs w:val="21"/>
          <w:highlight w:val="none"/>
        </w:rPr>
      </w:pPr>
      <w:r>
        <w:rPr>
          <w:rFonts w:hint="eastAsia" w:ascii="黑体" w:hAnsi="Times New Roman" w:eastAsia="黑体" w:cs="Times New Roman"/>
          <w:sz w:val="21"/>
          <w:szCs w:val="21"/>
          <w:highlight w:val="none"/>
        </w:rPr>
        <w:t>A.8.3</w:t>
      </w:r>
      <w:r>
        <w:rPr>
          <w:rFonts w:hint="eastAsia" w:ascii="宋体" w:hAnsi="宋体" w:eastAsia="宋体" w:cs="宋体"/>
          <w:sz w:val="21"/>
          <w:szCs w:val="21"/>
          <w:highlight w:val="none"/>
        </w:rPr>
        <w:t>　企业可将OMP执行情况纳入内部环境管理考核或运行管理评价，推动异味污染防治责任落实和管理水平持续提升。</w:t>
      </w:r>
    </w:p>
    <w:p w14:paraId="208AF371">
      <w:pPr>
        <w:rPr>
          <w:rFonts w:hint="eastAsia" w:ascii="宋体" w:hAnsi="宋体" w:cs="宋体"/>
          <w:highlight w:val="none"/>
        </w:rPr>
      </w:pPr>
      <w:r>
        <w:rPr>
          <w:rFonts w:hint="eastAsia" w:ascii="宋体" w:hAnsi="宋体" w:cs="宋体"/>
          <w:highlight w:val="none"/>
        </w:rPr>
        <w:br w:type="page"/>
      </w:r>
    </w:p>
    <w:p w14:paraId="78D360C3">
      <w:pPr>
        <w:pStyle w:val="79"/>
        <w:spacing w:before="78" w:after="156"/>
        <w:rPr>
          <w:highlight w:val="none"/>
        </w:rPr>
      </w:pPr>
      <w:bookmarkStart w:id="84" w:name="_Toc32567"/>
      <w:r>
        <w:rPr>
          <w:rFonts w:hint="eastAsia"/>
          <w:highlight w:val="none"/>
        </w:rPr>
        <w:br w:type="textWrapping"/>
      </w:r>
      <w:r>
        <w:rPr>
          <w:rFonts w:hint="eastAsia"/>
          <w:highlight w:val="none"/>
        </w:rPr>
        <w:t>（资料性）</w:t>
      </w:r>
      <w:r>
        <w:rPr>
          <w:highlight w:val="none"/>
        </w:rPr>
        <w:br w:type="textWrapping"/>
      </w:r>
      <w:r>
        <w:rPr>
          <w:rFonts w:hint="eastAsia"/>
          <w:highlight w:val="none"/>
        </w:rPr>
        <w:t>无异味工厂建设指标解释及判定说明</w:t>
      </w:r>
      <w:bookmarkEnd w:id="84"/>
    </w:p>
    <w:p w14:paraId="7F453E4C">
      <w:pPr>
        <w:pStyle w:val="59"/>
        <w:spacing w:before="157" w:beforeLines="50" w:after="157" w:afterLines="50"/>
        <w:ind w:firstLine="0" w:firstLineChars="0"/>
        <w:rPr>
          <w:highlight w:val="none"/>
        </w:rPr>
      </w:pPr>
    </w:p>
    <w:p w14:paraId="676F1C30">
      <w:pPr>
        <w:pStyle w:val="59"/>
        <w:spacing w:before="157" w:beforeLines="50" w:after="157" w:afterLines="50"/>
        <w:ind w:firstLine="0" w:firstLineChars="0"/>
        <w:rPr>
          <w:rFonts w:hint="eastAsia" w:ascii="黑体" w:eastAsia="黑体"/>
          <w:highlight w:val="none"/>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1</w:t>
      </w:r>
      <w:r>
        <w:rPr>
          <w:rFonts w:hint="eastAsia" w:ascii="黑体" w:hAnsi="Times New Roman" w:eastAsia="黑体" w:cs="Times New Roman"/>
          <w:b w:val="0"/>
          <w:i w:val="0"/>
          <w:sz w:val="21"/>
          <w:highlight w:val="none"/>
          <w:lang w:val="en-US" w:eastAsia="zh-CN" w:bidi="ar-SA"/>
        </w:rPr>
        <w:t>　</w:t>
      </w:r>
      <w:r>
        <w:rPr>
          <w:rFonts w:hint="eastAsia" w:ascii="黑体" w:eastAsia="黑体"/>
          <w:highlight w:val="none"/>
        </w:rPr>
        <w:t>厂界臭气浓度</w:t>
      </w:r>
    </w:p>
    <w:p w14:paraId="72391E5E">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1.1</w:t>
      </w:r>
      <w:r>
        <w:rPr>
          <w:rFonts w:hint="eastAsia" w:ascii="宋体" w:hAnsi="Times New Roman" w:eastAsia="宋体" w:cs="Times New Roman"/>
          <w:b w:val="0"/>
          <w:i w:val="0"/>
          <w:sz w:val="21"/>
          <w:highlight w:val="none"/>
          <w:lang w:val="en-US" w:eastAsia="zh-CN" w:bidi="ar-SA"/>
        </w:rPr>
        <w:t>　指标解释：指在工厂厂界监控点，按照国家或地方规定的监测方法采集空气样品，经嗅辨分析获得的臭气浓度值。</w:t>
      </w:r>
    </w:p>
    <w:p w14:paraId="341DAECF">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.1.2</w:t>
      </w:r>
      <w:r>
        <w:rPr>
          <w:rFonts w:hint="eastAsia" w:ascii="宋体" w:hAnsi="Times New Roman" w:eastAsia="宋体" w:cs="Times New Roman"/>
          <w:b w:val="0"/>
          <w:i w:val="0"/>
          <w:sz w:val="21"/>
          <w:highlight w:val="none"/>
          <w:lang w:val="en-US" w:eastAsia="zh-CN" w:bidi="ar-SA"/>
        </w:rPr>
        <w:t>　判定</w:t>
      </w:r>
      <w:r>
        <w:rPr>
          <w:rFonts w:hint="eastAsia" w:cs="Times New Roman"/>
          <w:b w:val="0"/>
          <w:i w:val="0"/>
          <w:sz w:val="21"/>
          <w:highlight w:val="none"/>
          <w:lang w:val="en-US" w:eastAsia="zh-CN" w:bidi="ar-SA"/>
        </w:rPr>
        <w:t>说明</w:t>
      </w:r>
      <w:r>
        <w:rPr>
          <w:rFonts w:hint="eastAsia" w:ascii="宋体" w:hAnsi="Times New Roman" w:eastAsia="宋体" w:cs="Times New Roman"/>
          <w:b w:val="0"/>
          <w:i w:val="0"/>
          <w:sz w:val="21"/>
          <w:highlight w:val="none"/>
          <w:lang w:val="en-US" w:eastAsia="zh-CN" w:bidi="ar-SA"/>
        </w:rPr>
        <w:t>：厂界臭气浓度应满足国家或地方恶臭污染物排放标准要求。开展自评时，宜结合企业异味源分布、主导风向、周边敏感目标和历史投诉情况布设监测点位，重点关注靠近敏感目标一侧厂界及异味投诉关联区域。</w:t>
      </w:r>
    </w:p>
    <w:p w14:paraId="5B0520E0">
      <w:pPr>
        <w:pStyle w:val="59"/>
        <w:spacing w:before="157" w:beforeLines="50" w:after="157" w:afterLines="50"/>
        <w:ind w:firstLine="0" w:firstLineChars="0"/>
        <w:rPr>
          <w:rFonts w:hint="eastAsia" w:ascii="黑体" w:eastAsia="黑体"/>
          <w:highlight w:val="none"/>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.1.3</w:t>
      </w:r>
      <w:r>
        <w:rPr>
          <w:rFonts w:hint="eastAsia" w:ascii="宋体" w:hAnsi="Times New Roman" w:eastAsia="宋体" w:cs="Times New Roman"/>
          <w:b w:val="0"/>
          <w:i w:val="0"/>
          <w:sz w:val="21"/>
          <w:highlight w:val="none"/>
          <w:lang w:val="en-US" w:eastAsia="zh-CN" w:bidi="ar-SA"/>
        </w:rPr>
        <w:t>　数据来源：具备相应资质的第三方环境监测机构出具的监测报告，或符合法律法规和标准要求的企业自行监测记录。</w:t>
      </w:r>
    </w:p>
    <w:p w14:paraId="4E4E733F">
      <w:pPr>
        <w:pStyle w:val="59"/>
        <w:spacing w:before="157" w:beforeLines="50" w:after="157" w:afterLines="50"/>
        <w:ind w:firstLine="0" w:firstLineChars="0"/>
        <w:rPr>
          <w:rFonts w:hint="eastAsia" w:ascii="黑体" w:eastAsia="黑体"/>
          <w:highlight w:val="none"/>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2</w:t>
      </w:r>
      <w:r>
        <w:rPr>
          <w:rFonts w:hint="eastAsia" w:ascii="黑体" w:hAnsi="Times New Roman" w:eastAsia="黑体" w:cs="Times New Roman"/>
          <w:b w:val="0"/>
          <w:i w:val="0"/>
          <w:sz w:val="21"/>
          <w:highlight w:val="none"/>
          <w:lang w:val="en-US" w:eastAsia="zh-CN" w:bidi="ar-SA"/>
        </w:rPr>
        <w:t>　</w:t>
      </w:r>
      <w:r>
        <w:rPr>
          <w:rFonts w:hint="eastAsia" w:ascii="黑体" w:eastAsia="黑体"/>
          <w:highlight w:val="none"/>
        </w:rPr>
        <w:t>特征异味污染物浓度</w:t>
      </w:r>
    </w:p>
    <w:p w14:paraId="7E4990C3">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2.1</w:t>
      </w:r>
      <w:r>
        <w:rPr>
          <w:rFonts w:hint="eastAsia" w:ascii="宋体" w:hAnsi="Times New Roman" w:eastAsia="宋体" w:cs="Times New Roman"/>
          <w:b w:val="0"/>
          <w:i w:val="0"/>
          <w:sz w:val="21"/>
          <w:highlight w:val="none"/>
          <w:lang w:val="en-US" w:eastAsia="zh-CN" w:bidi="ar-SA"/>
        </w:rPr>
        <w:t>　指标解释：指企业排放废气或厂界环境空气中，对异味贡献较大、嗅阈值较低或具有典型气味特征的污染物浓度。典型污染物可包括硫化氢、氨、甲硫醇、甲硫醚、二甲二硫、三甲胺、苯乙烯、丙烯酸酯类等，具体指标应结合企业行业类型、原辅材料、生产工艺、异味特征和监测条件确定。</w:t>
      </w:r>
    </w:p>
    <w:p w14:paraId="79990852">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.2.2</w:t>
      </w:r>
      <w:r>
        <w:rPr>
          <w:rFonts w:hint="eastAsia" w:ascii="宋体" w:hAnsi="Times New Roman" w:eastAsia="宋体" w:cs="Times New Roman"/>
          <w:b w:val="0"/>
          <w:i w:val="0"/>
          <w:sz w:val="21"/>
          <w:highlight w:val="none"/>
          <w:lang w:val="en-US" w:eastAsia="zh-CN" w:bidi="ar-SA"/>
        </w:rPr>
        <w:t>　判定</w:t>
      </w:r>
      <w:r>
        <w:rPr>
          <w:rFonts w:hint="eastAsia" w:cs="Times New Roman"/>
          <w:b w:val="0"/>
          <w:i w:val="0"/>
          <w:sz w:val="21"/>
          <w:highlight w:val="none"/>
          <w:lang w:val="en-US" w:eastAsia="zh-CN" w:bidi="ar-SA"/>
        </w:rPr>
        <w:t>说明</w:t>
      </w:r>
      <w:r>
        <w:rPr>
          <w:rFonts w:hint="eastAsia" w:ascii="宋体" w:hAnsi="Times New Roman" w:eastAsia="宋体" w:cs="Times New Roman"/>
          <w:b w:val="0"/>
          <w:i w:val="0"/>
          <w:sz w:val="21"/>
          <w:highlight w:val="none"/>
          <w:lang w:val="en-US" w:eastAsia="zh-CN" w:bidi="ar-SA"/>
        </w:rPr>
        <w:t>：特征异味污染物浓度应满足国家或地方相关排放标准要求。表1中“≤排放标准限值的75%”为创建控制目标，用于体现优于稳定达标的创建导向；国家或地方标准未规定限值的，可结合嗅阈值、异味活度、历史监测数据、投诉溯源结果和专家论证意见开展综合分析，不宜简单套用固定比例。</w:t>
      </w:r>
    </w:p>
    <w:p w14:paraId="4D460BDC">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.2.3</w:t>
      </w:r>
      <w:r>
        <w:rPr>
          <w:rFonts w:hint="eastAsia" w:ascii="宋体" w:hAnsi="Times New Roman" w:eastAsia="宋体" w:cs="Times New Roman"/>
          <w:b w:val="0"/>
          <w:i w:val="0"/>
          <w:sz w:val="21"/>
          <w:highlight w:val="none"/>
          <w:lang w:val="en-US" w:eastAsia="zh-CN" w:bidi="ar-SA"/>
        </w:rPr>
        <w:t>　数据来源：第三方环境监测报告、企业自行监测记录、在线监测或便携监测数据、异味溯源分析报告等。</w:t>
      </w:r>
    </w:p>
    <w:p w14:paraId="30952F6D">
      <w:pPr>
        <w:pStyle w:val="59"/>
        <w:spacing w:before="157" w:beforeLines="50" w:after="157" w:afterLines="50"/>
        <w:ind w:firstLine="0" w:firstLineChars="0"/>
        <w:rPr>
          <w:rFonts w:hint="eastAsia" w:ascii="黑体" w:eastAsia="黑体"/>
          <w:highlight w:val="none"/>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3</w:t>
      </w:r>
      <w:r>
        <w:rPr>
          <w:rFonts w:hint="eastAsia" w:ascii="黑体" w:hAnsi="Times New Roman" w:eastAsia="黑体" w:cs="Times New Roman"/>
          <w:b w:val="0"/>
          <w:i w:val="0"/>
          <w:sz w:val="21"/>
          <w:highlight w:val="none"/>
          <w:lang w:val="en-US" w:eastAsia="zh-CN" w:bidi="ar-SA"/>
        </w:rPr>
        <w:t>　</w:t>
      </w:r>
      <w:r>
        <w:rPr>
          <w:rFonts w:hint="eastAsia" w:ascii="黑体" w:eastAsia="黑体"/>
          <w:highlight w:val="none"/>
          <w:lang w:val="en-US" w:eastAsia="zh-CN"/>
        </w:rPr>
        <w:t>查实异味投诉整改闭环率</w:t>
      </w:r>
    </w:p>
    <w:p w14:paraId="7B2D79B2">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3.1</w:t>
      </w:r>
      <w:r>
        <w:rPr>
          <w:rFonts w:hint="eastAsia" w:ascii="宋体" w:hAnsi="Times New Roman" w:eastAsia="宋体" w:cs="Times New Roman"/>
          <w:b w:val="0"/>
          <w:i w:val="0"/>
          <w:sz w:val="21"/>
          <w:highlight w:val="none"/>
          <w:lang w:val="en-US" w:eastAsia="zh-CN" w:bidi="ar-SA"/>
        </w:rPr>
        <w:t>　指标解释：指</w:t>
      </w:r>
      <w:r>
        <w:rPr>
          <w:rFonts w:hint="eastAsia" w:cs="Times New Roman"/>
          <w:b w:val="0"/>
          <w:i w:val="0"/>
          <w:sz w:val="21"/>
          <w:highlight w:val="none"/>
          <w:lang w:val="en-US" w:eastAsia="zh-CN" w:bidi="ar-SA"/>
        </w:rPr>
        <w:t>创建</w:t>
      </w:r>
      <w:r>
        <w:rPr>
          <w:rFonts w:hint="eastAsia" w:ascii="宋体" w:hAnsi="Times New Roman" w:eastAsia="宋体" w:cs="Times New Roman"/>
          <w:b w:val="0"/>
          <w:i w:val="0"/>
          <w:sz w:val="21"/>
          <w:highlight w:val="none"/>
          <w:lang w:val="en-US" w:eastAsia="zh-CN" w:bidi="ar-SA"/>
        </w:rPr>
        <w:t>周期内经生态环境部门、园区管理机构、属地管理部门或企业核查确认与本企业有关的异味投诉，完成原因排查、整改处置、结果反馈和资料归档的比例。</w:t>
      </w:r>
    </w:p>
    <w:p w14:paraId="7CEAE294">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.3.2</w:t>
      </w:r>
      <w:r>
        <w:rPr>
          <w:rFonts w:hint="eastAsia" w:ascii="宋体" w:hAnsi="Times New Roman" w:eastAsia="宋体" w:cs="Times New Roman"/>
          <w:b w:val="0"/>
          <w:i w:val="0"/>
          <w:sz w:val="21"/>
          <w:highlight w:val="none"/>
          <w:lang w:val="en-US" w:eastAsia="zh-CN" w:bidi="ar-SA"/>
        </w:rPr>
        <w:t>　判定</w:t>
      </w:r>
      <w:r>
        <w:rPr>
          <w:rFonts w:hint="eastAsia" w:cs="Times New Roman"/>
          <w:b w:val="0"/>
          <w:i w:val="0"/>
          <w:sz w:val="21"/>
          <w:highlight w:val="none"/>
          <w:lang w:val="en-US" w:eastAsia="zh-CN" w:bidi="ar-SA"/>
        </w:rPr>
        <w:t>说明</w:t>
      </w:r>
      <w:r>
        <w:rPr>
          <w:rFonts w:hint="eastAsia" w:ascii="宋体" w:hAnsi="Times New Roman" w:eastAsia="宋体" w:cs="Times New Roman"/>
          <w:b w:val="0"/>
          <w:i w:val="0"/>
          <w:sz w:val="21"/>
          <w:highlight w:val="none"/>
          <w:lang w:val="en-US" w:eastAsia="zh-CN" w:bidi="ar-SA"/>
        </w:rPr>
        <w:t>：闭环处置宜至少包括投诉受理、现场核查、生产工况核对、疑似异味源排查、整改或控制措施、反馈或回访记录、资料归档等环节。经核查不属于本企业原因的投诉，可不计入查实异味投诉总数，但应保存核查说明。</w:t>
      </w:r>
    </w:p>
    <w:p w14:paraId="4F11B813">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.3.3</w:t>
      </w:r>
      <w:r>
        <w:rPr>
          <w:rFonts w:hint="eastAsia" w:ascii="宋体" w:hAnsi="Times New Roman" w:eastAsia="宋体" w:cs="Times New Roman"/>
          <w:b w:val="0"/>
          <w:i w:val="0"/>
          <w:sz w:val="21"/>
          <w:highlight w:val="none"/>
          <w:lang w:val="en-US" w:eastAsia="zh-CN" w:bidi="ar-SA"/>
        </w:rPr>
        <w:t>　数据来源：投诉处理台账、12345或相关投诉派单记录、现场核查记录、整改记录、回访记录、园区或属地管理部门反馈材料等。</w:t>
      </w:r>
    </w:p>
    <w:p w14:paraId="3295CBC7">
      <w:pPr>
        <w:pStyle w:val="59"/>
        <w:spacing w:before="157" w:beforeLines="50" w:after="157" w:afterLines="50"/>
        <w:ind w:firstLine="0" w:firstLineChars="0"/>
        <w:rPr>
          <w:rFonts w:hint="eastAsia" w:ascii="黑体" w:eastAsia="黑体"/>
          <w:highlight w:val="none"/>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4</w:t>
      </w:r>
      <w:r>
        <w:rPr>
          <w:rFonts w:hint="eastAsia" w:ascii="黑体" w:hAnsi="Times New Roman" w:eastAsia="黑体" w:cs="Times New Roman"/>
          <w:b w:val="0"/>
          <w:i w:val="0"/>
          <w:sz w:val="21"/>
          <w:highlight w:val="none"/>
          <w:lang w:val="en-US" w:eastAsia="zh-CN" w:bidi="ar-SA"/>
        </w:rPr>
        <w:t>　</w:t>
      </w:r>
      <w:r>
        <w:rPr>
          <w:rFonts w:hint="eastAsia" w:ascii="黑体" w:eastAsia="黑体"/>
          <w:highlight w:val="none"/>
        </w:rPr>
        <w:t>重大环境安全事故或重大社会影响事件</w:t>
      </w:r>
    </w:p>
    <w:p w14:paraId="3C66E4EC">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4.1</w:t>
      </w:r>
      <w:r>
        <w:rPr>
          <w:rFonts w:hint="eastAsia" w:ascii="宋体" w:hAnsi="Times New Roman" w:eastAsia="宋体" w:cs="Times New Roman"/>
          <w:b w:val="0"/>
          <w:i w:val="0"/>
          <w:sz w:val="21"/>
          <w:highlight w:val="none"/>
          <w:lang w:val="en-US" w:eastAsia="zh-CN" w:bidi="ar-SA"/>
        </w:rPr>
        <w:t>　指标解释：指</w:t>
      </w:r>
      <w:r>
        <w:rPr>
          <w:rFonts w:hint="eastAsia" w:cs="Times New Roman"/>
          <w:b w:val="0"/>
          <w:i w:val="0"/>
          <w:sz w:val="21"/>
          <w:highlight w:val="none"/>
          <w:lang w:val="en-US" w:eastAsia="zh-CN" w:bidi="ar-SA"/>
        </w:rPr>
        <w:t>创建</w:t>
      </w:r>
      <w:r>
        <w:rPr>
          <w:rFonts w:hint="eastAsia" w:ascii="宋体" w:hAnsi="Times New Roman" w:eastAsia="宋体" w:cs="Times New Roman"/>
          <w:b w:val="0"/>
          <w:i w:val="0"/>
          <w:sz w:val="21"/>
          <w:highlight w:val="none"/>
          <w:lang w:val="en-US" w:eastAsia="zh-CN" w:bidi="ar-SA"/>
        </w:rPr>
        <w:t>周期内企业发生的重大环境污染事故、生产安全事故，或因异味问题引发的重大社会影响事件。</w:t>
      </w:r>
    </w:p>
    <w:p w14:paraId="29B4EAF3">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.4.2</w:t>
      </w:r>
      <w:r>
        <w:rPr>
          <w:rFonts w:hint="eastAsia" w:ascii="宋体" w:hAnsi="Times New Roman" w:eastAsia="宋体" w:cs="Times New Roman"/>
          <w:b w:val="0"/>
          <w:i w:val="0"/>
          <w:sz w:val="21"/>
          <w:highlight w:val="none"/>
          <w:lang w:val="en-US" w:eastAsia="zh-CN" w:bidi="ar-SA"/>
        </w:rPr>
        <w:t>　判定</w:t>
      </w:r>
      <w:r>
        <w:rPr>
          <w:rFonts w:hint="eastAsia" w:cs="Times New Roman"/>
          <w:b w:val="0"/>
          <w:i w:val="0"/>
          <w:sz w:val="21"/>
          <w:highlight w:val="none"/>
          <w:lang w:val="en-US" w:eastAsia="zh-CN" w:bidi="ar-SA"/>
        </w:rPr>
        <w:t>说明</w:t>
      </w:r>
      <w:r>
        <w:rPr>
          <w:rFonts w:hint="eastAsia" w:ascii="宋体" w:hAnsi="Times New Roman" w:eastAsia="宋体" w:cs="Times New Roman"/>
          <w:b w:val="0"/>
          <w:i w:val="0"/>
          <w:sz w:val="21"/>
          <w:highlight w:val="none"/>
          <w:lang w:val="en-US" w:eastAsia="zh-CN" w:bidi="ar-SA"/>
        </w:rPr>
        <w:t>：过去3年内未发生重大环境污染事故、生产安全事故或因异味问题引发的重大社会影响事件的，可视为满足本项创建要求。事件性质宜依据生态环境、应急管理、属地政府或相关主管部门出具的通报、认定、处罚、调查结论等材料判断。</w:t>
      </w:r>
    </w:p>
    <w:p w14:paraId="6EBF8A10">
      <w:pPr>
        <w:pStyle w:val="59"/>
        <w:spacing w:before="157" w:beforeLines="50" w:after="157" w:afterLines="50"/>
        <w:ind w:firstLine="0" w:firstLineChars="0"/>
        <w:rPr>
          <w:highlight w:val="none"/>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.4.3</w:t>
      </w:r>
      <w:r>
        <w:rPr>
          <w:rFonts w:hint="eastAsia" w:ascii="宋体" w:hAnsi="Times New Roman" w:eastAsia="宋体" w:cs="Times New Roman"/>
          <w:b w:val="0"/>
          <w:i w:val="0"/>
          <w:sz w:val="21"/>
          <w:highlight w:val="none"/>
          <w:lang w:val="en-US" w:eastAsia="zh-CN" w:bidi="ar-SA"/>
        </w:rPr>
        <w:t>　数据来源：主管部门通报、行政处罚决定书、事故调查报告、企业事故记录、应急管理记录、公开信息等。</w:t>
      </w:r>
    </w:p>
    <w:p w14:paraId="5E940EDC">
      <w:pPr>
        <w:pStyle w:val="59"/>
        <w:spacing w:before="157" w:beforeLines="50" w:after="157" w:afterLines="50"/>
        <w:ind w:firstLine="0" w:firstLineChars="0"/>
        <w:rPr>
          <w:rFonts w:hint="eastAsia" w:ascii="黑体" w:eastAsia="黑体"/>
          <w:highlight w:val="none"/>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5</w:t>
      </w:r>
      <w:r>
        <w:rPr>
          <w:rFonts w:hint="eastAsia" w:ascii="黑体" w:hAnsi="Times New Roman" w:eastAsia="黑体" w:cs="Times New Roman"/>
          <w:b w:val="0"/>
          <w:i w:val="0"/>
          <w:sz w:val="21"/>
          <w:highlight w:val="none"/>
          <w:lang w:val="en-US" w:eastAsia="zh-CN" w:bidi="ar-SA"/>
        </w:rPr>
        <w:t>　</w:t>
      </w:r>
      <w:r>
        <w:rPr>
          <w:rFonts w:hint="eastAsia" w:ascii="黑体" w:eastAsia="黑体"/>
          <w:highlight w:val="none"/>
        </w:rPr>
        <w:t>感官评价</w:t>
      </w:r>
    </w:p>
    <w:p w14:paraId="04288DC5">
      <w:pPr>
        <w:spacing w:before="157" w:beforeLines="50" w:after="157" w:afterLines="50" w:line="240" w:lineRule="auto"/>
        <w:rPr>
          <w:rFonts w:hint="eastAsia" w:ascii="宋体" w:hAnsi="Times New Roman" w:eastAsia="宋体" w:cs="Times New Roman"/>
          <w:b w:val="0"/>
          <w:i w:val="0"/>
          <w:sz w:val="21"/>
          <w:highlight w:val="none"/>
          <w:lang w:val="en-US" w:eastAsia="zh-CN" w:bidi="ar-SA"/>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5.1</w:t>
      </w:r>
      <w:r>
        <w:rPr>
          <w:rFonts w:hint="eastAsia" w:ascii="宋体" w:hAnsi="Times New Roman" w:eastAsia="宋体" w:cs="Times New Roman"/>
          <w:b w:val="0"/>
          <w:i w:val="0"/>
          <w:sz w:val="21"/>
          <w:highlight w:val="none"/>
          <w:lang w:val="en-US" w:eastAsia="zh-CN" w:bidi="ar-SA"/>
        </w:rPr>
        <w:t>　指标解释：指通过现场巡查、人工嗅辨、公众反馈或第三方评估等方式，对厂界及周边敏感目标是否存在明显异味影响进行判断。</w:t>
      </w:r>
    </w:p>
    <w:p w14:paraId="6265ABAD">
      <w:pPr>
        <w:spacing w:before="157" w:beforeLines="50" w:after="157" w:afterLines="50" w:line="240" w:lineRule="auto"/>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Calibri" w:eastAsia="黑体" w:cs="Times New Roman"/>
          <w:b w:val="0"/>
          <w:i w:val="0"/>
          <w:sz w:val="21"/>
          <w:highlight w:val="none"/>
          <w:lang w:val="en-US" w:eastAsia="zh-CN" w:bidi="ar-SA"/>
        </w:rPr>
        <w:t>.5.2</w:t>
      </w:r>
      <w:r>
        <w:rPr>
          <w:rFonts w:hint="eastAsia" w:ascii="宋体" w:hAnsi="Times New Roman" w:eastAsia="宋体" w:cs="Times New Roman"/>
          <w:b w:val="0"/>
          <w:i w:val="0"/>
          <w:sz w:val="21"/>
          <w:highlight w:val="none"/>
          <w:lang w:val="en-US" w:eastAsia="zh-CN" w:bidi="ar-SA"/>
        </w:rPr>
        <w:t>　判定说明：感官评价宜重点关注厂界、靠近敏感目标一侧厂界、历史投诉关联区域及周边敏感目标。开展自评时，宜覆盖夜间、凌晨、低风速、静稳、逆温等异味易感知或扩散不利时段。感官评价结果不宜单独作为创建结论，应与臭气浓度、特征异味污染物、现场工况、气象条件和投诉情况综合分析。</w:t>
      </w:r>
    </w:p>
    <w:p w14:paraId="63217B32">
      <w:pPr>
        <w:spacing w:before="157" w:beforeLines="50" w:after="157" w:afterLines="50" w:line="240" w:lineRule="auto"/>
        <w:rPr>
          <w:rFonts w:hint="eastAsia" w:ascii="宋体" w:hAnsi="Times New Roman"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Calibri" w:eastAsia="黑体" w:cs="Times New Roman"/>
          <w:b w:val="0"/>
          <w:i w:val="0"/>
          <w:sz w:val="21"/>
          <w:highlight w:val="none"/>
          <w:lang w:val="en-US" w:eastAsia="zh-CN" w:bidi="ar-SA"/>
        </w:rPr>
        <w:t>.5.3</w:t>
      </w:r>
      <w:r>
        <w:rPr>
          <w:rFonts w:hint="eastAsia" w:ascii="宋体" w:hAnsi="Times New Roman" w:eastAsia="宋体" w:cs="Times New Roman"/>
          <w:b w:val="0"/>
          <w:i w:val="0"/>
          <w:sz w:val="21"/>
          <w:highlight w:val="none"/>
          <w:lang w:val="en-US" w:eastAsia="zh-CN" w:bidi="ar-SA"/>
        </w:rPr>
        <w:t>　数据来源：现场巡查记录、人工嗅辨记录、公众反馈记录、第三方评估报告、投诉核查记录等</w:t>
      </w:r>
      <w:r>
        <w:rPr>
          <w:rFonts w:hint="eastAsia" w:ascii="宋体" w:hAnsi="Times New Roman" w:cs="Times New Roman"/>
          <w:b w:val="0"/>
          <w:i w:val="0"/>
          <w:sz w:val="21"/>
          <w:highlight w:val="none"/>
          <w:lang w:val="en-US" w:eastAsia="zh-CN" w:bidi="ar-SA"/>
        </w:rPr>
        <w:t>。</w:t>
      </w:r>
    </w:p>
    <w:p w14:paraId="132E5FCF">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B.6 原辅材料异味风险评估与替代计划</w:t>
      </w:r>
    </w:p>
    <w:p w14:paraId="162AA1D7">
      <w:pPr>
        <w:snapToGrid/>
        <w:spacing w:before="157" w:beforeLines="50" w:after="157" w:afterLines="50" w:line="240" w:lineRule="auto"/>
        <w:rPr>
          <w:rFonts w:hint="eastAsia" w:hAnsi="宋体" w:cs="宋体"/>
          <w:kern w:val="0"/>
          <w:sz w:val="24"/>
          <w:szCs w:val="24"/>
          <w:lang w:bidi="ar"/>
        </w:rPr>
      </w:pPr>
      <w:r>
        <w:rPr>
          <w:rFonts w:hint="eastAsia" w:ascii="宋体" w:hAnsi="Times New Roman"/>
          <w:sz w:val="21"/>
          <w:szCs w:val="21"/>
        </w:rPr>
        <w:t>B.6.1 指标解释：指企业对原辅材料可能产生的异味风险进行识别和评估，并针对高臭味、高挥发性、低嗅阈值或投诉关联性较强的原辅材料制定替代、减量或优化使用计划。</w:t>
      </w:r>
    </w:p>
    <w:p w14:paraId="4CE5FAA7">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B.6.</w:t>
      </w:r>
      <w:r>
        <w:rPr>
          <w:rFonts w:hint="eastAsia" w:ascii="宋体" w:hAnsi="Times New Roman"/>
          <w:sz w:val="21"/>
          <w:szCs w:val="21"/>
          <w:lang w:val="en-US" w:eastAsia="zh-CN"/>
        </w:rPr>
        <w:t>2</w:t>
      </w:r>
      <w:r>
        <w:rPr>
          <w:rFonts w:hint="eastAsia" w:ascii="宋体" w:hAnsi="Times New Roman"/>
          <w:sz w:val="21"/>
          <w:szCs w:val="21"/>
        </w:rPr>
        <w:t xml:space="preserve"> 判定说明：企业已建立原辅材料异味风险评估机制，形成原辅材料清单，并对涉异味重点原辅材料开展挥发性、毒性、嗅阈值、使用量、使用环节和异味影响分析的，可视为已建立评估机制。对具备替代条件的原辅材料，宜明确替代方向、实施进度和责任部门；对暂不具备替代条件的，应说明原因并采取过程控制或末端治理措施。。</w:t>
      </w:r>
    </w:p>
    <w:p w14:paraId="7BE4C4B8">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B.6.</w:t>
      </w:r>
      <w:r>
        <w:rPr>
          <w:rFonts w:hint="eastAsia" w:ascii="宋体" w:hAnsi="Times New Roman"/>
          <w:sz w:val="21"/>
          <w:szCs w:val="21"/>
          <w:lang w:val="en-US" w:eastAsia="zh-CN"/>
        </w:rPr>
        <w:t>3</w:t>
      </w:r>
      <w:r>
        <w:rPr>
          <w:rFonts w:hint="eastAsia" w:ascii="宋体" w:hAnsi="Times New Roman"/>
          <w:sz w:val="21"/>
          <w:szCs w:val="21"/>
        </w:rPr>
        <w:t xml:space="preserve"> 数据来源：原辅材料清单、SDS/MSDS、采购台账、原辅材料检测报告、替代计划、工艺评估报告、清洁生产审核材料等。</w:t>
      </w:r>
    </w:p>
    <w:p w14:paraId="5B80E205">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B.7 涉异味生产设备密闭化率</w:t>
      </w:r>
    </w:p>
    <w:p w14:paraId="04037602">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B.7.1 指标解释：指涉及异味物质产生、使用、储存、转运、处理处置等环节的主要生产设备中，已采取密闭、局部封闭、负压收集或等效防逸散措施的设备比例。</w:t>
      </w:r>
    </w:p>
    <w:p w14:paraId="5B9FF1C5">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B.7.</w:t>
      </w:r>
      <w:r>
        <w:rPr>
          <w:rFonts w:hint="eastAsia" w:ascii="宋体" w:hAnsi="Times New Roman"/>
          <w:sz w:val="21"/>
          <w:szCs w:val="21"/>
          <w:lang w:val="en-US" w:eastAsia="zh-CN"/>
        </w:rPr>
        <w:t>2</w:t>
      </w:r>
      <w:r>
        <w:rPr>
          <w:rFonts w:hint="eastAsia" w:ascii="宋体" w:hAnsi="Times New Roman"/>
          <w:sz w:val="21"/>
          <w:szCs w:val="21"/>
        </w:rPr>
        <w:t xml:space="preserve"> 判定说明：因工艺安全、消防泄爆、设备结构、职业健康或客观条件确不适用密闭化的，应说明原因，并采取局部收集、负压控制、限时作业、现场巡查等替代措施。仅依靠自然通风、普通排风扇或无组织扩散的，不宜计入已采取密闭或等效防逸散措施的设备。</w:t>
      </w:r>
    </w:p>
    <w:p w14:paraId="0E4A0A4A">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B.7.</w:t>
      </w:r>
      <w:r>
        <w:rPr>
          <w:rFonts w:hint="eastAsia" w:ascii="宋体" w:hAnsi="Times New Roman"/>
          <w:sz w:val="21"/>
          <w:szCs w:val="21"/>
          <w:lang w:val="en-US" w:eastAsia="zh-CN"/>
        </w:rPr>
        <w:t>3</w:t>
      </w:r>
      <w:r>
        <w:rPr>
          <w:rFonts w:hint="eastAsia" w:ascii="宋体" w:hAnsi="Times New Roman"/>
          <w:sz w:val="21"/>
          <w:szCs w:val="21"/>
        </w:rPr>
        <w:t xml:space="preserve"> 数据来源：设备清单、工艺流程图、P&amp;ID图、密闭化改造记录、现场照片、废气收集系统图、现场核查记录等。</w:t>
      </w:r>
    </w:p>
    <w:p w14:paraId="131D16AE">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B.8 重点设备低泄漏或密封措施落实情况</w:t>
      </w:r>
    </w:p>
    <w:p w14:paraId="0ABCE1FC">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B.8.1 指标解释：指输送、储存或处理含异味物质的泵、压缩机、阀门、法兰、搅拌机、采样口、排凝口、导淋口</w:t>
      </w:r>
      <w:r>
        <w:rPr>
          <w:rFonts w:hint="eastAsia" w:ascii="宋体" w:hAnsi="Times New Roman"/>
          <w:sz w:val="21"/>
          <w:szCs w:val="21"/>
          <w:lang w:eastAsia="zh-CN"/>
        </w:rPr>
        <w:t>、</w:t>
      </w:r>
      <w:r>
        <w:rPr>
          <w:rFonts w:hint="eastAsia" w:ascii="宋体" w:hAnsi="Times New Roman"/>
          <w:sz w:val="21"/>
          <w:szCs w:val="21"/>
          <w:lang w:val="en-US" w:eastAsia="zh-CN"/>
        </w:rPr>
        <w:t>呼吸阀</w:t>
      </w:r>
      <w:r>
        <w:rPr>
          <w:rFonts w:hint="eastAsia" w:ascii="宋体" w:hAnsi="Times New Roman"/>
          <w:sz w:val="21"/>
          <w:szCs w:val="21"/>
        </w:rPr>
        <w:t>等重点设备或部件，采取低泄漏选型、密封升级、密闭排放或等效控制措施的情况。</w:t>
      </w:r>
    </w:p>
    <w:p w14:paraId="1641A235">
      <w:pPr>
        <w:spacing w:before="157" w:beforeLines="50" w:after="157" w:afterLines="50" w:line="240" w:lineRule="auto"/>
        <w:jc w:val="left"/>
        <w:rPr>
          <w:rFonts w:hint="eastAsia" w:ascii="宋体" w:hAnsi="Times New Roman"/>
          <w:sz w:val="21"/>
          <w:szCs w:val="21"/>
        </w:rPr>
      </w:pPr>
      <w:r>
        <w:rPr>
          <w:rFonts w:hint="eastAsia" w:ascii="宋体" w:hAnsi="Times New Roman"/>
          <w:sz w:val="21"/>
          <w:szCs w:val="21"/>
        </w:rPr>
        <w:t>B.8.</w:t>
      </w:r>
      <w:r>
        <w:rPr>
          <w:rFonts w:hint="eastAsia" w:ascii="宋体" w:hAnsi="Times New Roman"/>
          <w:sz w:val="21"/>
          <w:szCs w:val="21"/>
          <w:lang w:val="en-US" w:eastAsia="zh-CN"/>
        </w:rPr>
        <w:t>2</w:t>
      </w:r>
      <w:r>
        <w:rPr>
          <w:rFonts w:hint="eastAsia" w:ascii="宋体" w:hAnsi="Times New Roman"/>
          <w:sz w:val="21"/>
          <w:szCs w:val="21"/>
        </w:rPr>
        <w:t xml:space="preserve"> 判定说明：企业已识别重点涉异味设备和密封点，并结合介质特性、设备类型和泄漏风险，采取低泄漏设备、双端面机械密封、磁力泵、屏蔽泵、波纹管阀、高等级密封垫片、密闭采样、密闭排污等措施的，可视为落实相应密封控制要求。具体措施可结合行业特点和HJ1230、HJ733等相关要求确定。</w:t>
      </w:r>
    </w:p>
    <w:p w14:paraId="109A270F">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B.8.</w:t>
      </w:r>
      <w:r>
        <w:rPr>
          <w:rFonts w:hint="eastAsia" w:ascii="宋体" w:hAnsi="Times New Roman"/>
          <w:sz w:val="21"/>
          <w:szCs w:val="21"/>
          <w:lang w:val="en-US" w:eastAsia="zh-CN"/>
        </w:rPr>
        <w:t>3</w:t>
      </w:r>
      <w:r>
        <w:rPr>
          <w:rFonts w:hint="eastAsia" w:ascii="宋体" w:hAnsi="Times New Roman"/>
          <w:sz w:val="21"/>
          <w:szCs w:val="21"/>
        </w:rPr>
        <w:t xml:space="preserve"> 数据来源：设备台账、采购资料、设备铭牌、密封改造记录、现场核查记录等。</w:t>
      </w:r>
    </w:p>
    <w:p w14:paraId="70745639">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B.9 真空系统干式化或密闭循环情况</w:t>
      </w:r>
    </w:p>
    <w:p w14:paraId="3AB86609">
      <w:pPr>
        <w:snapToGrid/>
        <w:spacing w:before="157" w:beforeLines="50" w:after="157" w:afterLines="50" w:line="240" w:lineRule="auto"/>
        <w:jc w:val="left"/>
        <w:rPr>
          <w:rFonts w:hint="eastAsia" w:ascii="宋体" w:hAnsi="Times New Roman"/>
          <w:sz w:val="21"/>
          <w:szCs w:val="21"/>
        </w:rPr>
      </w:pPr>
      <w:r>
        <w:rPr>
          <w:rFonts w:hint="eastAsia" w:ascii="宋体" w:hAnsi="Times New Roman"/>
          <w:sz w:val="21"/>
          <w:szCs w:val="21"/>
        </w:rPr>
        <w:t>B.9.1 指标解释：指涉及含异味物质的真空系统采用干式真空泵，或液环真空泵配套密闭循环冷却系统、尾气收集处理系统等措施，避免异味物质通过循环液、冷却塔、敞开水池或沟渠逸散的情况。</w:t>
      </w:r>
    </w:p>
    <w:p w14:paraId="57C569A9">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B.9.</w:t>
      </w:r>
      <w:r>
        <w:rPr>
          <w:rFonts w:hint="eastAsia" w:ascii="宋体" w:hAnsi="Times New Roman"/>
          <w:sz w:val="21"/>
          <w:szCs w:val="21"/>
          <w:lang w:val="en-US" w:eastAsia="zh-CN"/>
        </w:rPr>
        <w:t>2</w:t>
      </w:r>
      <w:r>
        <w:rPr>
          <w:rFonts w:hint="eastAsia" w:ascii="宋体" w:hAnsi="Times New Roman"/>
          <w:sz w:val="21"/>
          <w:szCs w:val="21"/>
        </w:rPr>
        <w:t xml:space="preserve"> 判定说明：涉及含异味物质的真空系统采用干式真空泵，或液环真空泵循环液不直接排入开式冷却塔、敞开水池、开放式沟渠、地面，并对排气和循环液采取密闭收集、回收或处理措施的，可视为满足本项创建要求。因工艺原因暂无法改造的，应说明原因并采取替代控制措施。</w:t>
      </w:r>
    </w:p>
    <w:p w14:paraId="7F07324A">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B.9.</w:t>
      </w:r>
      <w:r>
        <w:rPr>
          <w:rFonts w:hint="eastAsia" w:ascii="宋体" w:hAnsi="Times New Roman"/>
          <w:sz w:val="21"/>
          <w:szCs w:val="21"/>
          <w:lang w:val="en-US" w:eastAsia="zh-CN"/>
        </w:rPr>
        <w:t>3</w:t>
      </w:r>
      <w:r>
        <w:rPr>
          <w:rFonts w:hint="eastAsia" w:ascii="宋体" w:hAnsi="Times New Roman"/>
          <w:sz w:val="21"/>
          <w:szCs w:val="21"/>
        </w:rPr>
        <w:t xml:space="preserve"> 数据来源：真空系统设备台账、工艺流程图、管线连接图、现场核查记录、改造记录、运行记录等。</w:t>
      </w:r>
    </w:p>
    <w:p w14:paraId="19CC3681">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B.10 泄漏检测与修复（LDAR）覆盖情况</w:t>
      </w:r>
    </w:p>
    <w:p w14:paraId="5E66B3EC">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B.10.1 指标解释：指涉VOCs物料使用企业按照相关标准或管理要求，对应纳入LDAR管理的设备与管线组件建立台账、开展检测、实施修复和记录归档的情况。</w:t>
      </w:r>
    </w:p>
    <w:p w14:paraId="5F54102C">
      <w:pPr>
        <w:snapToGrid w:val="0"/>
        <w:spacing w:before="0" w:beforeLines="-2147483648" w:after="0" w:afterLines="-2147483648" w:line="240" w:lineRule="auto"/>
        <w:jc w:val="left"/>
        <w:rPr>
          <w:rFonts w:hint="eastAsia" w:ascii="宋体" w:hAnsi="Times New Roman"/>
          <w:sz w:val="21"/>
          <w:szCs w:val="21"/>
        </w:rPr>
      </w:pPr>
      <w:r>
        <w:rPr>
          <w:rFonts w:hint="eastAsia" w:ascii="宋体" w:hAnsi="Times New Roman"/>
          <w:sz w:val="21"/>
          <w:szCs w:val="21"/>
        </w:rPr>
        <w:t>B.10.</w:t>
      </w:r>
      <w:r>
        <w:rPr>
          <w:rFonts w:hint="eastAsia" w:ascii="宋体" w:hAnsi="Times New Roman"/>
          <w:sz w:val="21"/>
          <w:szCs w:val="21"/>
          <w:lang w:val="en-US" w:eastAsia="zh-CN"/>
        </w:rPr>
        <w:t>2</w:t>
      </w:r>
      <w:r>
        <w:rPr>
          <w:rFonts w:hint="eastAsia" w:ascii="宋体" w:hAnsi="Times New Roman"/>
          <w:sz w:val="21"/>
          <w:szCs w:val="21"/>
        </w:rPr>
        <w:t xml:space="preserve"> 判定说明：涉VOCs物料使用企业应按照HJ</w:t>
      </w:r>
      <w:r>
        <w:rPr>
          <w:rFonts w:hint="eastAsia" w:ascii="宋体" w:hAnsi="Times New Roman"/>
          <w:sz w:val="21"/>
          <w:szCs w:val="21"/>
          <w:lang w:val="en-US" w:eastAsia="zh-CN"/>
        </w:rPr>
        <w:t xml:space="preserve"> </w:t>
      </w:r>
      <w:r>
        <w:rPr>
          <w:rFonts w:hint="eastAsia" w:ascii="宋体" w:hAnsi="Times New Roman"/>
          <w:sz w:val="21"/>
          <w:szCs w:val="21"/>
        </w:rPr>
        <w:t>1230、HJ</w:t>
      </w:r>
      <w:r>
        <w:rPr>
          <w:rFonts w:hint="eastAsia" w:ascii="宋体" w:hAnsi="Times New Roman"/>
          <w:sz w:val="21"/>
          <w:szCs w:val="21"/>
          <w:lang w:val="en-US" w:eastAsia="zh-CN"/>
        </w:rPr>
        <w:t xml:space="preserve"> </w:t>
      </w:r>
      <w:r>
        <w:rPr>
          <w:rFonts w:hint="eastAsia" w:ascii="宋体" w:hAnsi="Times New Roman"/>
          <w:sz w:val="21"/>
          <w:szCs w:val="21"/>
        </w:rPr>
        <w:t>733及国家或地方相关要求确定LDAR管理范围。已建立密封点台账，按规定频次开展检测，对泄漏点及时修复并记录的，可视为满足本项创建要求。对不适用LDAR的企业，应说明不适用原因。</w:t>
      </w:r>
    </w:p>
    <w:p w14:paraId="16333497">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B.10.</w:t>
      </w:r>
      <w:r>
        <w:rPr>
          <w:rFonts w:hint="eastAsia" w:ascii="宋体" w:hAnsi="Times New Roman"/>
          <w:sz w:val="21"/>
          <w:szCs w:val="21"/>
          <w:lang w:val="en-US" w:eastAsia="zh-CN"/>
        </w:rPr>
        <w:t>3</w:t>
      </w:r>
      <w:r>
        <w:rPr>
          <w:rFonts w:hint="eastAsia" w:ascii="宋体" w:hAnsi="Times New Roman"/>
          <w:sz w:val="21"/>
          <w:szCs w:val="21"/>
        </w:rPr>
        <w:t xml:space="preserve"> 数据来源：LDAR台账、密封点清单、P&amp;ID标记、检测报告、修复记录、第三方服务报告、LDAR管理平台数据等。</w:t>
      </w:r>
    </w:p>
    <w:p w14:paraId="2EB6E179">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B.11 涉异味重点装置自动化控制或工况监控</w:t>
      </w:r>
    </w:p>
    <w:p w14:paraId="660C259E">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B.11.1 指标解释：指涉异味重点装置对可能导致异味泄漏、异常排放或治理设施失效的关键工艺参数、运行状态或异常信号具备监控、记录或报警能力。</w:t>
      </w:r>
    </w:p>
    <w:p w14:paraId="68C8B4AC">
      <w:pPr>
        <w:snapToGrid w:val="0"/>
        <w:spacing w:before="0" w:beforeLines="-2147483648" w:after="0" w:afterLines="-2147483648" w:line="240" w:lineRule="auto"/>
        <w:jc w:val="left"/>
        <w:rPr>
          <w:rFonts w:hint="eastAsia" w:ascii="宋体" w:hAnsi="Times New Roman"/>
          <w:sz w:val="21"/>
          <w:szCs w:val="21"/>
        </w:rPr>
      </w:pPr>
      <w:r>
        <w:rPr>
          <w:rFonts w:hint="eastAsia" w:ascii="宋体" w:hAnsi="Times New Roman"/>
          <w:sz w:val="21"/>
          <w:szCs w:val="21"/>
        </w:rPr>
        <w:t>B.11.</w:t>
      </w:r>
      <w:r>
        <w:rPr>
          <w:rFonts w:hint="eastAsia" w:ascii="宋体" w:hAnsi="Times New Roman"/>
          <w:sz w:val="21"/>
          <w:szCs w:val="21"/>
          <w:lang w:val="en-US" w:eastAsia="zh-CN"/>
        </w:rPr>
        <w:t>2</w:t>
      </w:r>
      <w:r>
        <w:rPr>
          <w:rFonts w:hint="eastAsia" w:ascii="宋体" w:hAnsi="Times New Roman"/>
          <w:sz w:val="21"/>
          <w:szCs w:val="21"/>
        </w:rPr>
        <w:t xml:space="preserve"> 判定说明：企业对涉异味重点装置的温度、压力、液位、流量、负荷、阀位、治理设施运行状态等关键参数实施DCS、PLC、现场仪表、工况监控系统或其他等效方式监控，并具备记录或报警功能的，可视为具备相应控制或监控能力。该指标为引领示范类指标，不宜作为所有企业的统一刚性门槛。</w:t>
      </w:r>
    </w:p>
    <w:p w14:paraId="6825AD3A">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B.11.</w:t>
      </w:r>
      <w:r>
        <w:rPr>
          <w:rFonts w:hint="eastAsia" w:ascii="宋体" w:hAnsi="Times New Roman"/>
          <w:sz w:val="21"/>
          <w:szCs w:val="21"/>
          <w:lang w:val="en-US" w:eastAsia="zh-CN"/>
        </w:rPr>
        <w:t>3</w:t>
      </w:r>
      <w:r>
        <w:rPr>
          <w:rFonts w:hint="eastAsia" w:ascii="宋体" w:hAnsi="Times New Roman"/>
          <w:sz w:val="21"/>
          <w:szCs w:val="21"/>
        </w:rPr>
        <w:t xml:space="preserve"> 数据来源：DCS/PLC系统截图、工况监控记录、仪表台账、报警记录、运行日报、现场核查记录等。</w:t>
      </w:r>
    </w:p>
    <w:p w14:paraId="6540A094">
      <w:pPr>
        <w:pStyle w:val="59"/>
        <w:spacing w:before="157" w:beforeLines="50" w:after="157" w:afterLines="50"/>
        <w:ind w:firstLine="0" w:firstLineChars="0"/>
        <w:rPr>
          <w:rFonts w:hint="eastAsia" w:ascii="黑体" w:eastAsia="黑体"/>
          <w:sz w:val="21"/>
          <w:szCs w:val="24"/>
          <w:highlight w:val="none"/>
        </w:rPr>
      </w:pPr>
      <w:r>
        <w:rPr>
          <w:rFonts w:hint="eastAsia" w:ascii="黑体" w:eastAsia="黑体"/>
          <w:sz w:val="21"/>
          <w:szCs w:val="24"/>
          <w:highlight w:val="none"/>
        </w:rPr>
        <w:t xml:space="preserve">B.12 </w:t>
      </w:r>
      <w:r>
        <w:rPr>
          <w:rFonts w:hint="eastAsia" w:ascii="黑体" w:eastAsia="黑体"/>
          <w:sz w:val="21"/>
          <w:szCs w:val="24"/>
          <w:highlight w:val="none"/>
          <w:lang w:val="en-US" w:eastAsia="zh-CN"/>
        </w:rPr>
        <w:t>废气收集系统适配性</w:t>
      </w:r>
    </w:p>
    <w:p w14:paraId="7F143327">
      <w:pPr>
        <w:spacing w:before="157" w:beforeLines="50" w:after="157" w:afterLines="50" w:line="240" w:lineRule="auto"/>
        <w:rPr>
          <w:rFonts w:hint="eastAsia" w:ascii="宋体" w:hAnsi="Times New Roman"/>
          <w:sz w:val="21"/>
          <w:szCs w:val="21"/>
          <w:highlight w:val="none"/>
        </w:rPr>
      </w:pPr>
      <w:r>
        <w:rPr>
          <w:rFonts w:hint="eastAsia" w:ascii="宋体" w:hAnsi="Times New Roman"/>
          <w:sz w:val="21"/>
          <w:szCs w:val="21"/>
          <w:highlight w:val="none"/>
        </w:rPr>
        <w:t>B.12.1 指标解释：指异味源与废气收集系统在收集方式、控制风速、处理风量、管道连接、负压状态和治理设施处理能力等方面的匹配程度。</w:t>
      </w:r>
    </w:p>
    <w:p w14:paraId="2C9578BE">
      <w:pPr>
        <w:spacing w:before="157" w:beforeLines="50" w:after="157" w:afterLines="50" w:line="240" w:lineRule="auto"/>
        <w:rPr>
          <w:rFonts w:hint="eastAsia" w:ascii="宋体" w:hAnsi="Times New Roman"/>
          <w:sz w:val="21"/>
          <w:szCs w:val="21"/>
          <w:highlight w:val="none"/>
        </w:rPr>
      </w:pPr>
      <w:r>
        <w:rPr>
          <w:rFonts w:hint="eastAsia" w:ascii="宋体" w:hAnsi="Times New Roman"/>
          <w:sz w:val="21"/>
          <w:szCs w:val="21"/>
          <w:highlight w:val="none"/>
        </w:rPr>
        <w:t>B.12.2 判定</w:t>
      </w:r>
      <w:r>
        <w:rPr>
          <w:rFonts w:hint="eastAsia" w:ascii="宋体" w:hAnsi="Times New Roman"/>
          <w:sz w:val="21"/>
          <w:szCs w:val="21"/>
          <w:highlight w:val="none"/>
          <w:lang w:val="en-US" w:eastAsia="zh-CN"/>
        </w:rPr>
        <w:t>说明</w:t>
      </w:r>
      <w:r>
        <w:rPr>
          <w:rFonts w:hint="eastAsia" w:ascii="宋体" w:hAnsi="Times New Roman"/>
          <w:sz w:val="21"/>
          <w:szCs w:val="21"/>
          <w:highlight w:val="none"/>
        </w:rPr>
        <w:t>：废气收集系统应与异味源散发强度、散发方向、作业方式和周边气流组织相适应。对设置集气罩的异味源，可通过现场风速实测、烟雾示踪、运行负压记录、无组织逸散观察等方式判断收集效果。一般异味源控制风速可参照本文件5.6.1；对于高浓度特征异味污染物或存在横向气流干扰的区域，应结合实际适当提高控制要求。</w:t>
      </w:r>
    </w:p>
    <w:p w14:paraId="2F83ADB1">
      <w:pPr>
        <w:spacing w:before="157" w:beforeLines="50" w:after="157" w:afterLines="50" w:line="240" w:lineRule="auto"/>
        <w:rPr>
          <w:rFonts w:hint="eastAsia" w:ascii="宋体" w:hAnsi="Times New Roman"/>
          <w:sz w:val="21"/>
          <w:szCs w:val="21"/>
          <w:highlight w:val="none"/>
        </w:rPr>
      </w:pPr>
      <w:r>
        <w:rPr>
          <w:rFonts w:hint="eastAsia" w:ascii="宋体" w:hAnsi="Times New Roman"/>
          <w:sz w:val="21"/>
          <w:szCs w:val="21"/>
          <w:highlight w:val="none"/>
        </w:rPr>
        <w:t>B.12.3 数据来源：废气收集系统设计文件、风量核算资料、现场风速实测记录、负压监测记录、烟雾示踪记录、第三方检测报告、现场核查记录等。</w:t>
      </w:r>
    </w:p>
    <w:p w14:paraId="7CCC7704">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B.13 治理设施关键运行参数监控率</w:t>
      </w:r>
    </w:p>
    <w:p w14:paraId="7C566604">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B.13.1 指标解释：指异味治理设施对其稳定运行和处理效果具有重要影响的关键运行参数实现监控、记录或报警的比例。</w:t>
      </w:r>
    </w:p>
    <w:p w14:paraId="4A79BEF2">
      <w:pPr>
        <w:spacing w:before="157" w:beforeLines="50" w:after="157" w:afterLines="50" w:line="240" w:lineRule="auto"/>
        <w:jc w:val="left"/>
        <w:rPr>
          <w:rFonts w:hint="eastAsia" w:ascii="宋体" w:hAnsi="Times New Roman"/>
          <w:sz w:val="21"/>
          <w:szCs w:val="21"/>
        </w:rPr>
      </w:pPr>
      <w:r>
        <w:rPr>
          <w:rFonts w:hint="eastAsia" w:ascii="宋体" w:hAnsi="Times New Roman"/>
          <w:sz w:val="21"/>
          <w:szCs w:val="21"/>
        </w:rPr>
        <w:t>B.13.</w:t>
      </w:r>
      <w:r>
        <w:rPr>
          <w:rFonts w:hint="eastAsia" w:ascii="宋体" w:hAnsi="Times New Roman"/>
          <w:sz w:val="21"/>
          <w:szCs w:val="21"/>
          <w:lang w:val="en-US" w:eastAsia="zh-CN"/>
        </w:rPr>
        <w:t>2</w:t>
      </w:r>
      <w:r>
        <w:rPr>
          <w:rFonts w:hint="eastAsia" w:ascii="宋体" w:hAnsi="Times New Roman"/>
          <w:sz w:val="21"/>
          <w:szCs w:val="21"/>
        </w:rPr>
        <w:t xml:space="preserve"> 判定说明：关键运行参数应结合治理工艺确定。燃烧法可包括燃烧温度、停留时间、风量、助燃燃料消耗量等；吸附法可包括进出口风量、压差、温度、脱附参数等；化学吸收法可包括pH值、氧化还原电位、液位、加药量等；生物法可包括填料床压差、湿度、温度等。采用人工定期记录但能真实反映运行状态的，也可作为监控记录的一种方式。</w:t>
      </w:r>
    </w:p>
    <w:p w14:paraId="615FDDC1">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B.13.</w:t>
      </w:r>
      <w:r>
        <w:rPr>
          <w:rFonts w:hint="eastAsia" w:ascii="宋体" w:hAnsi="Times New Roman"/>
          <w:sz w:val="21"/>
          <w:szCs w:val="21"/>
          <w:lang w:val="en-US" w:eastAsia="zh-CN"/>
        </w:rPr>
        <w:t>3</w:t>
      </w:r>
      <w:r>
        <w:rPr>
          <w:rFonts w:hint="eastAsia" w:ascii="宋体" w:hAnsi="Times New Roman"/>
          <w:sz w:val="21"/>
          <w:szCs w:val="21"/>
        </w:rPr>
        <w:t xml:space="preserve"> 数据来源：仪表台账、中控系统记录、运行日报、巡检记录、报警记录、治理设施运行台账等。</w:t>
      </w:r>
    </w:p>
    <w:p w14:paraId="0305D034">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B.14 废气排气筒规范化设置率</w:t>
      </w:r>
    </w:p>
    <w:p w14:paraId="379C654E">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B.14.1 指标解释：指涉异味废气排气筒在高度、位置、采样口、采样平台、监测爬梯和安全防护等方面符合相关标准、环境影响评价文件或排污许可要求的比例。</w:t>
      </w:r>
    </w:p>
    <w:p w14:paraId="2A5E1E07">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B.14.2 判定</w:t>
      </w:r>
      <w:r>
        <w:rPr>
          <w:rFonts w:hint="eastAsia" w:ascii="宋体" w:hAnsi="Times New Roman"/>
          <w:sz w:val="21"/>
          <w:szCs w:val="21"/>
          <w:lang w:val="en-US" w:eastAsia="zh-CN"/>
        </w:rPr>
        <w:t>说明</w:t>
      </w:r>
      <w:r>
        <w:rPr>
          <w:rFonts w:hint="eastAsia" w:ascii="宋体" w:hAnsi="Times New Roman"/>
          <w:sz w:val="21"/>
          <w:szCs w:val="21"/>
        </w:rPr>
        <w:t>：排气筒规范化设置应符合GB/T16157及相关标准、环境影响评价文件、竣工环保验收和排污许可要求。采样口和采样平台应满足监测实施和安全要求。</w:t>
      </w:r>
    </w:p>
    <w:p w14:paraId="58D01331">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B.14.3 数据来源：排气筒清单、现场核查记录、环境影响评价文件、竣工环保验收资料、排污许可证、采样平台照片等。</w:t>
      </w:r>
    </w:p>
    <w:p w14:paraId="7C531017">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B.15 治理设施定期检测与评估</w:t>
      </w:r>
    </w:p>
    <w:p w14:paraId="1058D6C2">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B.15.1 指标解释：指企业对异味治理设施的处理效率、运行状态、关键耗材状态和异常情况开展定期检测、评估和优化的情况。</w:t>
      </w:r>
    </w:p>
    <w:p w14:paraId="1CBCB552">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B.15.2 判定</w:t>
      </w:r>
      <w:r>
        <w:rPr>
          <w:rFonts w:hint="eastAsia" w:ascii="宋体" w:hAnsi="Times New Roman"/>
          <w:sz w:val="21"/>
          <w:szCs w:val="21"/>
          <w:lang w:val="en-US" w:eastAsia="zh-CN"/>
        </w:rPr>
        <w:t>说明</w:t>
      </w:r>
      <w:r>
        <w:rPr>
          <w:rFonts w:hint="eastAsia" w:ascii="宋体" w:hAnsi="Times New Roman"/>
          <w:sz w:val="21"/>
          <w:szCs w:val="21"/>
        </w:rPr>
        <w:t>：企业按照本文件5.7.5要求，对治理设施处理效率和运行状态开展定期检测与评估，并根据检测评估结果优化运行参数或实施设施改造的，可视为按要求开展。发生查实异味投诉、排放口或厂界监测异常、治理设施故障停运、主要原辅材料或生产工况显著变化等情形时，宜开展专项评估。</w:t>
      </w:r>
    </w:p>
    <w:p w14:paraId="7E2A2798">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B.15.3 数据来源：治理设施检测报告、运行评估报告、专项评估报告、整改记录、运行参数优化记录、设施改造资料等。</w:t>
      </w:r>
    </w:p>
    <w:p w14:paraId="53427C83">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B.16 异味自行监测方案</w:t>
      </w:r>
    </w:p>
    <w:p w14:paraId="1969591B">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B.16.1 指标解释：指企业根据异味排放特征、异味源分布、厂界和周边敏感目标情况，制定并实施的异味自行监测计划。</w:t>
      </w:r>
    </w:p>
    <w:p w14:paraId="68E3892E">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B.16.2 判定方法：异味自行监测方案宜明确监测点位、监测指标、监测频次、监测方法、监测时段、质量控制要求和数据记录要求。监测点位宜覆盖主要涉异味有组织排放口、厂界、靠近敏感目标一侧厂界、厂区内部高风险异味源及投诉关联区域。监测指标宜包括臭气浓度和企业特征异味污染物。</w:t>
      </w:r>
    </w:p>
    <w:p w14:paraId="26D9A062">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B.16.3 数据来源：自行监测方案、监测报告、监测记录、委托监测合同、企业环境管理台账等。</w:t>
      </w:r>
    </w:p>
    <w:p w14:paraId="64904015">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B.17 重点异味源、主要排放口、厂界和敏感目标监测或巡查</w:t>
      </w:r>
    </w:p>
    <w:p w14:paraId="1D9DE057">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B.17.1 指标解释：指企业将重点异味源、主要涉异味排放口、厂界及周边敏感目标纳入日常监测、巡查或感官评价范围的情况。</w:t>
      </w:r>
    </w:p>
    <w:p w14:paraId="44CB2313">
      <w:pPr>
        <w:spacing w:before="157" w:beforeLines="50" w:after="157" w:afterLines="50" w:line="240" w:lineRule="auto"/>
        <w:rPr>
          <w:rFonts w:hint="eastAsia" w:ascii="宋体" w:hAnsi="Times New Roman" w:eastAsia="宋体"/>
          <w:sz w:val="21"/>
          <w:szCs w:val="21"/>
          <w:lang w:eastAsia="zh-CN"/>
        </w:rPr>
      </w:pPr>
      <w:r>
        <w:rPr>
          <w:rFonts w:hint="eastAsia" w:ascii="宋体" w:hAnsi="Times New Roman"/>
          <w:sz w:val="21"/>
          <w:szCs w:val="21"/>
        </w:rPr>
        <w:t>B.17.2 判定方法：企业已根据异味源识别和风险分级结果，将重点异味源、主要排放口、厂界和敏感目标纳入监测或巡查计划，并形成记录的，可视为满足本项创建要求。对无法直接布设监测点的敏感目标，可通过靠近敏感目标一侧厂界监测、巡查或投诉关联区域核查等方式替代</w:t>
      </w:r>
      <w:r>
        <w:rPr>
          <w:rFonts w:hint="eastAsia" w:ascii="宋体" w:hAnsi="Times New Roman"/>
          <w:sz w:val="21"/>
          <w:szCs w:val="21"/>
          <w:lang w:eastAsia="zh-CN"/>
        </w:rPr>
        <w:t>。</w:t>
      </w:r>
    </w:p>
    <w:p w14:paraId="255A7A6E">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B.17.3 数据来源：监测计划、巡查路线、巡查记录、厂界监测记录、电子鼻或VOCs微站数据、投诉核查记录等。</w:t>
      </w:r>
    </w:p>
    <w:p w14:paraId="720C18A2">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B.18 台账记录完整性</w:t>
      </w:r>
    </w:p>
    <w:p w14:paraId="76726070">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B.18.1 指标解释：指企业与异味污染防治相关的生产运行、治理设施运行、监测、巡查、耗材更换、非正常工况、投诉处理和OMP内部审核等记录是否完整、规范、真实、可追溯。</w:t>
      </w:r>
    </w:p>
    <w:p w14:paraId="52D921C2">
      <w:pPr>
        <w:snapToGrid/>
        <w:spacing w:before="157" w:beforeLines="50" w:after="157" w:afterLines="50" w:line="240" w:lineRule="auto"/>
        <w:jc w:val="left"/>
        <w:rPr>
          <w:rFonts w:hint="eastAsia" w:ascii="Cambria Math" w:hAnsi="Cambria Math"/>
          <w:sz w:val="21"/>
          <w:szCs w:val="21"/>
        </w:rPr>
      </w:pPr>
      <w:r>
        <w:rPr>
          <w:rFonts w:hint="eastAsia" w:ascii="宋体" w:hAnsi="Times New Roman"/>
          <w:sz w:val="21"/>
          <w:szCs w:val="21"/>
        </w:rPr>
        <w:t>B.18.2 判定</w:t>
      </w:r>
      <w:r>
        <w:rPr>
          <w:rFonts w:hint="eastAsia" w:ascii="宋体" w:hAnsi="Times New Roman"/>
          <w:sz w:val="21"/>
          <w:szCs w:val="21"/>
          <w:lang w:val="en-US" w:eastAsia="zh-CN"/>
        </w:rPr>
        <w:t>说明</w:t>
      </w:r>
      <w:r>
        <w:rPr>
          <w:rFonts w:hint="eastAsia" w:ascii="宋体" w:hAnsi="Times New Roman"/>
          <w:sz w:val="21"/>
          <w:szCs w:val="21"/>
        </w:rPr>
        <w:t>：台账记录应能支撑异味源识别、过程控制、治理设施运行、监测评估、投诉核查和持续改进。记录宜包括时间、地点、责任人、运行状态、异常情况、处置措施和复核结果。存在长期缺项、关键数据缺失、逻辑矛盾或无法追溯的，不宜认定为记录完整</w:t>
      </w:r>
      <w:r>
        <w:rPr>
          <w:rFonts w:hint="eastAsia" w:ascii="宋体" w:hAnsi="Times New Roman"/>
          <w:sz w:val="21"/>
          <w:szCs w:val="21"/>
          <w:lang w:eastAsia="zh-CN"/>
        </w:rPr>
        <w:t>。</w:t>
      </w:r>
    </w:p>
    <w:p w14:paraId="212D9BE6">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B.18.3 数据来源：电子台账、纸质台账、运行日报、监测报告、巡查记录、投诉处理记录、内部审核记录等。</w:t>
      </w:r>
    </w:p>
    <w:p w14:paraId="57032249">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B.19 OMP制定与执行</w:t>
      </w:r>
    </w:p>
    <w:p w14:paraId="01D20375">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B.19.1 指标解释：指企业按照本文件正文和附录A要求，编制、发布、实施、评估和更新OMP的情况。</w:t>
      </w:r>
    </w:p>
    <w:p w14:paraId="1A05709D">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B.19.2 判定</w:t>
      </w:r>
      <w:r>
        <w:rPr>
          <w:rFonts w:hint="eastAsia" w:ascii="宋体" w:hAnsi="Times New Roman"/>
          <w:sz w:val="21"/>
          <w:szCs w:val="21"/>
          <w:lang w:val="en-US" w:eastAsia="zh-CN"/>
        </w:rPr>
        <w:t>说明</w:t>
      </w:r>
      <w:r>
        <w:rPr>
          <w:rFonts w:hint="eastAsia" w:ascii="宋体" w:hAnsi="Times New Roman"/>
          <w:sz w:val="21"/>
          <w:szCs w:val="21"/>
        </w:rPr>
        <w:t>：OMP已正式发布并实施，内容涵盖异味源清单、风险分级、源头削减、过程控制、末端治理、监测评估、异常工况管理、投诉处理、公众沟通及持续改进等内容，并能提供执行记录、内部审核和更新记录的，可视为满足本项创建要求。OMP内容与企业实际运行明显不一致，或仅有文件但无执行记录的，不宜认定为有效执行。</w:t>
      </w:r>
    </w:p>
    <w:p w14:paraId="63DB92FA">
      <w:pPr>
        <w:spacing w:line="240" w:lineRule="auto"/>
        <w:rPr>
          <w:rFonts w:hint="eastAsia" w:ascii="宋体" w:hAnsi="Times New Roman" w:eastAsia="宋体" w:cs="Times New Roman"/>
          <w:highlight w:val="none"/>
        </w:rPr>
      </w:pPr>
      <w:r>
        <w:rPr>
          <w:rFonts w:hint="eastAsia" w:ascii="宋体" w:hAnsi="Times New Roman"/>
          <w:sz w:val="21"/>
          <w:szCs w:val="21"/>
        </w:rPr>
        <w:t>B.19.3 数据来源：OMP文件、发布或签发记录、执行台账、内部审核记录、更新记录、问题整改记录等。</w:t>
      </w:r>
    </w:p>
    <w:p w14:paraId="3AE4FCA9">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w:t>
      </w:r>
      <w:r>
        <w:rPr>
          <w:rFonts w:hint="eastAsia" w:ascii="黑体" w:eastAsia="黑体"/>
          <w:sz w:val="21"/>
          <w:szCs w:val="24"/>
          <w:lang w:val="en-US" w:eastAsia="zh-CN"/>
        </w:rPr>
        <w:t>20</w:t>
      </w:r>
      <w:r>
        <w:rPr>
          <w:rFonts w:hint="eastAsia" w:ascii="黑体" w:eastAsia="黑体"/>
          <w:sz w:val="21"/>
          <w:szCs w:val="24"/>
        </w:rPr>
        <w:t xml:space="preserve"> 关键岗位培训覆盖率</w:t>
      </w:r>
    </w:p>
    <w:p w14:paraId="0A35AB88">
      <w:pPr>
        <w:spacing w:before="157" w:beforeLines="50" w:after="157" w:afterLines="50" w:line="240" w:lineRule="auto"/>
        <w:rPr>
          <w:rFonts w:hint="eastAsia" w:ascii="宋体" w:hAnsi="Times New Roman" w:eastAsia="宋体"/>
          <w:sz w:val="21"/>
          <w:szCs w:val="21"/>
          <w:lang w:eastAsia="zh-CN"/>
        </w:rPr>
      </w:pPr>
      <w:r>
        <w:rPr>
          <w:rFonts w:hint="eastAsia" w:ascii="宋体" w:hAnsi="Times New Roman"/>
          <w:sz w:val="21"/>
          <w:szCs w:val="21"/>
        </w:rPr>
        <w:t>B.</w:t>
      </w:r>
      <w:r>
        <w:rPr>
          <w:rFonts w:hint="eastAsia" w:ascii="宋体" w:hAnsi="Times New Roman"/>
          <w:sz w:val="21"/>
          <w:szCs w:val="21"/>
          <w:lang w:val="en-US" w:eastAsia="zh-CN"/>
        </w:rPr>
        <w:t>20</w:t>
      </w:r>
      <w:r>
        <w:rPr>
          <w:rFonts w:hint="eastAsia" w:ascii="宋体" w:hAnsi="Times New Roman"/>
          <w:sz w:val="21"/>
          <w:szCs w:val="21"/>
        </w:rPr>
        <w:t>.1 指标解释：指环保管理、工艺操作、设备维护、治理设施运行、现场巡查、应急处置等与异味管控相关的关键岗位人员接受异味管理培训的比例</w:t>
      </w:r>
      <w:r>
        <w:rPr>
          <w:rFonts w:hint="eastAsia" w:ascii="宋体" w:hAnsi="Times New Roman"/>
          <w:sz w:val="21"/>
          <w:szCs w:val="21"/>
          <w:lang w:eastAsia="zh-CN"/>
        </w:rPr>
        <w:t>。</w:t>
      </w:r>
    </w:p>
    <w:p w14:paraId="580803CB">
      <w:pPr>
        <w:spacing w:before="157" w:beforeLines="50" w:after="157" w:afterLines="50" w:line="240" w:lineRule="auto"/>
        <w:rPr>
          <w:rFonts w:hint="eastAsia" w:ascii="宋体" w:hAnsi="Times New Roman" w:eastAsia="宋体"/>
          <w:sz w:val="21"/>
          <w:szCs w:val="21"/>
          <w:lang w:eastAsia="zh-CN"/>
        </w:rPr>
      </w:pPr>
      <w:r>
        <w:rPr>
          <w:rFonts w:hint="eastAsia" w:ascii="宋体" w:hAnsi="Times New Roman"/>
          <w:sz w:val="21"/>
          <w:szCs w:val="21"/>
          <w:lang w:val="en-US" w:eastAsia="zh-CN"/>
        </w:rPr>
        <w:t>B</w:t>
      </w:r>
      <w:r>
        <w:rPr>
          <w:rFonts w:hint="eastAsia" w:ascii="宋体" w:hAnsi="Times New Roman"/>
          <w:sz w:val="21"/>
          <w:szCs w:val="21"/>
        </w:rPr>
        <w:t>.</w:t>
      </w:r>
      <w:r>
        <w:rPr>
          <w:rFonts w:hint="eastAsia" w:ascii="宋体" w:hAnsi="Times New Roman"/>
          <w:sz w:val="21"/>
          <w:szCs w:val="21"/>
          <w:lang w:val="en-US" w:eastAsia="zh-CN"/>
        </w:rPr>
        <w:t>20</w:t>
      </w:r>
      <w:r>
        <w:rPr>
          <w:rFonts w:hint="eastAsia" w:ascii="宋体" w:hAnsi="Times New Roman"/>
          <w:sz w:val="21"/>
          <w:szCs w:val="21"/>
        </w:rPr>
        <w:t>.2 判定</w:t>
      </w:r>
      <w:r>
        <w:rPr>
          <w:rFonts w:hint="eastAsia" w:ascii="宋体" w:hAnsi="Times New Roman"/>
          <w:sz w:val="21"/>
          <w:szCs w:val="21"/>
          <w:lang w:val="en-US" w:eastAsia="zh-CN"/>
        </w:rPr>
        <w:t>说明</w:t>
      </w:r>
      <w:r>
        <w:rPr>
          <w:rFonts w:hint="eastAsia" w:ascii="宋体" w:hAnsi="Times New Roman"/>
          <w:sz w:val="21"/>
          <w:szCs w:val="21"/>
        </w:rPr>
        <w:t>：培训内容宜包括异味基础知识、相关法律法规和标准、企业特征异味污染物、岗位操作规程、异常气味报告、泄漏检测、治理设施运行维护、非正常工况处置和投诉响应等。培训可采用集中培训、现场培训、班组培训、应急演练、在线培训等形式</w:t>
      </w:r>
      <w:r>
        <w:rPr>
          <w:rFonts w:hint="eastAsia" w:ascii="宋体" w:hAnsi="Times New Roman"/>
          <w:sz w:val="21"/>
          <w:szCs w:val="21"/>
          <w:lang w:eastAsia="zh-CN"/>
        </w:rPr>
        <w:t>。</w:t>
      </w:r>
    </w:p>
    <w:p w14:paraId="4D8D263A">
      <w:pPr>
        <w:spacing w:before="157" w:beforeLines="50" w:after="157" w:afterLines="50" w:line="240" w:lineRule="auto"/>
        <w:rPr>
          <w:rFonts w:hint="eastAsia" w:ascii="宋体" w:hAnsi="Times New Roman" w:eastAsia="宋体"/>
          <w:sz w:val="21"/>
          <w:szCs w:val="21"/>
          <w:lang w:eastAsia="zh-CN"/>
        </w:rPr>
      </w:pPr>
      <w:r>
        <w:rPr>
          <w:rFonts w:hint="eastAsia" w:ascii="宋体" w:hAnsi="Times New Roman"/>
          <w:sz w:val="21"/>
          <w:szCs w:val="21"/>
        </w:rPr>
        <w:t>B.</w:t>
      </w:r>
      <w:r>
        <w:rPr>
          <w:rFonts w:hint="eastAsia" w:ascii="宋体" w:hAnsi="Times New Roman"/>
          <w:sz w:val="21"/>
          <w:szCs w:val="21"/>
          <w:lang w:val="en-US" w:eastAsia="zh-CN"/>
        </w:rPr>
        <w:t>20</w:t>
      </w:r>
      <w:r>
        <w:rPr>
          <w:rFonts w:hint="eastAsia" w:ascii="宋体" w:hAnsi="Times New Roman"/>
          <w:sz w:val="21"/>
          <w:szCs w:val="21"/>
        </w:rPr>
        <w:t>.3 数据来源：培训计划、培训签到表、培训课件、考试或考核记录、应急演练记录、岗位人员名单等</w:t>
      </w:r>
      <w:r>
        <w:rPr>
          <w:rFonts w:hint="eastAsia" w:ascii="宋体" w:hAnsi="Times New Roman"/>
          <w:sz w:val="21"/>
          <w:szCs w:val="21"/>
          <w:lang w:eastAsia="zh-CN"/>
        </w:rPr>
        <w:t>。</w:t>
      </w:r>
    </w:p>
    <w:p w14:paraId="241EDF8F">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w:t>
      </w:r>
      <w:r>
        <w:rPr>
          <w:rFonts w:hint="eastAsia" w:ascii="黑体" w:eastAsia="黑体"/>
          <w:sz w:val="21"/>
          <w:szCs w:val="24"/>
          <w:lang w:val="en-US" w:eastAsia="zh-CN"/>
        </w:rPr>
        <w:t>21</w:t>
      </w:r>
      <w:r>
        <w:rPr>
          <w:rFonts w:hint="eastAsia" w:ascii="黑体" w:eastAsia="黑体"/>
          <w:sz w:val="21"/>
          <w:szCs w:val="24"/>
        </w:rPr>
        <w:t xml:space="preserve"> 异味投诉响应和闭环处置</w:t>
      </w:r>
    </w:p>
    <w:p w14:paraId="66466918">
      <w:pPr>
        <w:spacing w:before="157" w:beforeLines="50" w:after="157" w:afterLines="50" w:line="240" w:lineRule="auto"/>
        <w:rPr>
          <w:rFonts w:hint="eastAsia" w:ascii="宋体" w:hAnsi="Times New Roman"/>
          <w:sz w:val="21"/>
          <w:szCs w:val="21"/>
        </w:rPr>
      </w:pPr>
      <w:r>
        <w:rPr>
          <w:rFonts w:hint="eastAsia" w:ascii="宋体" w:hAnsi="Times New Roman"/>
          <w:sz w:val="21"/>
          <w:szCs w:val="21"/>
        </w:rPr>
        <w:t>B.</w:t>
      </w:r>
      <w:r>
        <w:rPr>
          <w:rFonts w:hint="eastAsia" w:ascii="宋体" w:hAnsi="Times New Roman"/>
          <w:sz w:val="21"/>
          <w:szCs w:val="21"/>
          <w:lang w:val="en-US" w:eastAsia="zh-CN"/>
        </w:rPr>
        <w:t>21</w:t>
      </w:r>
      <w:r>
        <w:rPr>
          <w:rFonts w:hint="eastAsia" w:ascii="宋体" w:hAnsi="Times New Roman"/>
          <w:sz w:val="21"/>
          <w:szCs w:val="21"/>
        </w:rPr>
        <w:t>.1 指标解释：指企业按照OMP或企业投诉处理机制，对异味投诉开展受理、核查、处置、反馈、整改和归档的情况。</w:t>
      </w:r>
    </w:p>
    <w:p w14:paraId="3E7FDD4A">
      <w:pPr>
        <w:spacing w:before="157" w:beforeLines="50" w:after="157" w:afterLines="50" w:line="240" w:lineRule="auto"/>
        <w:rPr>
          <w:rFonts w:hint="eastAsia" w:ascii="宋体" w:hAnsi="Times New Roman"/>
          <w:sz w:val="21"/>
          <w:szCs w:val="21"/>
        </w:rPr>
      </w:pPr>
      <w:r>
        <w:rPr>
          <w:rFonts w:hint="eastAsia" w:ascii="宋体" w:hAnsi="Times New Roman"/>
          <w:sz w:val="21"/>
          <w:szCs w:val="21"/>
          <w:lang w:val="en-US" w:eastAsia="zh-CN"/>
        </w:rPr>
        <w:t>B</w:t>
      </w:r>
      <w:r>
        <w:rPr>
          <w:rFonts w:hint="eastAsia" w:ascii="宋体" w:hAnsi="Times New Roman"/>
          <w:sz w:val="21"/>
          <w:szCs w:val="21"/>
        </w:rPr>
        <w:t>.</w:t>
      </w:r>
      <w:r>
        <w:rPr>
          <w:rFonts w:hint="eastAsia" w:ascii="宋体" w:hAnsi="Times New Roman"/>
          <w:sz w:val="21"/>
          <w:szCs w:val="21"/>
          <w:lang w:val="en-US" w:eastAsia="zh-CN"/>
        </w:rPr>
        <w:t>21</w:t>
      </w:r>
      <w:r>
        <w:rPr>
          <w:rFonts w:hint="eastAsia" w:ascii="宋体" w:hAnsi="Times New Roman"/>
          <w:sz w:val="21"/>
          <w:szCs w:val="21"/>
        </w:rPr>
        <w:t>.2 判定</w:t>
      </w:r>
      <w:r>
        <w:rPr>
          <w:rFonts w:hint="eastAsia" w:ascii="宋体" w:hAnsi="Times New Roman"/>
          <w:sz w:val="21"/>
          <w:szCs w:val="21"/>
          <w:lang w:val="en-US" w:eastAsia="zh-CN"/>
        </w:rPr>
        <w:t>说明</w:t>
      </w:r>
      <w:r>
        <w:rPr>
          <w:rFonts w:hint="eastAsia" w:ascii="宋体" w:hAnsi="Times New Roman"/>
          <w:sz w:val="21"/>
          <w:szCs w:val="21"/>
        </w:rPr>
        <w:t>：企业接到异味投诉后，能够及时启动现场核查、生产工况核对、监测或巡查、疑似异味源排查，并在合理时限内反馈初步调查与处置结果的，可视为具备投诉响应能力。对查实问题，应制定整改措施并跟踪验证；投诉信息的记录、调查、处理及回访情况应形成闭环管理档案。</w:t>
      </w:r>
    </w:p>
    <w:p w14:paraId="57828E2C">
      <w:pPr>
        <w:spacing w:before="157" w:beforeLines="50" w:after="157" w:afterLines="50" w:line="240" w:lineRule="auto"/>
        <w:rPr>
          <w:rFonts w:hint="eastAsia" w:ascii="宋体" w:hAnsi="Times New Roman"/>
          <w:sz w:val="21"/>
          <w:szCs w:val="21"/>
          <w:lang w:val="en-US" w:eastAsia="zh-CN"/>
        </w:rPr>
      </w:pPr>
      <w:r>
        <w:rPr>
          <w:rFonts w:hint="eastAsia" w:ascii="宋体" w:hAnsi="Times New Roman"/>
          <w:sz w:val="21"/>
          <w:szCs w:val="21"/>
        </w:rPr>
        <w:t>B.</w:t>
      </w:r>
      <w:r>
        <w:rPr>
          <w:rFonts w:hint="eastAsia" w:ascii="宋体" w:hAnsi="Times New Roman"/>
          <w:sz w:val="21"/>
          <w:szCs w:val="21"/>
          <w:lang w:val="en-US" w:eastAsia="zh-CN"/>
        </w:rPr>
        <w:t>21</w:t>
      </w:r>
      <w:r>
        <w:rPr>
          <w:rFonts w:hint="eastAsia" w:ascii="宋体" w:hAnsi="Times New Roman"/>
          <w:sz w:val="21"/>
          <w:szCs w:val="21"/>
        </w:rPr>
        <w:t>.3 数据来源：投诉受理记录、现场核查记录、监测或巡查记录、整改记录、反馈或回访记录、OMP管理档案等。</w:t>
      </w:r>
    </w:p>
    <w:p w14:paraId="3603A2B1">
      <w:pPr>
        <w:pStyle w:val="59"/>
        <w:spacing w:before="157" w:beforeLines="50" w:after="157" w:afterLines="50"/>
        <w:ind w:firstLine="0" w:firstLineChars="0"/>
        <w:rPr>
          <w:rFonts w:hint="eastAsia" w:ascii="黑体" w:eastAsia="黑体"/>
          <w:sz w:val="21"/>
          <w:szCs w:val="24"/>
        </w:rPr>
      </w:pPr>
      <w:r>
        <w:rPr>
          <w:rFonts w:hint="eastAsia" w:ascii="黑体" w:eastAsia="黑体"/>
          <w:sz w:val="21"/>
          <w:szCs w:val="24"/>
        </w:rPr>
        <w:t>B.</w:t>
      </w:r>
      <w:r>
        <w:rPr>
          <w:rFonts w:hint="eastAsia" w:ascii="黑体" w:eastAsia="黑体"/>
          <w:sz w:val="21"/>
          <w:szCs w:val="24"/>
          <w:lang w:val="en-US" w:eastAsia="zh-CN"/>
        </w:rPr>
        <w:t>22</w:t>
      </w:r>
      <w:r>
        <w:rPr>
          <w:rFonts w:hint="eastAsia" w:ascii="黑体" w:eastAsia="黑体"/>
          <w:sz w:val="21"/>
          <w:szCs w:val="24"/>
        </w:rPr>
        <w:t xml:space="preserve"> 公众沟通活动</w:t>
      </w:r>
    </w:p>
    <w:p w14:paraId="2B9DDB2D">
      <w:pPr>
        <w:spacing w:before="157" w:beforeLines="50" w:after="157" w:afterLines="50" w:line="240" w:lineRule="auto"/>
        <w:rPr>
          <w:rFonts w:hint="eastAsia" w:ascii="宋体" w:hAnsi="Times New Roman" w:eastAsia="宋体"/>
          <w:sz w:val="21"/>
          <w:szCs w:val="21"/>
          <w:lang w:eastAsia="zh-CN"/>
        </w:rPr>
      </w:pPr>
      <w:r>
        <w:rPr>
          <w:rFonts w:hint="eastAsia" w:ascii="宋体" w:hAnsi="Times New Roman"/>
          <w:sz w:val="21"/>
          <w:szCs w:val="21"/>
        </w:rPr>
        <w:t>B.</w:t>
      </w:r>
      <w:r>
        <w:rPr>
          <w:rFonts w:hint="eastAsia" w:ascii="宋体" w:hAnsi="Times New Roman"/>
          <w:sz w:val="21"/>
          <w:szCs w:val="21"/>
          <w:lang w:val="en-US" w:eastAsia="zh-CN"/>
        </w:rPr>
        <w:t>22</w:t>
      </w:r>
      <w:r>
        <w:rPr>
          <w:rFonts w:hint="eastAsia" w:ascii="宋体" w:hAnsi="Times New Roman"/>
          <w:sz w:val="21"/>
          <w:szCs w:val="21"/>
        </w:rPr>
        <w:t>.1 指标解释：指企业根据OMP要求，与周边公众、园区或属地管理部门开展异味治理信息沟通、公众交流或监督互动的情况</w:t>
      </w:r>
      <w:r>
        <w:rPr>
          <w:rFonts w:hint="eastAsia" w:ascii="宋体" w:hAnsi="Times New Roman"/>
          <w:sz w:val="21"/>
          <w:szCs w:val="21"/>
          <w:lang w:eastAsia="zh-CN"/>
        </w:rPr>
        <w:t>。</w:t>
      </w:r>
    </w:p>
    <w:p w14:paraId="240D5150">
      <w:pPr>
        <w:spacing w:before="157" w:beforeLines="50" w:after="157" w:afterLines="50" w:line="240" w:lineRule="auto"/>
        <w:rPr>
          <w:rFonts w:hint="eastAsia" w:ascii="宋体" w:hAnsi="Times New Roman" w:eastAsia="宋体"/>
          <w:sz w:val="21"/>
          <w:szCs w:val="21"/>
          <w:lang w:eastAsia="zh-CN"/>
        </w:rPr>
      </w:pPr>
      <w:r>
        <w:rPr>
          <w:rFonts w:hint="eastAsia" w:ascii="宋体" w:hAnsi="Times New Roman"/>
          <w:sz w:val="21"/>
          <w:szCs w:val="21"/>
          <w:lang w:val="en-US" w:eastAsia="zh-CN"/>
        </w:rPr>
        <w:t>B</w:t>
      </w:r>
      <w:r>
        <w:rPr>
          <w:rFonts w:hint="eastAsia" w:ascii="宋体" w:hAnsi="Times New Roman"/>
          <w:sz w:val="21"/>
          <w:szCs w:val="21"/>
        </w:rPr>
        <w:t>.</w:t>
      </w:r>
      <w:r>
        <w:rPr>
          <w:rFonts w:hint="eastAsia" w:ascii="宋体" w:hAnsi="Times New Roman"/>
          <w:sz w:val="21"/>
          <w:szCs w:val="21"/>
          <w:lang w:val="en-US" w:eastAsia="zh-CN"/>
        </w:rPr>
        <w:t>22</w:t>
      </w:r>
      <w:r>
        <w:rPr>
          <w:rFonts w:hint="eastAsia" w:ascii="宋体" w:hAnsi="Times New Roman"/>
          <w:sz w:val="21"/>
          <w:szCs w:val="21"/>
        </w:rPr>
        <w:t>.2 判定</w:t>
      </w:r>
      <w:r>
        <w:rPr>
          <w:rFonts w:hint="eastAsia" w:ascii="宋体" w:hAnsi="Times New Roman"/>
          <w:sz w:val="21"/>
          <w:szCs w:val="21"/>
          <w:lang w:val="en-US" w:eastAsia="zh-CN"/>
        </w:rPr>
        <w:t>说明</w:t>
      </w:r>
      <w:r>
        <w:rPr>
          <w:rFonts w:hint="eastAsia" w:ascii="宋体" w:hAnsi="Times New Roman"/>
          <w:sz w:val="21"/>
          <w:szCs w:val="21"/>
        </w:rPr>
        <w:t>：公众沟通活动可包括信息公开栏、电子显示屏、企业开放日、公众座谈、热线电话、社区沟通、园区协调会、整改进展说明等形式。企业可结合厂区安全、行业特点、保密要求和周边敏感程度选择适宜方式，不宜将“公众开放日”作为唯一形式</w:t>
      </w:r>
      <w:r>
        <w:rPr>
          <w:rFonts w:hint="eastAsia" w:ascii="宋体" w:hAnsi="Times New Roman"/>
          <w:sz w:val="21"/>
          <w:szCs w:val="21"/>
          <w:lang w:eastAsia="zh-CN"/>
        </w:rPr>
        <w:t>。</w:t>
      </w:r>
    </w:p>
    <w:p w14:paraId="7F859D59">
      <w:pPr>
        <w:spacing w:before="157" w:beforeLines="50" w:after="157" w:afterLines="50" w:line="240" w:lineRule="auto"/>
        <w:rPr>
          <w:rFonts w:hint="eastAsia" w:ascii="宋体" w:hAnsi="Times New Roman" w:eastAsia="宋体"/>
          <w:sz w:val="21"/>
          <w:szCs w:val="21"/>
          <w:lang w:val="en-US" w:eastAsia="zh-CN"/>
        </w:rPr>
      </w:pPr>
      <w:r>
        <w:rPr>
          <w:rFonts w:hint="eastAsia" w:ascii="宋体" w:hAnsi="Times New Roman"/>
          <w:sz w:val="21"/>
          <w:szCs w:val="21"/>
        </w:rPr>
        <w:t>B.</w:t>
      </w:r>
      <w:r>
        <w:rPr>
          <w:rFonts w:hint="eastAsia" w:ascii="宋体" w:hAnsi="Times New Roman"/>
          <w:sz w:val="21"/>
          <w:szCs w:val="21"/>
          <w:lang w:val="en-US" w:eastAsia="zh-CN"/>
        </w:rPr>
        <w:t>22</w:t>
      </w:r>
      <w:r>
        <w:rPr>
          <w:rFonts w:hint="eastAsia" w:ascii="宋体" w:hAnsi="Times New Roman"/>
          <w:sz w:val="21"/>
          <w:szCs w:val="21"/>
        </w:rPr>
        <w:t>.3 数据来源：沟通活动方案、信息公开材料、会议纪要、签到记录、照片或视频资料、公众反馈记录、园区或属地沟通记录等</w:t>
      </w:r>
      <w:r>
        <w:rPr>
          <w:rFonts w:hint="eastAsia" w:ascii="宋体" w:hAnsi="Times New Roman"/>
          <w:sz w:val="21"/>
          <w:szCs w:val="21"/>
          <w:lang w:eastAsia="zh-CN"/>
        </w:rPr>
        <w:t>。</w:t>
      </w:r>
    </w:p>
    <w:p w14:paraId="7A96C7E6">
      <w:pPr>
        <w:rPr>
          <w:highlight w:val="none"/>
        </w:rPr>
      </w:pPr>
      <w:r>
        <w:rPr>
          <w:highlight w:val="none"/>
        </w:rPr>
        <w:br w:type="page"/>
      </w:r>
    </w:p>
    <w:p w14:paraId="5F7B557F">
      <w:pPr>
        <w:pStyle w:val="79"/>
        <w:spacing w:before="78" w:after="156"/>
        <w:rPr>
          <w:highlight w:val="none"/>
        </w:rPr>
      </w:pPr>
      <w:bookmarkStart w:id="85" w:name="_Toc8582"/>
      <w:r>
        <w:rPr>
          <w:highlight w:val="none"/>
        </w:rPr>
        <w:br w:type="textWrapping"/>
      </w:r>
      <w:r>
        <w:rPr>
          <w:rFonts w:hint="eastAsia"/>
          <w:highlight w:val="none"/>
        </w:rPr>
        <w:t>（资料性）</w:t>
      </w:r>
      <w:r>
        <w:rPr>
          <w:highlight w:val="none"/>
        </w:rPr>
        <w:br w:type="textWrapping"/>
      </w:r>
      <w:r>
        <w:rPr>
          <w:rFonts w:hint="eastAsia"/>
          <w:highlight w:val="none"/>
        </w:rPr>
        <w:t>无异味工厂创建自评表</w:t>
      </w:r>
      <w:bookmarkEnd w:id="85"/>
    </w:p>
    <w:p w14:paraId="320BBF3D">
      <w:pPr>
        <w:pStyle w:val="103"/>
        <w:spacing w:before="156" w:after="156"/>
        <w:ind w:left="0" w:leftChars="0" w:firstLine="0" w:firstLineChars="0"/>
        <w:rPr>
          <w:rFonts w:hint="eastAsia"/>
          <w:highlight w:val="none"/>
        </w:rPr>
      </w:pPr>
    </w:p>
    <w:p w14:paraId="422F3F54">
      <w:pPr>
        <w:pStyle w:val="59"/>
        <w:spacing w:before="157" w:beforeLines="50" w:after="157" w:afterLines="50" w:line="240" w:lineRule="auto"/>
        <w:ind w:firstLine="0" w:firstLineChars="0"/>
        <w:rPr>
          <w:rFonts w:hint="eastAsia" w:ascii="黑体" w:eastAsia="黑体" w:cs="Times New Roman"/>
          <w:highlight w:val="none"/>
          <w:lang w:val="en-US" w:eastAsia="zh-CN"/>
        </w:rPr>
      </w:pPr>
      <w:r>
        <w:rPr>
          <w:rFonts w:hint="eastAsia" w:ascii="黑体" w:eastAsia="黑体" w:cs="Times New Roman"/>
          <w:highlight w:val="none"/>
          <w:lang w:val="en-US" w:eastAsia="zh-CN"/>
        </w:rPr>
        <w:t>C.1 自评表说明</w:t>
      </w:r>
    </w:p>
    <w:p w14:paraId="7CDE114A">
      <w:pPr>
        <w:pStyle w:val="103"/>
        <w:spacing w:before="156" w:after="156"/>
        <w:ind w:left="0" w:leftChars="0" w:firstLine="0" w:firstLineChars="0"/>
        <w:rPr>
          <w:rFonts w:hint="eastAsia" w:ascii="宋体" w:hAnsi="宋体" w:eastAsia="宋体" w:cs="宋体"/>
          <w:kern w:val="0"/>
          <w:sz w:val="21"/>
          <w:szCs w:val="21"/>
          <w:highlight w:val="none"/>
          <w:lang w:val="en-US" w:eastAsia="zh-CN" w:bidi="ar-SA"/>
        </w:rPr>
      </w:pPr>
      <w:r>
        <w:rPr>
          <w:rFonts w:hint="eastAsia" w:ascii="黑体" w:hAnsi="Times New Roman" w:eastAsia="黑体" w:cs="Times New Roman"/>
          <w:kern w:val="0"/>
          <w:sz w:val="21"/>
          <w:highlight w:val="none"/>
          <w:lang w:val="en-US" w:eastAsia="zh-CN" w:bidi="ar-SA"/>
        </w:rPr>
        <w:t xml:space="preserve">C.1.1 </w:t>
      </w:r>
      <w:r>
        <w:rPr>
          <w:rFonts w:hint="eastAsia" w:ascii="宋体" w:hAnsi="宋体" w:eastAsia="宋体" w:cs="宋体"/>
          <w:kern w:val="0"/>
          <w:sz w:val="21"/>
          <w:szCs w:val="21"/>
          <w:highlight w:val="none"/>
          <w:lang w:val="en-US" w:eastAsia="zh-CN" w:bidi="ar-SA"/>
        </w:rPr>
        <w:t>本附录给出了无异味工厂创建自评表，适用于创建主体开展自我检查、问题识别、整改跟踪和持续改进。</w:t>
      </w:r>
    </w:p>
    <w:p w14:paraId="627CD3E0">
      <w:pPr>
        <w:pStyle w:val="103"/>
        <w:spacing w:before="156" w:after="156"/>
        <w:ind w:left="0" w:leftChars="0" w:firstLine="0" w:firstLineChars="0"/>
        <w:rPr>
          <w:rFonts w:hint="eastAsia" w:ascii="宋体" w:hAnsi="宋体" w:eastAsia="宋体" w:cs="宋体"/>
          <w:kern w:val="0"/>
          <w:sz w:val="21"/>
          <w:szCs w:val="21"/>
          <w:highlight w:val="none"/>
          <w:lang w:val="en-US" w:eastAsia="zh-CN" w:bidi="ar-SA"/>
        </w:rPr>
      </w:pPr>
      <w:r>
        <w:rPr>
          <w:rFonts w:hint="eastAsia" w:ascii="黑体" w:hAnsi="Times New Roman" w:eastAsia="黑体" w:cs="Times New Roman"/>
          <w:kern w:val="0"/>
          <w:sz w:val="21"/>
          <w:highlight w:val="none"/>
          <w:lang w:val="en-US" w:eastAsia="zh-CN" w:bidi="ar-SA"/>
        </w:rPr>
        <w:t xml:space="preserve">C.1.2 </w:t>
      </w:r>
      <w:r>
        <w:rPr>
          <w:rFonts w:hint="eastAsia" w:ascii="宋体" w:hAnsi="宋体" w:eastAsia="宋体" w:cs="宋体"/>
          <w:kern w:val="0"/>
          <w:sz w:val="21"/>
          <w:szCs w:val="21"/>
          <w:highlight w:val="none"/>
          <w:lang w:val="en-US" w:eastAsia="zh-CN" w:bidi="ar-SA"/>
        </w:rPr>
        <w:t>本自评表用于指导无异味工厂创建和自评，不作为无异味工厂等级评价、认证认定或行政监管的直接依据。</w:t>
      </w:r>
    </w:p>
    <w:p w14:paraId="05B999FC">
      <w:pPr>
        <w:pStyle w:val="103"/>
        <w:spacing w:before="156" w:after="156"/>
        <w:ind w:left="0" w:leftChars="0" w:firstLine="0" w:firstLineChars="0"/>
        <w:rPr>
          <w:rFonts w:hint="eastAsia" w:ascii="黑体" w:hAnsi="Times New Roman" w:eastAsia="黑体" w:cs="Times New Roman"/>
          <w:kern w:val="0"/>
          <w:sz w:val="21"/>
          <w:highlight w:val="none"/>
          <w:lang w:val="en-US" w:eastAsia="zh-CN" w:bidi="ar-SA"/>
        </w:rPr>
      </w:pPr>
      <w:r>
        <w:rPr>
          <w:rFonts w:hint="eastAsia" w:ascii="黑体" w:hAnsi="Times New Roman" w:eastAsia="黑体" w:cs="Times New Roman"/>
          <w:kern w:val="0"/>
          <w:sz w:val="21"/>
          <w:highlight w:val="none"/>
          <w:lang w:val="en-US" w:eastAsia="zh-CN" w:bidi="ar-SA"/>
        </w:rPr>
        <w:t xml:space="preserve">C.1.3 </w:t>
      </w:r>
      <w:r>
        <w:rPr>
          <w:rFonts w:hint="eastAsia" w:ascii="宋体" w:hAnsi="宋体" w:eastAsia="宋体" w:cs="宋体"/>
          <w:kern w:val="0"/>
          <w:sz w:val="21"/>
          <w:szCs w:val="21"/>
          <w:highlight w:val="none"/>
          <w:lang w:val="en-US" w:eastAsia="zh-CN" w:bidi="ar-SA"/>
        </w:rPr>
        <w:t>创建主体可依据本表对照检查各项建设指标的完成情况，在“符合情况”栏勾选相应选项，并在“佐证材料/说明”栏填写支撑材料名称、存在问题、不适用原因或后续整改措施</w:t>
      </w:r>
      <w:r>
        <w:rPr>
          <w:rFonts w:hint="eastAsia" w:cs="宋体"/>
          <w:kern w:val="0"/>
          <w:sz w:val="21"/>
          <w:szCs w:val="21"/>
          <w:highlight w:val="none"/>
          <w:lang w:val="en-US" w:eastAsia="zh-CN" w:bidi="ar-SA"/>
        </w:rPr>
        <w:t>。</w:t>
      </w:r>
    </w:p>
    <w:p w14:paraId="4CF6C072">
      <w:pPr>
        <w:pStyle w:val="103"/>
        <w:spacing w:before="156" w:after="156"/>
        <w:ind w:left="0" w:leftChars="0" w:firstLine="0" w:firstLineChars="0"/>
        <w:rPr>
          <w:rFonts w:hint="eastAsia" w:ascii="黑体" w:hAnsi="Times New Roman" w:eastAsia="黑体" w:cs="Times New Roman"/>
          <w:kern w:val="0"/>
          <w:sz w:val="21"/>
          <w:highlight w:val="none"/>
          <w:lang w:val="en-US" w:eastAsia="zh-CN" w:bidi="ar-SA"/>
        </w:rPr>
      </w:pPr>
      <w:r>
        <w:rPr>
          <w:rFonts w:hint="eastAsia" w:ascii="黑体" w:hAnsi="Times New Roman" w:eastAsia="黑体" w:cs="Times New Roman"/>
          <w:kern w:val="0"/>
          <w:sz w:val="21"/>
          <w:highlight w:val="none"/>
          <w:lang w:val="en-US" w:eastAsia="zh-CN" w:bidi="ar-SA"/>
        </w:rPr>
        <w:t xml:space="preserve">C.1.4 </w:t>
      </w:r>
      <w:r>
        <w:rPr>
          <w:rFonts w:hint="eastAsia" w:ascii="宋体" w:hAnsi="宋体" w:eastAsia="宋体" w:cs="宋体"/>
          <w:kern w:val="0"/>
          <w:sz w:val="21"/>
          <w:szCs w:val="21"/>
          <w:highlight w:val="none"/>
          <w:lang w:val="en-US" w:eastAsia="zh-CN" w:bidi="ar-SA"/>
        </w:rPr>
        <w:t>对因行业特性、生产工艺、工艺安全或客观条件确不适用的指标，可在“佐证材料/说明”栏中说明原因，并提供相应支撑材料。</w:t>
      </w:r>
    </w:p>
    <w:p w14:paraId="374002EB">
      <w:pPr>
        <w:pStyle w:val="103"/>
        <w:spacing w:before="156" w:after="156"/>
        <w:ind w:left="0" w:leftChars="0" w:firstLine="0" w:firstLineChars="0"/>
        <w:rPr>
          <w:rFonts w:hint="default" w:ascii="黑体" w:hAnsi="Times New Roman" w:eastAsia="黑体" w:cs="Times New Roman"/>
          <w:kern w:val="0"/>
          <w:sz w:val="21"/>
          <w:highlight w:val="none"/>
          <w:lang w:val="en-US" w:eastAsia="zh-CN" w:bidi="ar-SA"/>
        </w:rPr>
      </w:pPr>
      <w:r>
        <w:rPr>
          <w:rFonts w:hint="eastAsia" w:ascii="黑体" w:hAnsi="Times New Roman" w:eastAsia="黑体" w:cs="Times New Roman"/>
          <w:kern w:val="0"/>
          <w:sz w:val="21"/>
          <w:highlight w:val="none"/>
          <w:lang w:val="en-US" w:eastAsia="zh-CN" w:bidi="ar-SA"/>
        </w:rPr>
        <w:t xml:space="preserve">C.1.5 </w:t>
      </w:r>
      <w:r>
        <w:rPr>
          <w:rFonts w:hint="eastAsia" w:ascii="宋体" w:hAnsi="宋体" w:eastAsia="宋体" w:cs="宋体"/>
          <w:kern w:val="0"/>
          <w:sz w:val="21"/>
          <w:szCs w:val="21"/>
          <w:highlight w:val="none"/>
          <w:lang w:val="en-US" w:eastAsia="zh-CN" w:bidi="ar-SA"/>
        </w:rPr>
        <w:t>对自评发现的不符合项或需提升项，创建主体宜形成问题清单，明确整改措施、责任部门和完成时限，并将自评结果作为OMP更新和持续改进的重要依据。</w:t>
      </w:r>
    </w:p>
    <w:p w14:paraId="41262764">
      <w:pPr>
        <w:pStyle w:val="59"/>
        <w:spacing w:before="157" w:beforeLines="50" w:after="157" w:afterLines="50" w:line="240" w:lineRule="auto"/>
        <w:ind w:firstLine="0" w:firstLineChars="0"/>
        <w:rPr>
          <w:rFonts w:hint="eastAsia" w:ascii="黑体" w:eastAsia="黑体" w:cs="Times New Roman"/>
          <w:highlight w:val="none"/>
          <w:lang w:val="en-US" w:eastAsia="zh-CN"/>
        </w:rPr>
      </w:pPr>
      <w:r>
        <w:rPr>
          <w:rFonts w:hint="eastAsia" w:ascii="黑体" w:eastAsia="黑体" w:cs="Times New Roman"/>
          <w:highlight w:val="none"/>
          <w:lang w:val="en-US" w:eastAsia="zh-CN"/>
        </w:rPr>
        <w:t>C.2 自评表内容</w:t>
      </w:r>
    </w:p>
    <w:p w14:paraId="2CD2658A">
      <w:pPr>
        <w:pStyle w:val="59"/>
        <w:spacing w:before="157" w:beforeLines="50" w:after="157" w:afterLines="50" w:line="240" w:lineRule="auto"/>
        <w:ind w:firstLine="420" w:firstLineChars="200"/>
        <w:rPr>
          <w:rFonts w:hint="eastAsia" w:ascii="宋体" w:hAnsi="宋体" w:eastAsia="宋体" w:cs="宋体"/>
          <w:kern w:val="0"/>
          <w:sz w:val="21"/>
          <w:szCs w:val="21"/>
          <w:highlight w:val="none"/>
          <w:lang w:val="en-US" w:eastAsia="zh-CN" w:bidi="ar-SA"/>
        </w:rPr>
      </w:pPr>
      <w:r>
        <w:rPr>
          <w:rFonts w:hint="eastAsia"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无异味工厂创建自评表</w:t>
      </w:r>
      <w:r>
        <w:rPr>
          <w:rFonts w:hint="eastAsia"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具体内容见表C.1</w:t>
      </w:r>
      <w:r>
        <w:rPr>
          <w:rFonts w:hint="eastAsia" w:hAnsi="宋体" w:cs="宋体"/>
          <w:kern w:val="0"/>
          <w:sz w:val="21"/>
          <w:szCs w:val="21"/>
          <w:highlight w:val="none"/>
          <w:lang w:val="en-US" w:eastAsia="zh-CN" w:bidi="ar-SA"/>
        </w:rPr>
        <w:t>。</w:t>
      </w:r>
    </w:p>
    <w:p w14:paraId="7250B217">
      <w:pPr>
        <w:pStyle w:val="103"/>
        <w:spacing w:before="156" w:after="156"/>
        <w:ind w:left="0" w:leftChars="0" w:firstLine="0" w:firstLineChars="0"/>
        <w:jc w:val="center"/>
        <w:rPr>
          <w:rFonts w:hint="eastAsia" w:ascii="黑体" w:hAnsi="Times New Roman" w:eastAsia="黑体" w:cs="Times New Roman"/>
          <w:sz w:val="18"/>
          <w:szCs w:val="18"/>
          <w:highlight w:val="none"/>
          <w:lang w:val="en-US" w:eastAsia="zh-CN" w:bidi="ar-SA"/>
        </w:rPr>
      </w:pPr>
      <w:r>
        <w:rPr>
          <w:rFonts w:hint="eastAsia" w:ascii="黑体" w:hAnsi="Times New Roman" w:eastAsia="黑体" w:cs="Times New Roman"/>
          <w:sz w:val="18"/>
          <w:szCs w:val="18"/>
          <w:highlight w:val="none"/>
          <w:lang w:val="en-US" w:eastAsia="zh-CN" w:bidi="ar-SA"/>
        </w:rPr>
        <w:t>表C.1无异味工厂创建自评表</w:t>
      </w:r>
    </w:p>
    <w:tbl>
      <w:tblPr>
        <w:tblStyle w:val="28"/>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470"/>
        <w:gridCol w:w="1313"/>
        <w:gridCol w:w="942"/>
        <w:gridCol w:w="2220"/>
        <w:gridCol w:w="1170"/>
        <w:gridCol w:w="645"/>
        <w:gridCol w:w="1230"/>
        <w:gridCol w:w="1423"/>
      </w:tblGrid>
      <w:tr w14:paraId="148C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1E69BF53">
            <w:pPr>
              <w:widowControl/>
              <w:adjustRightInd/>
              <w:spacing w:before="0" w:after="0" w:line="240" w:lineRule="auto"/>
              <w:ind w:left="0"/>
              <w:jc w:val="center"/>
              <w:textAlignment w:val="bottom"/>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序号</w:t>
            </w:r>
          </w:p>
        </w:tc>
        <w:tc>
          <w:tcPr>
            <w:tcW w:w="1313" w:type="dxa"/>
            <w:shd w:val="clear" w:color="auto" w:fill="auto"/>
            <w:tcMar>
              <w:top w:w="60" w:type="dxa"/>
              <w:left w:w="120" w:type="dxa"/>
              <w:bottom w:w="30" w:type="dxa"/>
              <w:right w:w="120" w:type="dxa"/>
            </w:tcMar>
            <w:vAlign w:val="center"/>
          </w:tcPr>
          <w:p w14:paraId="2734DAA1">
            <w:pPr>
              <w:widowControl/>
              <w:adjustRightInd/>
              <w:spacing w:before="0" w:after="0" w:line="240" w:lineRule="auto"/>
              <w:ind w:left="0"/>
              <w:jc w:val="center"/>
              <w:textAlignment w:val="bottom"/>
              <w:rPr>
                <w:rFonts w:hint="eastAsia" w:ascii="宋体" w:hAnsi="宋体" w:eastAsia="宋体" w:cs="宋体"/>
                <w:kern w:val="0"/>
                <w:sz w:val="20"/>
                <w:szCs w:val="20"/>
                <w:highlight w:val="none"/>
                <w:lang w:bidi="ar"/>
              </w:rPr>
            </w:pPr>
            <w:r>
              <w:rPr>
                <w:rFonts w:hint="eastAsia" w:ascii="宋体" w:hAnsi="宋体" w:cs="宋体"/>
                <w:kern w:val="0"/>
                <w:sz w:val="20"/>
                <w:szCs w:val="20"/>
                <w:highlight w:val="none"/>
                <w:lang w:val="en-US" w:eastAsia="zh-CN" w:bidi="ar"/>
              </w:rPr>
              <w:t>自评</w:t>
            </w:r>
            <w:r>
              <w:rPr>
                <w:rFonts w:hint="eastAsia" w:ascii="宋体" w:hAnsi="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bidi="ar"/>
              </w:rPr>
              <w:t>项目</w:t>
            </w:r>
          </w:p>
        </w:tc>
        <w:tc>
          <w:tcPr>
            <w:tcW w:w="942" w:type="dxa"/>
            <w:shd w:val="clear" w:color="auto" w:fill="auto"/>
            <w:tcMar>
              <w:top w:w="60" w:type="dxa"/>
              <w:left w:w="120" w:type="dxa"/>
              <w:bottom w:w="30" w:type="dxa"/>
              <w:right w:w="120" w:type="dxa"/>
            </w:tcMar>
            <w:vAlign w:val="center"/>
          </w:tcPr>
          <w:p w14:paraId="2F860477">
            <w:pPr>
              <w:widowControl/>
              <w:adjustRightInd/>
              <w:spacing w:before="0" w:after="0" w:line="240" w:lineRule="auto"/>
              <w:ind w:left="0"/>
              <w:jc w:val="center"/>
              <w:textAlignment w:val="bottom"/>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对应</w:t>
            </w:r>
            <w:r>
              <w:rPr>
                <w:rFonts w:hint="eastAsia" w:ascii="宋体" w:hAnsi="宋体" w:eastAsia="宋体" w:cs="宋体"/>
                <w:kern w:val="0"/>
                <w:sz w:val="20"/>
                <w:szCs w:val="20"/>
                <w:highlight w:val="none"/>
                <w:lang w:bidi="ar"/>
              </w:rPr>
              <w:br w:type="textWrapping"/>
            </w:r>
            <w:r>
              <w:rPr>
                <w:rFonts w:hint="eastAsia" w:ascii="宋体" w:hAnsi="宋体" w:eastAsia="宋体" w:cs="宋体"/>
                <w:kern w:val="0"/>
                <w:sz w:val="20"/>
                <w:szCs w:val="20"/>
                <w:highlight w:val="none"/>
                <w:lang w:bidi="ar"/>
              </w:rPr>
              <w:t>章节</w:t>
            </w:r>
          </w:p>
        </w:tc>
        <w:tc>
          <w:tcPr>
            <w:tcW w:w="2220" w:type="dxa"/>
            <w:shd w:val="clear" w:color="auto" w:fill="auto"/>
            <w:tcMar>
              <w:top w:w="60" w:type="dxa"/>
              <w:left w:w="120" w:type="dxa"/>
              <w:bottom w:w="30" w:type="dxa"/>
              <w:right w:w="120" w:type="dxa"/>
            </w:tcMar>
            <w:vAlign w:val="center"/>
          </w:tcPr>
          <w:p w14:paraId="5DA812E9">
            <w:pPr>
              <w:widowControl/>
              <w:adjustRightInd/>
              <w:spacing w:before="0" w:after="0" w:line="240" w:lineRule="auto"/>
              <w:ind w:left="0"/>
              <w:jc w:val="center"/>
              <w:textAlignment w:val="bottom"/>
              <w:rPr>
                <w:rFonts w:hint="default" w:ascii="宋体" w:hAnsi="宋体" w:eastAsia="宋体" w:cs="宋体"/>
                <w:kern w:val="0"/>
                <w:sz w:val="20"/>
                <w:szCs w:val="20"/>
                <w:highlight w:val="none"/>
                <w:lang w:bidi="ar"/>
              </w:rPr>
            </w:pPr>
            <w:r>
              <w:rPr>
                <w:rFonts w:hint="eastAsia" w:ascii="宋体" w:hAnsi="宋体" w:cs="宋体"/>
                <w:kern w:val="0"/>
                <w:sz w:val="20"/>
                <w:szCs w:val="20"/>
                <w:highlight w:val="none"/>
                <w:lang w:val="en-US" w:eastAsia="zh-CN" w:bidi="ar"/>
              </w:rPr>
              <w:t>内容</w:t>
            </w:r>
            <w:r>
              <w:rPr>
                <w:rFonts w:hint="eastAsia" w:ascii="宋体" w:hAnsi="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bidi="ar"/>
              </w:rPr>
              <w:t>要点</w:t>
            </w:r>
          </w:p>
        </w:tc>
        <w:tc>
          <w:tcPr>
            <w:tcW w:w="1170" w:type="dxa"/>
            <w:shd w:val="clear" w:color="auto" w:fill="auto"/>
            <w:tcMar>
              <w:top w:w="60" w:type="dxa"/>
              <w:left w:w="120" w:type="dxa"/>
              <w:bottom w:w="30" w:type="dxa"/>
              <w:right w:w="120" w:type="dxa"/>
            </w:tcMar>
            <w:vAlign w:val="center"/>
          </w:tcPr>
          <w:p w14:paraId="412B01C2">
            <w:pPr>
              <w:widowControl/>
              <w:adjustRightInd/>
              <w:spacing w:before="0" w:after="0" w:line="240" w:lineRule="auto"/>
              <w:ind w:left="0"/>
              <w:jc w:val="center"/>
              <w:textAlignment w:val="bottom"/>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指标</w:t>
            </w:r>
            <w:r>
              <w:rPr>
                <w:rFonts w:hint="eastAsia" w:ascii="宋体" w:hAnsi="宋体" w:eastAsia="宋体" w:cs="宋体"/>
                <w:kern w:val="0"/>
                <w:sz w:val="20"/>
                <w:szCs w:val="20"/>
                <w:highlight w:val="none"/>
                <w:lang w:bidi="ar"/>
              </w:rPr>
              <w:br w:type="textWrapping"/>
            </w:r>
            <w:r>
              <w:rPr>
                <w:rFonts w:hint="eastAsia" w:ascii="宋体" w:hAnsi="宋体" w:eastAsia="宋体" w:cs="宋体"/>
                <w:kern w:val="0"/>
                <w:sz w:val="20"/>
                <w:szCs w:val="20"/>
                <w:highlight w:val="none"/>
                <w:lang w:bidi="ar"/>
              </w:rPr>
              <w:t>要求</w:t>
            </w:r>
          </w:p>
        </w:tc>
        <w:tc>
          <w:tcPr>
            <w:tcW w:w="645" w:type="dxa"/>
            <w:shd w:val="clear" w:color="auto" w:fill="auto"/>
            <w:tcMar>
              <w:top w:w="60" w:type="dxa"/>
              <w:left w:w="120" w:type="dxa"/>
              <w:bottom w:w="30" w:type="dxa"/>
              <w:right w:w="120" w:type="dxa"/>
            </w:tcMar>
            <w:vAlign w:val="center"/>
          </w:tcPr>
          <w:p w14:paraId="10F60B98">
            <w:pPr>
              <w:widowControl/>
              <w:adjustRightInd/>
              <w:spacing w:before="0" w:after="0" w:line="240" w:lineRule="auto"/>
              <w:ind w:left="0"/>
              <w:jc w:val="center"/>
              <w:textAlignment w:val="bottom"/>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指标类型</w:t>
            </w:r>
          </w:p>
        </w:tc>
        <w:tc>
          <w:tcPr>
            <w:tcW w:w="1230" w:type="dxa"/>
            <w:shd w:val="clear" w:color="auto" w:fill="auto"/>
            <w:tcMar>
              <w:top w:w="60" w:type="dxa"/>
              <w:left w:w="120" w:type="dxa"/>
              <w:bottom w:w="30" w:type="dxa"/>
              <w:right w:w="120" w:type="dxa"/>
            </w:tcMar>
            <w:vAlign w:val="center"/>
          </w:tcPr>
          <w:p w14:paraId="327910E4">
            <w:pPr>
              <w:widowControl/>
              <w:adjustRightInd/>
              <w:spacing w:before="0" w:after="0" w:line="240" w:lineRule="auto"/>
              <w:ind w:left="0"/>
              <w:jc w:val="center"/>
              <w:textAlignment w:val="bottom"/>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符合</w:t>
            </w:r>
            <w:r>
              <w:rPr>
                <w:rFonts w:hint="eastAsia" w:ascii="宋体" w:hAnsi="宋体" w:eastAsia="宋体" w:cs="宋体"/>
                <w:kern w:val="0"/>
                <w:sz w:val="20"/>
                <w:szCs w:val="20"/>
                <w:highlight w:val="none"/>
                <w:lang w:bidi="ar"/>
              </w:rPr>
              <w:br w:type="textWrapping"/>
            </w:r>
            <w:r>
              <w:rPr>
                <w:rFonts w:hint="eastAsia" w:ascii="宋体" w:hAnsi="宋体" w:eastAsia="宋体" w:cs="宋体"/>
                <w:kern w:val="0"/>
                <w:sz w:val="20"/>
                <w:szCs w:val="20"/>
                <w:highlight w:val="none"/>
                <w:lang w:bidi="ar"/>
              </w:rPr>
              <w:t>情况</w:t>
            </w:r>
          </w:p>
        </w:tc>
        <w:tc>
          <w:tcPr>
            <w:tcW w:w="1423" w:type="dxa"/>
            <w:shd w:val="clear" w:color="auto" w:fill="auto"/>
            <w:tcMar>
              <w:top w:w="60" w:type="dxa"/>
              <w:left w:w="120" w:type="dxa"/>
              <w:bottom w:w="30" w:type="dxa"/>
              <w:right w:w="120" w:type="dxa"/>
            </w:tcMar>
            <w:vAlign w:val="center"/>
          </w:tcPr>
          <w:p w14:paraId="1B0F4F32">
            <w:pPr>
              <w:widowControl/>
              <w:adjustRightInd/>
              <w:spacing w:before="0" w:after="0" w:line="240" w:lineRule="auto"/>
              <w:ind w:left="0"/>
              <w:jc w:val="center"/>
              <w:textAlignment w:val="bottom"/>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作证材料/</w:t>
            </w:r>
            <w:r>
              <w:rPr>
                <w:rFonts w:hint="eastAsia" w:ascii="宋体" w:hAnsi="宋体" w:eastAsia="宋体" w:cs="宋体"/>
                <w:kern w:val="0"/>
                <w:sz w:val="20"/>
                <w:szCs w:val="20"/>
                <w:highlight w:val="none"/>
                <w:lang w:bidi="ar"/>
              </w:rPr>
              <w:br w:type="textWrapping"/>
            </w:r>
            <w:r>
              <w:rPr>
                <w:rFonts w:hint="eastAsia" w:ascii="宋体" w:hAnsi="宋体" w:eastAsia="宋体" w:cs="宋体"/>
                <w:kern w:val="0"/>
                <w:sz w:val="20"/>
                <w:szCs w:val="20"/>
                <w:highlight w:val="none"/>
                <w:lang w:bidi="ar"/>
              </w:rPr>
              <w:t>说明</w:t>
            </w:r>
          </w:p>
        </w:tc>
      </w:tr>
      <w:tr w14:paraId="7551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1204024E">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w:t>
            </w:r>
          </w:p>
        </w:tc>
        <w:tc>
          <w:tcPr>
            <w:tcW w:w="1313" w:type="dxa"/>
            <w:shd w:val="clear" w:color="auto" w:fill="auto"/>
            <w:tcMar>
              <w:top w:w="60" w:type="dxa"/>
              <w:left w:w="120" w:type="dxa"/>
              <w:bottom w:w="30" w:type="dxa"/>
              <w:right w:w="120" w:type="dxa"/>
            </w:tcMar>
            <w:vAlign w:val="center"/>
          </w:tcPr>
          <w:p w14:paraId="5C451C3E">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厂界臭气浓度</w:t>
            </w:r>
          </w:p>
        </w:tc>
        <w:tc>
          <w:tcPr>
            <w:tcW w:w="942" w:type="dxa"/>
            <w:shd w:val="clear" w:color="auto" w:fill="auto"/>
            <w:tcMar>
              <w:top w:w="60" w:type="dxa"/>
              <w:left w:w="120" w:type="dxa"/>
              <w:bottom w:w="30" w:type="dxa"/>
              <w:right w:w="120" w:type="dxa"/>
            </w:tcMar>
            <w:vAlign w:val="center"/>
          </w:tcPr>
          <w:p w14:paraId="224C68C3">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5.8.1、B.1</w:t>
            </w:r>
          </w:p>
        </w:tc>
        <w:tc>
          <w:tcPr>
            <w:tcW w:w="2220" w:type="dxa"/>
            <w:shd w:val="clear" w:color="auto" w:fill="auto"/>
            <w:tcMar>
              <w:top w:w="60" w:type="dxa"/>
              <w:left w:w="120" w:type="dxa"/>
              <w:bottom w:w="30" w:type="dxa"/>
              <w:right w:w="120" w:type="dxa"/>
            </w:tcMar>
            <w:vAlign w:val="center"/>
          </w:tcPr>
          <w:p w14:paraId="42A6B17E">
            <w:pPr>
              <w:keepNext w:val="0"/>
              <w:keepLines w:val="0"/>
              <w:widowControl/>
              <w:suppressLineNumbers w:val="0"/>
              <w:jc w:val="both"/>
              <w:textAlignment w:val="top"/>
              <w:rPr>
                <w:rFonts w:hint="default"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厂界臭气浓度是否满足国家或地方排放标准要求；监测点位是否覆盖靠近敏感目标一侧厂界或投诉关联区域</w:t>
            </w:r>
          </w:p>
        </w:tc>
        <w:tc>
          <w:tcPr>
            <w:tcW w:w="1170" w:type="dxa"/>
            <w:shd w:val="clear" w:color="auto" w:fill="auto"/>
            <w:tcMar>
              <w:top w:w="60" w:type="dxa"/>
              <w:left w:w="120" w:type="dxa"/>
              <w:bottom w:w="30" w:type="dxa"/>
              <w:right w:w="120" w:type="dxa"/>
            </w:tcMar>
            <w:vAlign w:val="center"/>
          </w:tcPr>
          <w:p w14:paraId="7A7DF0C0">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满足国家或地方排放标准要求</w:t>
            </w:r>
          </w:p>
        </w:tc>
        <w:tc>
          <w:tcPr>
            <w:tcW w:w="645" w:type="dxa"/>
            <w:shd w:val="clear" w:color="auto" w:fill="auto"/>
            <w:tcMar>
              <w:top w:w="60" w:type="dxa"/>
              <w:left w:w="120" w:type="dxa"/>
              <w:bottom w:w="30" w:type="dxa"/>
              <w:right w:w="120" w:type="dxa"/>
            </w:tcMar>
            <w:vAlign w:val="center"/>
          </w:tcPr>
          <w:p w14:paraId="6E792A10">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一类</w:t>
            </w:r>
          </w:p>
        </w:tc>
        <w:tc>
          <w:tcPr>
            <w:tcW w:w="1230" w:type="dxa"/>
            <w:shd w:val="clear" w:color="auto" w:fill="auto"/>
            <w:tcMar>
              <w:top w:w="60" w:type="dxa"/>
              <w:left w:w="120" w:type="dxa"/>
              <w:bottom w:w="30" w:type="dxa"/>
              <w:right w:w="120" w:type="dxa"/>
            </w:tcMar>
            <w:vAlign w:val="center"/>
          </w:tcPr>
          <w:p w14:paraId="783AA998">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197058BA">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725C395C">
            <w:pPr>
              <w:widowControl/>
              <w:jc w:val="both"/>
              <w:textAlignment w:val="top"/>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1EA82BD6">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第三方监测报告、自行监测记录、点位布设说明</w:t>
            </w:r>
          </w:p>
        </w:tc>
      </w:tr>
      <w:tr w14:paraId="5066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2442C1A8">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2</w:t>
            </w:r>
          </w:p>
        </w:tc>
        <w:tc>
          <w:tcPr>
            <w:tcW w:w="1313" w:type="dxa"/>
            <w:shd w:val="clear" w:color="auto" w:fill="auto"/>
            <w:tcMar>
              <w:top w:w="60" w:type="dxa"/>
              <w:left w:w="120" w:type="dxa"/>
              <w:bottom w:w="30" w:type="dxa"/>
              <w:right w:w="120" w:type="dxa"/>
            </w:tcMar>
            <w:vAlign w:val="center"/>
          </w:tcPr>
          <w:p w14:paraId="6D5138E2">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特征异味污染物浓度</w:t>
            </w:r>
          </w:p>
        </w:tc>
        <w:tc>
          <w:tcPr>
            <w:tcW w:w="942" w:type="dxa"/>
            <w:shd w:val="clear" w:color="auto" w:fill="auto"/>
            <w:tcMar>
              <w:top w:w="60" w:type="dxa"/>
              <w:left w:w="120" w:type="dxa"/>
              <w:bottom w:w="30" w:type="dxa"/>
              <w:right w:w="120" w:type="dxa"/>
            </w:tcMar>
            <w:vAlign w:val="center"/>
          </w:tcPr>
          <w:p w14:paraId="30E12C8F">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5.8.2、B.2</w:t>
            </w:r>
          </w:p>
        </w:tc>
        <w:tc>
          <w:tcPr>
            <w:tcW w:w="2220" w:type="dxa"/>
            <w:shd w:val="clear" w:color="auto" w:fill="auto"/>
            <w:tcMar>
              <w:top w:w="60" w:type="dxa"/>
              <w:left w:w="120" w:type="dxa"/>
              <w:bottom w:w="30" w:type="dxa"/>
              <w:right w:w="120" w:type="dxa"/>
            </w:tcMar>
            <w:vAlign w:val="center"/>
          </w:tcPr>
          <w:p w14:paraId="5660926E">
            <w:pPr>
              <w:keepNext w:val="0"/>
              <w:keepLines w:val="0"/>
              <w:widowControl/>
              <w:suppressLineNumbers w:val="0"/>
              <w:jc w:val="both"/>
              <w:textAlignment w:val="top"/>
              <w:rPr>
                <w:rFonts w:hint="default" w:ascii="宋体" w:hAnsi="宋体" w:eastAsia="宋体" w:cs="宋体"/>
                <w:kern w:val="0"/>
                <w:sz w:val="20"/>
                <w:szCs w:val="20"/>
                <w:highlight w:val="none"/>
                <w:lang w:val="en-US" w:bidi="ar"/>
              </w:rPr>
            </w:pPr>
            <w:r>
              <w:rPr>
                <w:rFonts w:hint="eastAsia" w:ascii="宋体" w:hAnsi="宋体" w:eastAsia="宋体" w:cs="宋体"/>
                <w:i w:val="0"/>
                <w:iCs w:val="0"/>
                <w:color w:val="000000"/>
                <w:kern w:val="0"/>
                <w:sz w:val="20"/>
                <w:szCs w:val="20"/>
                <w:u w:val="none"/>
                <w:lang w:val="en-US" w:eastAsia="zh-CN" w:bidi="ar"/>
              </w:rPr>
              <w:t>是否识别企业特征异味污染物；浓度是否满足排放标准要求，并达到创建控制目标</w:t>
            </w:r>
          </w:p>
        </w:tc>
        <w:tc>
          <w:tcPr>
            <w:tcW w:w="1170" w:type="dxa"/>
            <w:shd w:val="clear" w:color="auto" w:fill="auto"/>
            <w:tcMar>
              <w:top w:w="60" w:type="dxa"/>
              <w:left w:w="120" w:type="dxa"/>
              <w:bottom w:w="30" w:type="dxa"/>
              <w:right w:w="120" w:type="dxa"/>
            </w:tcMar>
            <w:vAlign w:val="center"/>
          </w:tcPr>
          <w:p w14:paraId="6F500D4A">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≤排放标准限值的75%</w:t>
            </w:r>
          </w:p>
        </w:tc>
        <w:tc>
          <w:tcPr>
            <w:tcW w:w="645" w:type="dxa"/>
            <w:shd w:val="clear" w:color="auto" w:fill="auto"/>
            <w:tcMar>
              <w:top w:w="60" w:type="dxa"/>
              <w:left w:w="120" w:type="dxa"/>
              <w:bottom w:w="30" w:type="dxa"/>
              <w:right w:w="120" w:type="dxa"/>
            </w:tcMar>
            <w:vAlign w:val="center"/>
          </w:tcPr>
          <w:p w14:paraId="28CA9BE2">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一类</w:t>
            </w:r>
          </w:p>
        </w:tc>
        <w:tc>
          <w:tcPr>
            <w:tcW w:w="1230" w:type="dxa"/>
            <w:shd w:val="clear" w:color="auto" w:fill="auto"/>
            <w:tcMar>
              <w:top w:w="60" w:type="dxa"/>
              <w:left w:w="120" w:type="dxa"/>
              <w:bottom w:w="30" w:type="dxa"/>
              <w:right w:w="120" w:type="dxa"/>
            </w:tcMar>
            <w:vAlign w:val="center"/>
          </w:tcPr>
          <w:p w14:paraId="227122F9">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1790C478">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586966A9">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7A9588DA">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监测报告、特征污染物识别说明、异味溯源分析材料</w:t>
            </w:r>
          </w:p>
        </w:tc>
      </w:tr>
      <w:tr w14:paraId="3C60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43FAA406">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3</w:t>
            </w:r>
          </w:p>
        </w:tc>
        <w:tc>
          <w:tcPr>
            <w:tcW w:w="1313" w:type="dxa"/>
            <w:shd w:val="clear" w:color="auto" w:fill="auto"/>
            <w:tcMar>
              <w:top w:w="60" w:type="dxa"/>
              <w:left w:w="120" w:type="dxa"/>
              <w:bottom w:w="30" w:type="dxa"/>
              <w:right w:w="120" w:type="dxa"/>
            </w:tcMar>
            <w:vAlign w:val="center"/>
          </w:tcPr>
          <w:p w14:paraId="6DD94661">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查实异味投诉整改闭环率</w:t>
            </w:r>
          </w:p>
        </w:tc>
        <w:tc>
          <w:tcPr>
            <w:tcW w:w="942" w:type="dxa"/>
            <w:shd w:val="clear" w:color="auto" w:fill="auto"/>
            <w:tcMar>
              <w:top w:w="60" w:type="dxa"/>
              <w:left w:w="120" w:type="dxa"/>
              <w:bottom w:w="30" w:type="dxa"/>
              <w:right w:w="120" w:type="dxa"/>
            </w:tcMar>
            <w:vAlign w:val="center"/>
          </w:tcPr>
          <w:p w14:paraId="443C5130">
            <w:pPr>
              <w:keepNext w:val="0"/>
              <w:keepLines w:val="0"/>
              <w:widowControl/>
              <w:suppressLineNumbers w:val="0"/>
              <w:jc w:val="center"/>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5.10.3、B.3</w:t>
            </w:r>
          </w:p>
        </w:tc>
        <w:tc>
          <w:tcPr>
            <w:tcW w:w="2220" w:type="dxa"/>
            <w:shd w:val="clear" w:color="auto" w:fill="auto"/>
            <w:tcMar>
              <w:top w:w="60" w:type="dxa"/>
              <w:left w:w="120" w:type="dxa"/>
              <w:bottom w:w="30" w:type="dxa"/>
              <w:right w:w="120" w:type="dxa"/>
            </w:tcMar>
            <w:vAlign w:val="center"/>
          </w:tcPr>
          <w:p w14:paraId="23928769">
            <w:pPr>
              <w:keepNext w:val="0"/>
              <w:keepLines w:val="0"/>
              <w:widowControl/>
              <w:suppressLineNumbers w:val="0"/>
              <w:jc w:val="both"/>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经查实与本企业有关的异味投诉是否完成原因排查、整改处置、反馈和归档</w:t>
            </w:r>
          </w:p>
        </w:tc>
        <w:tc>
          <w:tcPr>
            <w:tcW w:w="1170" w:type="dxa"/>
            <w:shd w:val="clear" w:color="auto" w:fill="auto"/>
            <w:tcMar>
              <w:top w:w="60" w:type="dxa"/>
              <w:left w:w="120" w:type="dxa"/>
              <w:bottom w:w="30" w:type="dxa"/>
              <w:right w:w="120" w:type="dxa"/>
            </w:tcMar>
            <w:vAlign w:val="center"/>
          </w:tcPr>
          <w:p w14:paraId="29B55590">
            <w:pPr>
              <w:keepNext w:val="0"/>
              <w:keepLines w:val="0"/>
              <w:widowControl/>
              <w:suppressLineNumbers w:val="0"/>
              <w:jc w:val="center"/>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645" w:type="dxa"/>
            <w:shd w:val="clear" w:color="auto" w:fill="auto"/>
            <w:tcMar>
              <w:top w:w="60" w:type="dxa"/>
              <w:left w:w="120" w:type="dxa"/>
              <w:bottom w:w="30" w:type="dxa"/>
              <w:right w:w="120" w:type="dxa"/>
            </w:tcMar>
            <w:vAlign w:val="center"/>
          </w:tcPr>
          <w:p w14:paraId="4BBA89E9">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一类</w:t>
            </w:r>
          </w:p>
        </w:tc>
        <w:tc>
          <w:tcPr>
            <w:tcW w:w="1230" w:type="dxa"/>
            <w:shd w:val="clear" w:color="auto" w:fill="auto"/>
            <w:tcMar>
              <w:top w:w="60" w:type="dxa"/>
              <w:left w:w="120" w:type="dxa"/>
              <w:bottom w:w="30" w:type="dxa"/>
              <w:right w:w="120" w:type="dxa"/>
            </w:tcMar>
            <w:vAlign w:val="center"/>
          </w:tcPr>
          <w:p w14:paraId="4661EDF8">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21632459">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302E70AA">
            <w:pPr>
              <w:jc w:val="both"/>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□不适用</w:t>
            </w:r>
          </w:p>
          <w:p w14:paraId="3E0A4FBF">
            <w:pPr>
              <w:jc w:val="both"/>
              <w:rPr>
                <w:rFonts w:hint="eastAsia" w:ascii="宋体" w:hAnsi="宋体" w:eastAsia="宋体" w:cs="宋体"/>
                <w:kern w:val="0"/>
                <w:sz w:val="20"/>
                <w:szCs w:val="20"/>
                <w:highlight w:val="none"/>
                <w:lang w:bidi="ar"/>
              </w:rPr>
            </w:pPr>
          </w:p>
        </w:tc>
        <w:tc>
          <w:tcPr>
            <w:tcW w:w="1423" w:type="dxa"/>
            <w:shd w:val="clear" w:color="auto" w:fill="auto"/>
            <w:tcMar>
              <w:top w:w="60" w:type="dxa"/>
              <w:left w:w="120" w:type="dxa"/>
              <w:bottom w:w="30" w:type="dxa"/>
              <w:right w:w="120" w:type="dxa"/>
            </w:tcMar>
            <w:vAlign w:val="center"/>
          </w:tcPr>
          <w:p w14:paraId="7AFDDB42">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投诉处理台账、现场核查记录、整改记录、回访记录</w:t>
            </w:r>
          </w:p>
        </w:tc>
      </w:tr>
      <w:tr w14:paraId="6415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1D4180A4">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w:t>
            </w:r>
          </w:p>
        </w:tc>
        <w:tc>
          <w:tcPr>
            <w:tcW w:w="1313" w:type="dxa"/>
            <w:shd w:val="clear" w:color="auto" w:fill="auto"/>
            <w:tcMar>
              <w:top w:w="60" w:type="dxa"/>
              <w:left w:w="120" w:type="dxa"/>
              <w:bottom w:w="30" w:type="dxa"/>
              <w:right w:w="120" w:type="dxa"/>
            </w:tcMar>
            <w:vAlign w:val="center"/>
          </w:tcPr>
          <w:p w14:paraId="7B82A63D">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重大环境安全事故或重大社会影响事件</w:t>
            </w:r>
          </w:p>
        </w:tc>
        <w:tc>
          <w:tcPr>
            <w:tcW w:w="942" w:type="dxa"/>
            <w:shd w:val="clear" w:color="auto" w:fill="auto"/>
            <w:tcMar>
              <w:top w:w="60" w:type="dxa"/>
              <w:left w:w="120" w:type="dxa"/>
              <w:bottom w:w="30" w:type="dxa"/>
              <w:right w:w="120" w:type="dxa"/>
            </w:tcMar>
            <w:vAlign w:val="center"/>
          </w:tcPr>
          <w:p w14:paraId="19F389E6">
            <w:pPr>
              <w:keepNext w:val="0"/>
              <w:keepLines w:val="0"/>
              <w:widowControl/>
              <w:suppressLineNumbers w:val="0"/>
              <w:jc w:val="center"/>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4.1.1、B.4</w:t>
            </w:r>
          </w:p>
        </w:tc>
        <w:tc>
          <w:tcPr>
            <w:tcW w:w="2220" w:type="dxa"/>
            <w:shd w:val="clear" w:color="auto" w:fill="auto"/>
            <w:tcMar>
              <w:top w:w="60" w:type="dxa"/>
              <w:left w:w="120" w:type="dxa"/>
              <w:bottom w:w="30" w:type="dxa"/>
              <w:right w:w="120" w:type="dxa"/>
            </w:tcMar>
            <w:vAlign w:val="center"/>
          </w:tcPr>
          <w:p w14:paraId="51711AC8">
            <w:pPr>
              <w:keepNext w:val="0"/>
              <w:keepLines w:val="0"/>
              <w:widowControl/>
              <w:suppressLineNumbers w:val="0"/>
              <w:jc w:val="both"/>
              <w:textAlignment w:val="top"/>
              <w:rPr>
                <w:rFonts w:hint="default"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近3年是否发生重大环境污染事故、生产安全事故或因异味问题引发的重大社会影响事件</w:t>
            </w:r>
          </w:p>
        </w:tc>
        <w:tc>
          <w:tcPr>
            <w:tcW w:w="1170" w:type="dxa"/>
            <w:shd w:val="clear" w:color="auto" w:fill="auto"/>
            <w:tcMar>
              <w:top w:w="60" w:type="dxa"/>
              <w:left w:w="120" w:type="dxa"/>
              <w:bottom w:w="30" w:type="dxa"/>
              <w:right w:w="120" w:type="dxa"/>
            </w:tcMar>
            <w:vAlign w:val="center"/>
          </w:tcPr>
          <w:p w14:paraId="73B5055A">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0次/过去3年</w:t>
            </w:r>
          </w:p>
        </w:tc>
        <w:tc>
          <w:tcPr>
            <w:tcW w:w="645" w:type="dxa"/>
            <w:shd w:val="clear" w:color="auto" w:fill="auto"/>
            <w:tcMar>
              <w:top w:w="60" w:type="dxa"/>
              <w:left w:w="120" w:type="dxa"/>
              <w:bottom w:w="30" w:type="dxa"/>
              <w:right w:w="120" w:type="dxa"/>
            </w:tcMar>
            <w:vAlign w:val="center"/>
          </w:tcPr>
          <w:p w14:paraId="71480F07">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一类</w:t>
            </w:r>
          </w:p>
        </w:tc>
        <w:tc>
          <w:tcPr>
            <w:tcW w:w="1230" w:type="dxa"/>
            <w:shd w:val="clear" w:color="auto" w:fill="auto"/>
            <w:tcMar>
              <w:top w:w="60" w:type="dxa"/>
              <w:left w:w="120" w:type="dxa"/>
              <w:bottom w:w="30" w:type="dxa"/>
              <w:right w:w="120" w:type="dxa"/>
            </w:tcMar>
            <w:vAlign w:val="center"/>
          </w:tcPr>
          <w:p w14:paraId="41ABF827">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6CB9C59F">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3575BDDA">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33128F21">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事故记录、主管部门通报、企业说明材料</w:t>
            </w:r>
          </w:p>
        </w:tc>
      </w:tr>
      <w:tr w14:paraId="67E2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4BD685DA">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w:t>
            </w:r>
          </w:p>
        </w:tc>
        <w:tc>
          <w:tcPr>
            <w:tcW w:w="1313" w:type="dxa"/>
            <w:shd w:val="clear" w:color="auto" w:fill="auto"/>
            <w:tcMar>
              <w:top w:w="60" w:type="dxa"/>
              <w:left w:w="120" w:type="dxa"/>
              <w:bottom w:w="30" w:type="dxa"/>
              <w:right w:w="120" w:type="dxa"/>
            </w:tcMar>
            <w:vAlign w:val="center"/>
          </w:tcPr>
          <w:p w14:paraId="1392A909">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感官评价</w:t>
            </w:r>
          </w:p>
        </w:tc>
        <w:tc>
          <w:tcPr>
            <w:tcW w:w="942" w:type="dxa"/>
            <w:shd w:val="clear" w:color="auto" w:fill="auto"/>
            <w:tcMar>
              <w:top w:w="60" w:type="dxa"/>
              <w:left w:w="120" w:type="dxa"/>
              <w:bottom w:w="30" w:type="dxa"/>
              <w:right w:w="120" w:type="dxa"/>
            </w:tcMar>
            <w:vAlign w:val="center"/>
          </w:tcPr>
          <w:p w14:paraId="6AABF212">
            <w:pPr>
              <w:keepNext w:val="0"/>
              <w:keepLines w:val="0"/>
              <w:widowControl/>
              <w:suppressLineNumbers w:val="0"/>
              <w:jc w:val="center"/>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4.2.4、5.8.3、B.5</w:t>
            </w:r>
          </w:p>
        </w:tc>
        <w:tc>
          <w:tcPr>
            <w:tcW w:w="2220" w:type="dxa"/>
            <w:shd w:val="clear" w:color="auto" w:fill="auto"/>
            <w:tcMar>
              <w:top w:w="60" w:type="dxa"/>
              <w:left w:w="120" w:type="dxa"/>
              <w:bottom w:w="30" w:type="dxa"/>
              <w:right w:w="120" w:type="dxa"/>
            </w:tcMar>
            <w:vAlign w:val="center"/>
          </w:tcPr>
          <w:p w14:paraId="1BE23F3B">
            <w:pPr>
              <w:keepNext w:val="0"/>
              <w:keepLines w:val="0"/>
              <w:widowControl/>
              <w:suppressLineNumbers w:val="0"/>
              <w:jc w:val="both"/>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厂界及周边敏感目标是否存在明显异味影响；是否覆盖异味易感知或扩散不利时段</w:t>
            </w:r>
          </w:p>
        </w:tc>
        <w:tc>
          <w:tcPr>
            <w:tcW w:w="1170" w:type="dxa"/>
            <w:shd w:val="clear" w:color="auto" w:fill="auto"/>
            <w:tcMar>
              <w:top w:w="60" w:type="dxa"/>
              <w:left w:w="120" w:type="dxa"/>
              <w:bottom w:w="30" w:type="dxa"/>
              <w:right w:w="120" w:type="dxa"/>
            </w:tcMar>
            <w:vAlign w:val="center"/>
          </w:tcPr>
          <w:p w14:paraId="71A17033">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厂界及周边敏感目标无明显异味影响</w:t>
            </w:r>
          </w:p>
        </w:tc>
        <w:tc>
          <w:tcPr>
            <w:tcW w:w="645" w:type="dxa"/>
            <w:shd w:val="clear" w:color="auto" w:fill="auto"/>
            <w:tcMar>
              <w:top w:w="60" w:type="dxa"/>
              <w:left w:w="120" w:type="dxa"/>
              <w:bottom w:w="30" w:type="dxa"/>
              <w:right w:w="120" w:type="dxa"/>
            </w:tcMar>
            <w:vAlign w:val="center"/>
          </w:tcPr>
          <w:p w14:paraId="2C55552D">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二类</w:t>
            </w:r>
          </w:p>
        </w:tc>
        <w:tc>
          <w:tcPr>
            <w:tcW w:w="1230" w:type="dxa"/>
            <w:shd w:val="clear" w:color="auto" w:fill="auto"/>
            <w:tcMar>
              <w:top w:w="60" w:type="dxa"/>
              <w:left w:w="120" w:type="dxa"/>
              <w:bottom w:w="30" w:type="dxa"/>
              <w:right w:w="120" w:type="dxa"/>
            </w:tcMar>
            <w:vAlign w:val="center"/>
          </w:tcPr>
          <w:p w14:paraId="10C781AC">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5086FA98">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595CC2D1">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4B54CFD3">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巡查记录、人工嗅辨记录、第三方评估报告、投诉核查材料</w:t>
            </w:r>
          </w:p>
        </w:tc>
      </w:tr>
      <w:tr w14:paraId="403A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1FC9B1C6">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6</w:t>
            </w:r>
          </w:p>
        </w:tc>
        <w:tc>
          <w:tcPr>
            <w:tcW w:w="1313" w:type="dxa"/>
            <w:shd w:val="clear" w:color="auto" w:fill="auto"/>
            <w:tcMar>
              <w:top w:w="60" w:type="dxa"/>
              <w:left w:w="120" w:type="dxa"/>
              <w:bottom w:w="30" w:type="dxa"/>
              <w:right w:w="120" w:type="dxa"/>
            </w:tcMar>
            <w:vAlign w:val="center"/>
          </w:tcPr>
          <w:p w14:paraId="029F801B">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原辅材料异味风险评估与替代计划</w:t>
            </w:r>
          </w:p>
        </w:tc>
        <w:tc>
          <w:tcPr>
            <w:tcW w:w="942" w:type="dxa"/>
            <w:shd w:val="clear" w:color="auto" w:fill="auto"/>
            <w:tcMar>
              <w:top w:w="60" w:type="dxa"/>
              <w:left w:w="120" w:type="dxa"/>
              <w:bottom w:w="30" w:type="dxa"/>
              <w:right w:w="120" w:type="dxa"/>
            </w:tcMar>
            <w:vAlign w:val="center"/>
          </w:tcPr>
          <w:p w14:paraId="53177E02">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5.3.1、B.6</w:t>
            </w:r>
          </w:p>
        </w:tc>
        <w:tc>
          <w:tcPr>
            <w:tcW w:w="2220" w:type="dxa"/>
            <w:shd w:val="clear" w:color="auto" w:fill="auto"/>
            <w:tcMar>
              <w:top w:w="60" w:type="dxa"/>
              <w:left w:w="120" w:type="dxa"/>
              <w:bottom w:w="30" w:type="dxa"/>
              <w:right w:w="120" w:type="dxa"/>
            </w:tcMar>
            <w:vAlign w:val="center"/>
          </w:tcPr>
          <w:p w14:paraId="41D601A6">
            <w:pPr>
              <w:keepNext w:val="0"/>
              <w:keepLines w:val="0"/>
              <w:widowControl/>
              <w:suppressLineNumbers w:val="0"/>
              <w:jc w:val="both"/>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是否建立原辅材料异味风险评估机制；是否形成替代、减量或优化使用计划</w:t>
            </w:r>
          </w:p>
        </w:tc>
        <w:tc>
          <w:tcPr>
            <w:tcW w:w="1170" w:type="dxa"/>
            <w:shd w:val="clear" w:color="auto" w:fill="auto"/>
            <w:tcMar>
              <w:top w:w="60" w:type="dxa"/>
              <w:left w:w="120" w:type="dxa"/>
              <w:bottom w:w="30" w:type="dxa"/>
              <w:right w:w="120" w:type="dxa"/>
            </w:tcMar>
            <w:vAlign w:val="center"/>
          </w:tcPr>
          <w:p w14:paraId="3A972C44">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已建立并实施</w:t>
            </w:r>
          </w:p>
        </w:tc>
        <w:tc>
          <w:tcPr>
            <w:tcW w:w="645" w:type="dxa"/>
            <w:shd w:val="clear" w:color="auto" w:fill="auto"/>
            <w:tcMar>
              <w:top w:w="60" w:type="dxa"/>
              <w:left w:w="120" w:type="dxa"/>
              <w:bottom w:w="30" w:type="dxa"/>
              <w:right w:w="120" w:type="dxa"/>
            </w:tcMar>
            <w:vAlign w:val="center"/>
          </w:tcPr>
          <w:p w14:paraId="54BBC0B9">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二类</w:t>
            </w:r>
          </w:p>
        </w:tc>
        <w:tc>
          <w:tcPr>
            <w:tcW w:w="1230" w:type="dxa"/>
            <w:shd w:val="clear" w:color="auto" w:fill="auto"/>
            <w:tcMar>
              <w:top w:w="60" w:type="dxa"/>
              <w:left w:w="120" w:type="dxa"/>
              <w:bottom w:w="30" w:type="dxa"/>
              <w:right w:w="120" w:type="dxa"/>
            </w:tcMar>
            <w:vAlign w:val="center"/>
          </w:tcPr>
          <w:p w14:paraId="17E69695">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7A4FD9D9">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5F6B07B0">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7494610E">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原辅材料清单、SDS/MSDS、采购台账、替代计划</w:t>
            </w:r>
          </w:p>
        </w:tc>
      </w:tr>
      <w:tr w14:paraId="0640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212D8698">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7</w:t>
            </w:r>
          </w:p>
        </w:tc>
        <w:tc>
          <w:tcPr>
            <w:tcW w:w="1313" w:type="dxa"/>
            <w:shd w:val="clear" w:color="auto" w:fill="auto"/>
            <w:tcMar>
              <w:top w:w="60" w:type="dxa"/>
              <w:left w:w="120" w:type="dxa"/>
              <w:bottom w:w="30" w:type="dxa"/>
              <w:right w:w="120" w:type="dxa"/>
            </w:tcMar>
            <w:vAlign w:val="center"/>
          </w:tcPr>
          <w:p w14:paraId="190F95AF">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涉异味生产设备密闭化率</w:t>
            </w:r>
          </w:p>
        </w:tc>
        <w:tc>
          <w:tcPr>
            <w:tcW w:w="942" w:type="dxa"/>
            <w:shd w:val="clear" w:color="auto" w:fill="auto"/>
            <w:tcMar>
              <w:top w:w="60" w:type="dxa"/>
              <w:left w:w="120" w:type="dxa"/>
              <w:bottom w:w="30" w:type="dxa"/>
              <w:right w:w="120" w:type="dxa"/>
            </w:tcMar>
            <w:vAlign w:val="center"/>
          </w:tcPr>
          <w:p w14:paraId="230F9A43">
            <w:pPr>
              <w:keepNext w:val="0"/>
              <w:keepLines w:val="0"/>
              <w:widowControl/>
              <w:suppressLineNumbers w:val="0"/>
              <w:jc w:val="center"/>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5.2、5.3.3、B.7</w:t>
            </w:r>
          </w:p>
        </w:tc>
        <w:tc>
          <w:tcPr>
            <w:tcW w:w="2220" w:type="dxa"/>
            <w:shd w:val="clear" w:color="auto" w:fill="auto"/>
            <w:tcMar>
              <w:top w:w="60" w:type="dxa"/>
              <w:left w:w="120" w:type="dxa"/>
              <w:bottom w:w="30" w:type="dxa"/>
              <w:right w:w="120" w:type="dxa"/>
            </w:tcMar>
            <w:vAlign w:val="center"/>
          </w:tcPr>
          <w:p w14:paraId="4D626D81">
            <w:pPr>
              <w:keepNext w:val="0"/>
              <w:keepLines w:val="0"/>
              <w:widowControl/>
              <w:suppressLineNumbers w:val="0"/>
              <w:jc w:val="both"/>
              <w:textAlignment w:val="top"/>
              <w:rPr>
                <w:rFonts w:hint="default"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涉异味生产设备是否采取密闭、局部封闭、负压收集或等效防逸散措施</w:t>
            </w:r>
          </w:p>
        </w:tc>
        <w:tc>
          <w:tcPr>
            <w:tcW w:w="1170" w:type="dxa"/>
            <w:shd w:val="clear" w:color="auto" w:fill="auto"/>
            <w:tcMar>
              <w:top w:w="60" w:type="dxa"/>
              <w:left w:w="120" w:type="dxa"/>
              <w:bottom w:w="30" w:type="dxa"/>
              <w:right w:w="120" w:type="dxa"/>
            </w:tcMar>
            <w:vAlign w:val="center"/>
          </w:tcPr>
          <w:p w14:paraId="0B61257C">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100%（除工艺、安全或客观条件不适用外）</w:t>
            </w:r>
          </w:p>
        </w:tc>
        <w:tc>
          <w:tcPr>
            <w:tcW w:w="645" w:type="dxa"/>
            <w:shd w:val="clear" w:color="auto" w:fill="auto"/>
            <w:tcMar>
              <w:top w:w="60" w:type="dxa"/>
              <w:left w:w="120" w:type="dxa"/>
              <w:bottom w:w="30" w:type="dxa"/>
              <w:right w:w="120" w:type="dxa"/>
            </w:tcMar>
            <w:vAlign w:val="center"/>
          </w:tcPr>
          <w:p w14:paraId="5BC4C3DD">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一类</w:t>
            </w:r>
          </w:p>
        </w:tc>
        <w:tc>
          <w:tcPr>
            <w:tcW w:w="1230" w:type="dxa"/>
            <w:shd w:val="clear" w:color="auto" w:fill="auto"/>
            <w:tcMar>
              <w:top w:w="60" w:type="dxa"/>
              <w:left w:w="120" w:type="dxa"/>
              <w:bottom w:w="30" w:type="dxa"/>
              <w:right w:w="120" w:type="dxa"/>
            </w:tcMar>
            <w:vAlign w:val="center"/>
          </w:tcPr>
          <w:p w14:paraId="5EDED3F2">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34398202">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042FB09C">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4A724A13">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设备清单、P&amp;ID图、密闭化改造记录、现场照片</w:t>
            </w:r>
          </w:p>
        </w:tc>
      </w:tr>
      <w:tr w14:paraId="0394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6C89BD2C">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8</w:t>
            </w:r>
          </w:p>
        </w:tc>
        <w:tc>
          <w:tcPr>
            <w:tcW w:w="1313" w:type="dxa"/>
            <w:shd w:val="clear" w:color="auto" w:fill="auto"/>
            <w:tcMar>
              <w:top w:w="60" w:type="dxa"/>
              <w:left w:w="120" w:type="dxa"/>
              <w:bottom w:w="30" w:type="dxa"/>
              <w:right w:w="120" w:type="dxa"/>
            </w:tcMar>
            <w:vAlign w:val="center"/>
          </w:tcPr>
          <w:p w14:paraId="0E19D417">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重点设备低泄漏或密封措施落实情况</w:t>
            </w:r>
          </w:p>
        </w:tc>
        <w:tc>
          <w:tcPr>
            <w:tcW w:w="942" w:type="dxa"/>
            <w:shd w:val="clear" w:color="auto" w:fill="auto"/>
            <w:tcMar>
              <w:top w:w="60" w:type="dxa"/>
              <w:left w:w="120" w:type="dxa"/>
              <w:bottom w:w="30" w:type="dxa"/>
              <w:right w:w="120" w:type="dxa"/>
            </w:tcMar>
            <w:vAlign w:val="center"/>
          </w:tcPr>
          <w:p w14:paraId="773F8C52">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5.3.4、5.3.6、B.8</w:t>
            </w:r>
          </w:p>
        </w:tc>
        <w:tc>
          <w:tcPr>
            <w:tcW w:w="2220" w:type="dxa"/>
            <w:shd w:val="clear" w:color="auto" w:fill="auto"/>
            <w:tcMar>
              <w:top w:w="60" w:type="dxa"/>
              <w:left w:w="120" w:type="dxa"/>
              <w:bottom w:w="30" w:type="dxa"/>
              <w:right w:w="120" w:type="dxa"/>
            </w:tcMar>
            <w:vAlign w:val="center"/>
          </w:tcPr>
          <w:p w14:paraId="6221E472">
            <w:pPr>
              <w:keepNext w:val="0"/>
              <w:keepLines w:val="0"/>
              <w:widowControl/>
              <w:suppressLineNumbers w:val="0"/>
              <w:jc w:val="both"/>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泵、压缩机、阀门、法兰、采样口、排凝口等是否落实低泄漏或密封控制措施</w:t>
            </w:r>
          </w:p>
        </w:tc>
        <w:tc>
          <w:tcPr>
            <w:tcW w:w="1170" w:type="dxa"/>
            <w:shd w:val="clear" w:color="auto" w:fill="auto"/>
            <w:tcMar>
              <w:top w:w="60" w:type="dxa"/>
              <w:left w:w="120" w:type="dxa"/>
              <w:bottom w:w="30" w:type="dxa"/>
              <w:right w:w="120" w:type="dxa"/>
            </w:tcMar>
            <w:vAlign w:val="center"/>
          </w:tcPr>
          <w:p w14:paraId="53BD91C1">
            <w:pPr>
              <w:keepNext w:val="0"/>
              <w:keepLines w:val="0"/>
              <w:widowControl/>
              <w:suppressLineNumbers w:val="0"/>
              <w:jc w:val="center"/>
              <w:textAlignment w:val="top"/>
              <w:rPr>
                <w:rFonts w:hint="default"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满足创建要求</w:t>
            </w:r>
          </w:p>
        </w:tc>
        <w:tc>
          <w:tcPr>
            <w:tcW w:w="645" w:type="dxa"/>
            <w:shd w:val="clear" w:color="auto" w:fill="auto"/>
            <w:tcMar>
              <w:top w:w="60" w:type="dxa"/>
              <w:left w:w="120" w:type="dxa"/>
              <w:bottom w:w="30" w:type="dxa"/>
              <w:right w:w="120" w:type="dxa"/>
            </w:tcMar>
            <w:vAlign w:val="center"/>
          </w:tcPr>
          <w:p w14:paraId="0618F907">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二类</w:t>
            </w:r>
          </w:p>
        </w:tc>
        <w:tc>
          <w:tcPr>
            <w:tcW w:w="1230" w:type="dxa"/>
            <w:shd w:val="clear" w:color="auto" w:fill="auto"/>
            <w:tcMar>
              <w:top w:w="60" w:type="dxa"/>
              <w:left w:w="120" w:type="dxa"/>
              <w:bottom w:w="30" w:type="dxa"/>
              <w:right w:w="120" w:type="dxa"/>
            </w:tcMar>
            <w:vAlign w:val="center"/>
          </w:tcPr>
          <w:p w14:paraId="52E732E7">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7B994F78">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1905327C">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1DA2DC7A">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设备台账、采购资料、密封改造记录、LDAR台账</w:t>
            </w:r>
          </w:p>
        </w:tc>
      </w:tr>
      <w:tr w14:paraId="2D0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5BF96822">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9</w:t>
            </w:r>
          </w:p>
        </w:tc>
        <w:tc>
          <w:tcPr>
            <w:tcW w:w="1313" w:type="dxa"/>
            <w:shd w:val="clear" w:color="auto" w:fill="auto"/>
            <w:tcMar>
              <w:top w:w="60" w:type="dxa"/>
              <w:left w:w="120" w:type="dxa"/>
              <w:bottom w:w="30" w:type="dxa"/>
              <w:right w:w="120" w:type="dxa"/>
            </w:tcMar>
            <w:vAlign w:val="center"/>
          </w:tcPr>
          <w:p w14:paraId="104DD712">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真空系统干式化或密闭循环情况</w:t>
            </w:r>
          </w:p>
        </w:tc>
        <w:tc>
          <w:tcPr>
            <w:tcW w:w="942" w:type="dxa"/>
            <w:shd w:val="clear" w:color="auto" w:fill="auto"/>
            <w:tcMar>
              <w:top w:w="60" w:type="dxa"/>
              <w:left w:w="120" w:type="dxa"/>
              <w:bottom w:w="30" w:type="dxa"/>
              <w:right w:w="120" w:type="dxa"/>
            </w:tcMar>
            <w:vAlign w:val="center"/>
          </w:tcPr>
          <w:p w14:paraId="4E169388">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5.3.5、B.9</w:t>
            </w:r>
          </w:p>
        </w:tc>
        <w:tc>
          <w:tcPr>
            <w:tcW w:w="2220" w:type="dxa"/>
            <w:shd w:val="clear" w:color="auto" w:fill="auto"/>
            <w:tcMar>
              <w:top w:w="60" w:type="dxa"/>
              <w:left w:w="120" w:type="dxa"/>
              <w:bottom w:w="30" w:type="dxa"/>
              <w:right w:w="120" w:type="dxa"/>
            </w:tcMar>
            <w:vAlign w:val="center"/>
          </w:tcPr>
          <w:p w14:paraId="4491ABA6">
            <w:pPr>
              <w:keepNext w:val="0"/>
              <w:keepLines w:val="0"/>
              <w:widowControl/>
              <w:suppressLineNumbers w:val="0"/>
              <w:jc w:val="both"/>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涉异味真空系统是否采用干式真空泵，或液环真空泵是否配套密闭循环和尾气收集处理措施</w:t>
            </w:r>
          </w:p>
        </w:tc>
        <w:tc>
          <w:tcPr>
            <w:tcW w:w="1170" w:type="dxa"/>
            <w:shd w:val="clear" w:color="auto" w:fill="auto"/>
            <w:tcMar>
              <w:top w:w="60" w:type="dxa"/>
              <w:left w:w="120" w:type="dxa"/>
              <w:bottom w:w="30" w:type="dxa"/>
              <w:right w:w="120" w:type="dxa"/>
            </w:tcMar>
            <w:vAlign w:val="center"/>
          </w:tcPr>
          <w:p w14:paraId="54F98B54">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满足创建要求</w:t>
            </w:r>
          </w:p>
        </w:tc>
        <w:tc>
          <w:tcPr>
            <w:tcW w:w="645" w:type="dxa"/>
            <w:shd w:val="clear" w:color="auto" w:fill="auto"/>
            <w:tcMar>
              <w:top w:w="60" w:type="dxa"/>
              <w:left w:w="120" w:type="dxa"/>
              <w:bottom w:w="30" w:type="dxa"/>
              <w:right w:w="120" w:type="dxa"/>
            </w:tcMar>
            <w:vAlign w:val="center"/>
          </w:tcPr>
          <w:p w14:paraId="54710C43">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二类</w:t>
            </w:r>
          </w:p>
        </w:tc>
        <w:tc>
          <w:tcPr>
            <w:tcW w:w="1230" w:type="dxa"/>
            <w:shd w:val="clear" w:color="auto" w:fill="auto"/>
            <w:tcMar>
              <w:top w:w="60" w:type="dxa"/>
              <w:left w:w="120" w:type="dxa"/>
              <w:bottom w:w="30" w:type="dxa"/>
              <w:right w:w="120" w:type="dxa"/>
            </w:tcMar>
            <w:vAlign w:val="center"/>
          </w:tcPr>
          <w:p w14:paraId="30245CA4">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10757D47">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610ADBFA">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2CEE1C4E">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真空系统台账、管线连接图、现场核查记录、改造记录</w:t>
            </w:r>
          </w:p>
        </w:tc>
      </w:tr>
      <w:tr w14:paraId="6D10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383E154A">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10</w:t>
            </w:r>
          </w:p>
        </w:tc>
        <w:tc>
          <w:tcPr>
            <w:tcW w:w="1313" w:type="dxa"/>
            <w:shd w:val="clear" w:color="auto" w:fill="auto"/>
            <w:tcMar>
              <w:top w:w="60" w:type="dxa"/>
              <w:left w:w="120" w:type="dxa"/>
              <w:bottom w:w="30" w:type="dxa"/>
              <w:right w:w="120" w:type="dxa"/>
            </w:tcMar>
            <w:vAlign w:val="center"/>
          </w:tcPr>
          <w:p w14:paraId="1C6A1387">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泄漏检测与修复（LDAR）覆盖情况</w:t>
            </w:r>
          </w:p>
        </w:tc>
        <w:tc>
          <w:tcPr>
            <w:tcW w:w="942" w:type="dxa"/>
            <w:shd w:val="clear" w:color="auto" w:fill="auto"/>
            <w:tcMar>
              <w:top w:w="60" w:type="dxa"/>
              <w:left w:w="120" w:type="dxa"/>
              <w:bottom w:w="30" w:type="dxa"/>
              <w:right w:w="120" w:type="dxa"/>
            </w:tcMar>
            <w:vAlign w:val="center"/>
          </w:tcPr>
          <w:p w14:paraId="1E957EA3">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5.4.3、B.10</w:t>
            </w:r>
          </w:p>
        </w:tc>
        <w:tc>
          <w:tcPr>
            <w:tcW w:w="2220" w:type="dxa"/>
            <w:shd w:val="clear" w:color="auto" w:fill="auto"/>
            <w:tcMar>
              <w:top w:w="60" w:type="dxa"/>
              <w:left w:w="120" w:type="dxa"/>
              <w:bottom w:w="30" w:type="dxa"/>
              <w:right w:w="120" w:type="dxa"/>
            </w:tcMar>
            <w:vAlign w:val="center"/>
          </w:tcPr>
          <w:p w14:paraId="5EC3BFD3">
            <w:pPr>
              <w:keepNext w:val="0"/>
              <w:keepLines w:val="0"/>
              <w:widowControl/>
              <w:suppressLineNumbers w:val="0"/>
              <w:jc w:val="both"/>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涉VOCs物料使用企业是否建立密封点台账，按要求开展检测、修复和记录</w:t>
            </w:r>
          </w:p>
        </w:tc>
        <w:tc>
          <w:tcPr>
            <w:tcW w:w="1170" w:type="dxa"/>
            <w:shd w:val="clear" w:color="auto" w:fill="auto"/>
            <w:tcMar>
              <w:top w:w="60" w:type="dxa"/>
              <w:left w:w="120" w:type="dxa"/>
              <w:bottom w:w="30" w:type="dxa"/>
              <w:right w:w="120" w:type="dxa"/>
            </w:tcMar>
            <w:vAlign w:val="center"/>
          </w:tcPr>
          <w:p w14:paraId="1478F254">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涉VOCs物料使用企业按要求实施</w:t>
            </w:r>
          </w:p>
        </w:tc>
        <w:tc>
          <w:tcPr>
            <w:tcW w:w="645" w:type="dxa"/>
            <w:shd w:val="clear" w:color="auto" w:fill="auto"/>
            <w:tcMar>
              <w:top w:w="60" w:type="dxa"/>
              <w:left w:w="120" w:type="dxa"/>
              <w:bottom w:w="30" w:type="dxa"/>
              <w:right w:w="120" w:type="dxa"/>
            </w:tcMar>
            <w:vAlign w:val="center"/>
          </w:tcPr>
          <w:p w14:paraId="79A8AA8A">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二类</w:t>
            </w:r>
          </w:p>
        </w:tc>
        <w:tc>
          <w:tcPr>
            <w:tcW w:w="1230" w:type="dxa"/>
            <w:shd w:val="clear" w:color="auto" w:fill="auto"/>
            <w:tcMar>
              <w:top w:w="60" w:type="dxa"/>
              <w:left w:w="120" w:type="dxa"/>
              <w:bottom w:w="30" w:type="dxa"/>
              <w:right w:w="120" w:type="dxa"/>
            </w:tcMar>
            <w:vAlign w:val="center"/>
          </w:tcPr>
          <w:p w14:paraId="5183377C">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5D3165C9">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74ABA2AD">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760253BE">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LDAR台账、检测报告、修复记录、平台数据</w:t>
            </w:r>
          </w:p>
        </w:tc>
      </w:tr>
      <w:tr w14:paraId="0213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4A51DC7F">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11</w:t>
            </w:r>
          </w:p>
        </w:tc>
        <w:tc>
          <w:tcPr>
            <w:tcW w:w="1313" w:type="dxa"/>
            <w:shd w:val="clear" w:color="auto" w:fill="auto"/>
            <w:tcMar>
              <w:top w:w="60" w:type="dxa"/>
              <w:left w:w="120" w:type="dxa"/>
              <w:bottom w:w="30" w:type="dxa"/>
              <w:right w:w="120" w:type="dxa"/>
            </w:tcMar>
            <w:vAlign w:val="center"/>
          </w:tcPr>
          <w:p w14:paraId="0E8188D5">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涉异味重点装置自动化控制或工况监控</w:t>
            </w:r>
          </w:p>
        </w:tc>
        <w:tc>
          <w:tcPr>
            <w:tcW w:w="942" w:type="dxa"/>
            <w:shd w:val="clear" w:color="auto" w:fill="auto"/>
            <w:tcMar>
              <w:top w:w="60" w:type="dxa"/>
              <w:left w:w="120" w:type="dxa"/>
              <w:bottom w:w="30" w:type="dxa"/>
              <w:right w:w="120" w:type="dxa"/>
            </w:tcMar>
            <w:vAlign w:val="center"/>
          </w:tcPr>
          <w:p w14:paraId="21A6B47C">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4.1.5、5.3.7、B.11</w:t>
            </w:r>
          </w:p>
        </w:tc>
        <w:tc>
          <w:tcPr>
            <w:tcW w:w="2220" w:type="dxa"/>
            <w:shd w:val="clear" w:color="auto" w:fill="auto"/>
            <w:tcMar>
              <w:top w:w="60" w:type="dxa"/>
              <w:left w:w="120" w:type="dxa"/>
              <w:bottom w:w="30" w:type="dxa"/>
              <w:right w:w="120" w:type="dxa"/>
            </w:tcMar>
            <w:vAlign w:val="center"/>
          </w:tcPr>
          <w:p w14:paraId="20E202E7">
            <w:pPr>
              <w:keepNext w:val="0"/>
              <w:keepLines w:val="0"/>
              <w:widowControl/>
              <w:suppressLineNumbers w:val="0"/>
              <w:jc w:val="both"/>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涉异味重点装置是否具备关键参数监控、记录或报警能力</w:t>
            </w:r>
          </w:p>
        </w:tc>
        <w:tc>
          <w:tcPr>
            <w:tcW w:w="1170" w:type="dxa"/>
            <w:shd w:val="clear" w:color="auto" w:fill="auto"/>
            <w:tcMar>
              <w:top w:w="60" w:type="dxa"/>
              <w:left w:w="120" w:type="dxa"/>
              <w:bottom w:w="30" w:type="dxa"/>
              <w:right w:w="120" w:type="dxa"/>
            </w:tcMar>
            <w:vAlign w:val="center"/>
          </w:tcPr>
          <w:p w14:paraId="04E71260">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具备关键参数监控、记录或报警能力</w:t>
            </w:r>
          </w:p>
        </w:tc>
        <w:tc>
          <w:tcPr>
            <w:tcW w:w="645" w:type="dxa"/>
            <w:shd w:val="clear" w:color="auto" w:fill="auto"/>
            <w:tcMar>
              <w:top w:w="60" w:type="dxa"/>
              <w:left w:w="120" w:type="dxa"/>
              <w:bottom w:w="30" w:type="dxa"/>
              <w:right w:w="120" w:type="dxa"/>
            </w:tcMar>
            <w:vAlign w:val="center"/>
          </w:tcPr>
          <w:p w14:paraId="5EBCE546">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三类</w:t>
            </w:r>
          </w:p>
        </w:tc>
        <w:tc>
          <w:tcPr>
            <w:tcW w:w="1230" w:type="dxa"/>
            <w:shd w:val="clear" w:color="auto" w:fill="auto"/>
            <w:tcMar>
              <w:top w:w="60" w:type="dxa"/>
              <w:left w:w="120" w:type="dxa"/>
              <w:bottom w:w="30" w:type="dxa"/>
              <w:right w:w="120" w:type="dxa"/>
            </w:tcMar>
            <w:vAlign w:val="center"/>
          </w:tcPr>
          <w:p w14:paraId="49D7CC93">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751FC3B3">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317BF38A">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40D32649">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DCS/PLC截图、仪表台账、报警记录、运行日报</w:t>
            </w:r>
          </w:p>
        </w:tc>
      </w:tr>
      <w:tr w14:paraId="2FA5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7815D4D0">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12</w:t>
            </w:r>
          </w:p>
        </w:tc>
        <w:tc>
          <w:tcPr>
            <w:tcW w:w="1313" w:type="dxa"/>
            <w:shd w:val="clear" w:color="auto" w:fill="auto"/>
            <w:tcMar>
              <w:top w:w="60" w:type="dxa"/>
              <w:left w:w="120" w:type="dxa"/>
              <w:bottom w:w="30" w:type="dxa"/>
              <w:right w:w="120" w:type="dxa"/>
            </w:tcMar>
            <w:vAlign w:val="center"/>
          </w:tcPr>
          <w:p w14:paraId="166A82A3">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废气收集系统适配性</w:t>
            </w:r>
          </w:p>
        </w:tc>
        <w:tc>
          <w:tcPr>
            <w:tcW w:w="942" w:type="dxa"/>
            <w:shd w:val="clear" w:color="auto" w:fill="auto"/>
            <w:tcMar>
              <w:top w:w="60" w:type="dxa"/>
              <w:left w:w="120" w:type="dxa"/>
              <w:bottom w:w="30" w:type="dxa"/>
              <w:right w:w="120" w:type="dxa"/>
            </w:tcMar>
            <w:vAlign w:val="center"/>
          </w:tcPr>
          <w:p w14:paraId="71939059">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5.6.1、B.12</w:t>
            </w:r>
          </w:p>
        </w:tc>
        <w:tc>
          <w:tcPr>
            <w:tcW w:w="2220" w:type="dxa"/>
            <w:shd w:val="clear" w:color="auto" w:fill="auto"/>
            <w:tcMar>
              <w:top w:w="60" w:type="dxa"/>
              <w:left w:w="120" w:type="dxa"/>
              <w:bottom w:w="30" w:type="dxa"/>
              <w:right w:w="120" w:type="dxa"/>
            </w:tcMar>
            <w:vAlign w:val="center"/>
          </w:tcPr>
          <w:p w14:paraId="7A3307E8">
            <w:pPr>
              <w:keepNext w:val="0"/>
              <w:keepLines w:val="0"/>
              <w:widowControl/>
              <w:suppressLineNumbers w:val="0"/>
              <w:jc w:val="both"/>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收集方式、控制风速、处理风量、管道连接、负压状态和治理设施处理能力是否匹配异味源特征</w:t>
            </w:r>
          </w:p>
        </w:tc>
        <w:tc>
          <w:tcPr>
            <w:tcW w:w="1170" w:type="dxa"/>
            <w:shd w:val="clear" w:color="auto" w:fill="auto"/>
            <w:tcMar>
              <w:top w:w="60" w:type="dxa"/>
              <w:left w:w="120" w:type="dxa"/>
              <w:bottom w:w="30" w:type="dxa"/>
              <w:right w:w="120" w:type="dxa"/>
            </w:tcMar>
            <w:vAlign w:val="center"/>
          </w:tcPr>
          <w:p w14:paraId="78C73FC3">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收集方式、控制风速和处理能力满足设计要求</w:t>
            </w:r>
          </w:p>
        </w:tc>
        <w:tc>
          <w:tcPr>
            <w:tcW w:w="645" w:type="dxa"/>
            <w:shd w:val="clear" w:color="auto" w:fill="auto"/>
            <w:tcMar>
              <w:top w:w="60" w:type="dxa"/>
              <w:left w:w="120" w:type="dxa"/>
              <w:bottom w:w="30" w:type="dxa"/>
              <w:right w:w="120" w:type="dxa"/>
            </w:tcMar>
            <w:vAlign w:val="center"/>
          </w:tcPr>
          <w:p w14:paraId="3A46C8DC">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二类</w:t>
            </w:r>
          </w:p>
        </w:tc>
        <w:tc>
          <w:tcPr>
            <w:tcW w:w="1230" w:type="dxa"/>
            <w:shd w:val="clear" w:color="auto" w:fill="auto"/>
            <w:tcMar>
              <w:top w:w="60" w:type="dxa"/>
              <w:left w:w="120" w:type="dxa"/>
              <w:bottom w:w="30" w:type="dxa"/>
              <w:right w:w="120" w:type="dxa"/>
            </w:tcMar>
            <w:vAlign w:val="center"/>
          </w:tcPr>
          <w:p w14:paraId="0C079BB8">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7B786C97">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752D42EF">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75D9CBB1">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设计文件、风速实测记录、负压记录、烟雾示踪记录</w:t>
            </w:r>
          </w:p>
        </w:tc>
      </w:tr>
      <w:tr w14:paraId="6FEE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46632902">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13</w:t>
            </w:r>
          </w:p>
        </w:tc>
        <w:tc>
          <w:tcPr>
            <w:tcW w:w="1313" w:type="dxa"/>
            <w:shd w:val="clear" w:color="auto" w:fill="auto"/>
            <w:tcMar>
              <w:top w:w="60" w:type="dxa"/>
              <w:left w:w="120" w:type="dxa"/>
              <w:bottom w:w="30" w:type="dxa"/>
              <w:right w:w="120" w:type="dxa"/>
            </w:tcMar>
            <w:vAlign w:val="center"/>
          </w:tcPr>
          <w:p w14:paraId="0116848F">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治理设施关键运行参数监控率</w:t>
            </w:r>
          </w:p>
        </w:tc>
        <w:tc>
          <w:tcPr>
            <w:tcW w:w="942" w:type="dxa"/>
            <w:shd w:val="clear" w:color="auto" w:fill="auto"/>
            <w:tcMar>
              <w:top w:w="60" w:type="dxa"/>
              <w:left w:w="120" w:type="dxa"/>
              <w:bottom w:w="30" w:type="dxa"/>
              <w:right w:w="120" w:type="dxa"/>
            </w:tcMar>
            <w:vAlign w:val="center"/>
          </w:tcPr>
          <w:p w14:paraId="64AFF175">
            <w:pPr>
              <w:keepNext w:val="0"/>
              <w:keepLines w:val="0"/>
              <w:widowControl/>
              <w:suppressLineNumbers w:val="0"/>
              <w:jc w:val="center"/>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5.7.2、B.13</w:t>
            </w:r>
          </w:p>
        </w:tc>
        <w:tc>
          <w:tcPr>
            <w:tcW w:w="2220" w:type="dxa"/>
            <w:shd w:val="clear" w:color="auto" w:fill="auto"/>
            <w:tcMar>
              <w:top w:w="60" w:type="dxa"/>
              <w:left w:w="120" w:type="dxa"/>
              <w:bottom w:w="30" w:type="dxa"/>
              <w:right w:w="120" w:type="dxa"/>
            </w:tcMar>
            <w:vAlign w:val="center"/>
          </w:tcPr>
          <w:p w14:paraId="555A2744">
            <w:pPr>
              <w:keepNext w:val="0"/>
              <w:keepLines w:val="0"/>
              <w:widowControl/>
              <w:suppressLineNumbers w:val="0"/>
              <w:jc w:val="both"/>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治理设施关键运行参数是否实现监控、记录或报警</w:t>
            </w:r>
          </w:p>
        </w:tc>
        <w:tc>
          <w:tcPr>
            <w:tcW w:w="1170" w:type="dxa"/>
            <w:shd w:val="clear" w:color="auto" w:fill="auto"/>
            <w:tcMar>
              <w:top w:w="60" w:type="dxa"/>
              <w:left w:w="120" w:type="dxa"/>
              <w:bottom w:w="30" w:type="dxa"/>
              <w:right w:w="120" w:type="dxa"/>
            </w:tcMar>
            <w:vAlign w:val="center"/>
          </w:tcPr>
          <w:p w14:paraId="05B90978">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100%</w:t>
            </w:r>
          </w:p>
        </w:tc>
        <w:tc>
          <w:tcPr>
            <w:tcW w:w="645" w:type="dxa"/>
            <w:shd w:val="clear" w:color="auto" w:fill="auto"/>
            <w:tcMar>
              <w:top w:w="60" w:type="dxa"/>
              <w:left w:w="120" w:type="dxa"/>
              <w:bottom w:w="30" w:type="dxa"/>
              <w:right w:w="120" w:type="dxa"/>
            </w:tcMar>
            <w:vAlign w:val="center"/>
          </w:tcPr>
          <w:p w14:paraId="5185E952">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二类</w:t>
            </w:r>
          </w:p>
        </w:tc>
        <w:tc>
          <w:tcPr>
            <w:tcW w:w="1230" w:type="dxa"/>
            <w:shd w:val="clear" w:color="auto" w:fill="auto"/>
            <w:tcMar>
              <w:top w:w="60" w:type="dxa"/>
              <w:left w:w="120" w:type="dxa"/>
              <w:bottom w:w="30" w:type="dxa"/>
              <w:right w:w="120" w:type="dxa"/>
            </w:tcMar>
            <w:vAlign w:val="center"/>
          </w:tcPr>
          <w:p w14:paraId="2AB1685C">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77EEBFEC">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78F53DFB">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3463F722">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仪表台账、中控系统记录、运行日报、巡检记录</w:t>
            </w:r>
          </w:p>
        </w:tc>
      </w:tr>
      <w:tr w14:paraId="02FE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5CC80F95">
            <w:pPr>
              <w:keepNext w:val="0"/>
              <w:keepLines w:val="0"/>
              <w:widowControl/>
              <w:suppressLineNumbers w:val="0"/>
              <w:jc w:val="center"/>
              <w:textAlignment w:val="top"/>
              <w:rPr>
                <w:rFonts w:hint="eastAsia" w:ascii="宋体" w:hAnsi="宋体" w:eastAsia="宋体" w:cs="宋体"/>
                <w:kern w:val="0"/>
                <w:sz w:val="20"/>
                <w:szCs w:val="20"/>
                <w:highlight w:val="yellow"/>
                <w:lang w:bidi="ar"/>
              </w:rPr>
            </w:pPr>
            <w:r>
              <w:rPr>
                <w:rFonts w:hint="eastAsia" w:ascii="宋体" w:hAnsi="宋体" w:eastAsia="宋体" w:cs="宋体"/>
                <w:i w:val="0"/>
                <w:iCs w:val="0"/>
                <w:color w:val="000000"/>
                <w:kern w:val="0"/>
                <w:sz w:val="20"/>
                <w:szCs w:val="20"/>
                <w:u w:val="none"/>
                <w:lang w:val="en-US" w:eastAsia="zh-CN" w:bidi="ar"/>
              </w:rPr>
              <w:t>14</w:t>
            </w:r>
          </w:p>
        </w:tc>
        <w:tc>
          <w:tcPr>
            <w:tcW w:w="1313" w:type="dxa"/>
            <w:shd w:val="clear" w:color="auto" w:fill="auto"/>
            <w:tcMar>
              <w:top w:w="60" w:type="dxa"/>
              <w:left w:w="120" w:type="dxa"/>
              <w:bottom w:w="30" w:type="dxa"/>
              <w:right w:w="120" w:type="dxa"/>
            </w:tcMar>
            <w:vAlign w:val="center"/>
          </w:tcPr>
          <w:p w14:paraId="18A38FB0">
            <w:pPr>
              <w:keepNext w:val="0"/>
              <w:keepLines w:val="0"/>
              <w:widowControl/>
              <w:suppressLineNumbers w:val="0"/>
              <w:jc w:val="center"/>
              <w:textAlignment w:val="top"/>
              <w:rPr>
                <w:rFonts w:hint="eastAsia" w:ascii="宋体" w:hAnsi="宋体" w:eastAsia="宋体" w:cs="宋体"/>
                <w:kern w:val="0"/>
                <w:sz w:val="20"/>
                <w:szCs w:val="20"/>
                <w:highlight w:val="yellow"/>
                <w:lang w:bidi="ar"/>
              </w:rPr>
            </w:pPr>
            <w:r>
              <w:rPr>
                <w:rFonts w:hint="eastAsia" w:ascii="宋体" w:hAnsi="宋体" w:eastAsia="宋体" w:cs="宋体"/>
                <w:i w:val="0"/>
                <w:iCs w:val="0"/>
                <w:color w:val="000000"/>
                <w:kern w:val="0"/>
                <w:sz w:val="20"/>
                <w:szCs w:val="20"/>
                <w:u w:val="none"/>
                <w:lang w:val="en-US" w:eastAsia="zh-CN" w:bidi="ar"/>
              </w:rPr>
              <w:t>废气排气筒规范化设置率</w:t>
            </w:r>
          </w:p>
        </w:tc>
        <w:tc>
          <w:tcPr>
            <w:tcW w:w="942" w:type="dxa"/>
            <w:shd w:val="clear" w:color="auto" w:fill="auto"/>
            <w:tcMar>
              <w:top w:w="60" w:type="dxa"/>
              <w:left w:w="120" w:type="dxa"/>
              <w:bottom w:w="30" w:type="dxa"/>
              <w:right w:w="120" w:type="dxa"/>
            </w:tcMar>
            <w:vAlign w:val="center"/>
          </w:tcPr>
          <w:p w14:paraId="4C2CCFE9">
            <w:pPr>
              <w:keepNext w:val="0"/>
              <w:keepLines w:val="0"/>
              <w:widowControl/>
              <w:suppressLineNumbers w:val="0"/>
              <w:jc w:val="center"/>
              <w:textAlignment w:val="top"/>
              <w:rPr>
                <w:rFonts w:hint="default" w:ascii="宋体" w:hAnsi="宋体" w:eastAsia="宋体" w:cs="宋体"/>
                <w:kern w:val="0"/>
                <w:sz w:val="20"/>
                <w:szCs w:val="20"/>
                <w:highlight w:val="yellow"/>
                <w:lang w:val="en-US" w:eastAsia="zh-CN" w:bidi="ar"/>
              </w:rPr>
            </w:pPr>
            <w:r>
              <w:rPr>
                <w:rFonts w:hint="eastAsia" w:ascii="宋体" w:hAnsi="宋体" w:eastAsia="宋体" w:cs="宋体"/>
                <w:i w:val="0"/>
                <w:iCs w:val="0"/>
                <w:color w:val="000000"/>
                <w:kern w:val="0"/>
                <w:sz w:val="20"/>
                <w:szCs w:val="20"/>
                <w:u w:val="none"/>
                <w:lang w:val="en-US" w:eastAsia="zh-CN" w:bidi="ar"/>
              </w:rPr>
              <w:t>5.6.4、B.14</w:t>
            </w:r>
          </w:p>
        </w:tc>
        <w:tc>
          <w:tcPr>
            <w:tcW w:w="2220" w:type="dxa"/>
            <w:shd w:val="clear" w:color="auto" w:fill="auto"/>
            <w:tcMar>
              <w:top w:w="60" w:type="dxa"/>
              <w:left w:w="120" w:type="dxa"/>
              <w:bottom w:w="30" w:type="dxa"/>
              <w:right w:w="120" w:type="dxa"/>
            </w:tcMar>
            <w:vAlign w:val="center"/>
          </w:tcPr>
          <w:p w14:paraId="25569796">
            <w:pPr>
              <w:keepNext w:val="0"/>
              <w:keepLines w:val="0"/>
              <w:widowControl/>
              <w:suppressLineNumbers w:val="0"/>
              <w:jc w:val="both"/>
              <w:textAlignment w:val="top"/>
              <w:rPr>
                <w:rFonts w:hint="eastAsia" w:ascii="宋体" w:hAnsi="宋体" w:eastAsia="宋体" w:cs="宋体"/>
                <w:kern w:val="0"/>
                <w:sz w:val="20"/>
                <w:szCs w:val="20"/>
                <w:highlight w:val="yellow"/>
                <w:lang w:bidi="ar"/>
              </w:rPr>
            </w:pPr>
            <w:r>
              <w:rPr>
                <w:rFonts w:hint="eastAsia" w:ascii="宋体" w:hAnsi="宋体" w:eastAsia="宋体" w:cs="宋体"/>
                <w:i w:val="0"/>
                <w:iCs w:val="0"/>
                <w:color w:val="000000"/>
                <w:kern w:val="0"/>
                <w:sz w:val="20"/>
                <w:szCs w:val="20"/>
                <w:u w:val="none"/>
                <w:lang w:val="en-US" w:eastAsia="zh-CN" w:bidi="ar"/>
              </w:rPr>
              <w:t>排气筒高度、位置、采样口、采样平台、监测爬梯和安全防护是否规范</w:t>
            </w:r>
          </w:p>
        </w:tc>
        <w:tc>
          <w:tcPr>
            <w:tcW w:w="1170" w:type="dxa"/>
            <w:shd w:val="clear" w:color="auto" w:fill="auto"/>
            <w:tcMar>
              <w:top w:w="60" w:type="dxa"/>
              <w:left w:w="120" w:type="dxa"/>
              <w:bottom w:w="30" w:type="dxa"/>
              <w:right w:w="120" w:type="dxa"/>
            </w:tcMar>
            <w:vAlign w:val="center"/>
          </w:tcPr>
          <w:p w14:paraId="0557C929">
            <w:pPr>
              <w:keepNext w:val="0"/>
              <w:keepLines w:val="0"/>
              <w:widowControl/>
              <w:suppressLineNumbers w:val="0"/>
              <w:jc w:val="center"/>
              <w:textAlignment w:val="top"/>
              <w:rPr>
                <w:rFonts w:hint="eastAsia" w:ascii="宋体" w:hAnsi="宋体" w:eastAsia="宋体" w:cs="宋体"/>
                <w:kern w:val="0"/>
                <w:sz w:val="20"/>
                <w:szCs w:val="20"/>
                <w:highlight w:val="yellow"/>
                <w:lang w:bidi="ar"/>
              </w:rPr>
            </w:pPr>
            <w:r>
              <w:rPr>
                <w:rFonts w:hint="eastAsia" w:ascii="宋体" w:hAnsi="宋体" w:eastAsia="宋体" w:cs="宋体"/>
                <w:i w:val="0"/>
                <w:iCs w:val="0"/>
                <w:color w:val="000000"/>
                <w:kern w:val="0"/>
                <w:sz w:val="20"/>
                <w:szCs w:val="20"/>
                <w:u w:val="none"/>
                <w:lang w:val="en-US" w:eastAsia="zh-CN" w:bidi="ar"/>
              </w:rPr>
              <w:t>100%</w:t>
            </w:r>
          </w:p>
        </w:tc>
        <w:tc>
          <w:tcPr>
            <w:tcW w:w="645" w:type="dxa"/>
            <w:shd w:val="clear" w:color="auto" w:fill="auto"/>
            <w:tcMar>
              <w:top w:w="60" w:type="dxa"/>
              <w:left w:w="120" w:type="dxa"/>
              <w:bottom w:w="30" w:type="dxa"/>
              <w:right w:w="120" w:type="dxa"/>
            </w:tcMar>
            <w:vAlign w:val="center"/>
          </w:tcPr>
          <w:p w14:paraId="4BD4C327">
            <w:pPr>
              <w:keepNext w:val="0"/>
              <w:keepLines w:val="0"/>
              <w:widowControl/>
              <w:suppressLineNumbers w:val="0"/>
              <w:jc w:val="center"/>
              <w:textAlignment w:val="top"/>
              <w:rPr>
                <w:rFonts w:hint="eastAsia" w:ascii="宋体" w:hAnsi="宋体" w:eastAsia="宋体" w:cs="宋体"/>
                <w:kern w:val="0"/>
                <w:sz w:val="20"/>
                <w:szCs w:val="20"/>
                <w:highlight w:val="yellow"/>
                <w:lang w:bidi="ar"/>
              </w:rPr>
            </w:pPr>
            <w:r>
              <w:rPr>
                <w:rFonts w:hint="eastAsia" w:ascii="宋体" w:hAnsi="宋体" w:eastAsia="宋体" w:cs="宋体"/>
                <w:i w:val="0"/>
                <w:iCs w:val="0"/>
                <w:color w:val="000000"/>
                <w:kern w:val="0"/>
                <w:sz w:val="20"/>
                <w:szCs w:val="20"/>
                <w:u w:val="none"/>
                <w:lang w:val="en-US" w:eastAsia="zh-CN" w:bidi="ar"/>
              </w:rPr>
              <w:t>二类</w:t>
            </w:r>
          </w:p>
        </w:tc>
        <w:tc>
          <w:tcPr>
            <w:tcW w:w="1230" w:type="dxa"/>
            <w:shd w:val="clear" w:color="auto" w:fill="auto"/>
            <w:tcMar>
              <w:top w:w="60" w:type="dxa"/>
              <w:left w:w="120" w:type="dxa"/>
              <w:bottom w:w="30" w:type="dxa"/>
              <w:right w:w="120" w:type="dxa"/>
            </w:tcMar>
            <w:vAlign w:val="center"/>
          </w:tcPr>
          <w:p w14:paraId="6435D966">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7E093E93">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76FEDAA8">
            <w:pPr>
              <w:jc w:val="both"/>
              <w:rPr>
                <w:rFonts w:hint="eastAsia" w:ascii="宋体" w:hAnsi="宋体" w:eastAsia="宋体" w:cs="宋体"/>
                <w:kern w:val="0"/>
                <w:sz w:val="20"/>
                <w:szCs w:val="20"/>
                <w:highlight w:val="yellow"/>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7807501A">
            <w:pPr>
              <w:keepNext w:val="0"/>
              <w:keepLines w:val="0"/>
              <w:widowControl/>
              <w:suppressLineNumbers w:val="0"/>
              <w:jc w:val="center"/>
              <w:textAlignment w:val="top"/>
              <w:rPr>
                <w:rFonts w:hint="eastAsia" w:ascii="宋体" w:hAnsi="宋体" w:eastAsia="宋体" w:cs="宋体"/>
                <w:kern w:val="0"/>
                <w:sz w:val="20"/>
                <w:szCs w:val="20"/>
                <w:highlight w:val="yellow"/>
                <w:lang w:bidi="ar"/>
              </w:rPr>
            </w:pPr>
            <w:r>
              <w:rPr>
                <w:rFonts w:hint="eastAsia" w:ascii="宋体" w:hAnsi="宋体" w:eastAsia="宋体" w:cs="宋体"/>
                <w:i w:val="0"/>
                <w:iCs w:val="0"/>
                <w:color w:val="000000"/>
                <w:kern w:val="0"/>
                <w:sz w:val="20"/>
                <w:szCs w:val="20"/>
                <w:u w:val="none"/>
                <w:lang w:val="en-US" w:eastAsia="zh-CN" w:bidi="ar"/>
              </w:rPr>
              <w:t>排气筒清单、验收资料、现场照片、排污许可证</w:t>
            </w:r>
          </w:p>
        </w:tc>
      </w:tr>
      <w:tr w14:paraId="03D3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46199D11">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15</w:t>
            </w:r>
          </w:p>
        </w:tc>
        <w:tc>
          <w:tcPr>
            <w:tcW w:w="1313" w:type="dxa"/>
            <w:shd w:val="clear" w:color="auto" w:fill="auto"/>
            <w:tcMar>
              <w:top w:w="60" w:type="dxa"/>
              <w:left w:w="120" w:type="dxa"/>
              <w:bottom w:w="30" w:type="dxa"/>
              <w:right w:w="120" w:type="dxa"/>
            </w:tcMar>
            <w:vAlign w:val="center"/>
          </w:tcPr>
          <w:p w14:paraId="60A42398">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治理设施定期检测与评估</w:t>
            </w:r>
          </w:p>
        </w:tc>
        <w:tc>
          <w:tcPr>
            <w:tcW w:w="942" w:type="dxa"/>
            <w:shd w:val="clear" w:color="auto" w:fill="auto"/>
            <w:tcMar>
              <w:top w:w="60" w:type="dxa"/>
              <w:left w:w="120" w:type="dxa"/>
              <w:bottom w:w="30" w:type="dxa"/>
              <w:right w:w="120" w:type="dxa"/>
            </w:tcMar>
            <w:vAlign w:val="center"/>
          </w:tcPr>
          <w:p w14:paraId="22F77D20">
            <w:pPr>
              <w:keepNext w:val="0"/>
              <w:keepLines w:val="0"/>
              <w:widowControl/>
              <w:suppressLineNumbers w:val="0"/>
              <w:jc w:val="center"/>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5.7.5、B.15</w:t>
            </w:r>
          </w:p>
        </w:tc>
        <w:tc>
          <w:tcPr>
            <w:tcW w:w="2220" w:type="dxa"/>
            <w:shd w:val="clear" w:color="auto" w:fill="auto"/>
            <w:tcMar>
              <w:top w:w="60" w:type="dxa"/>
              <w:left w:w="120" w:type="dxa"/>
              <w:bottom w:w="30" w:type="dxa"/>
              <w:right w:w="120" w:type="dxa"/>
            </w:tcMar>
            <w:vAlign w:val="center"/>
          </w:tcPr>
          <w:p w14:paraId="708EE9AF">
            <w:pPr>
              <w:keepNext w:val="0"/>
              <w:keepLines w:val="0"/>
              <w:widowControl/>
              <w:suppressLineNumbers w:val="0"/>
              <w:jc w:val="both"/>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是否定期开展治理设施处理效率检测、运行状况评估和专项评估</w:t>
            </w:r>
          </w:p>
        </w:tc>
        <w:tc>
          <w:tcPr>
            <w:tcW w:w="1170" w:type="dxa"/>
            <w:shd w:val="clear" w:color="auto" w:fill="auto"/>
            <w:tcMar>
              <w:top w:w="60" w:type="dxa"/>
              <w:left w:w="120" w:type="dxa"/>
              <w:bottom w:w="30" w:type="dxa"/>
              <w:right w:w="120" w:type="dxa"/>
            </w:tcMar>
            <w:vAlign w:val="center"/>
          </w:tcPr>
          <w:p w14:paraId="2275E649">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按要求开展</w:t>
            </w:r>
          </w:p>
        </w:tc>
        <w:tc>
          <w:tcPr>
            <w:tcW w:w="645" w:type="dxa"/>
            <w:shd w:val="clear" w:color="auto" w:fill="auto"/>
            <w:tcMar>
              <w:top w:w="60" w:type="dxa"/>
              <w:left w:w="120" w:type="dxa"/>
              <w:bottom w:w="30" w:type="dxa"/>
              <w:right w:w="120" w:type="dxa"/>
            </w:tcMar>
            <w:vAlign w:val="center"/>
          </w:tcPr>
          <w:p w14:paraId="7D3C306A">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二类</w:t>
            </w:r>
          </w:p>
        </w:tc>
        <w:tc>
          <w:tcPr>
            <w:tcW w:w="1230" w:type="dxa"/>
            <w:shd w:val="clear" w:color="auto" w:fill="auto"/>
            <w:tcMar>
              <w:top w:w="60" w:type="dxa"/>
              <w:left w:w="120" w:type="dxa"/>
              <w:bottom w:w="30" w:type="dxa"/>
              <w:right w:w="120" w:type="dxa"/>
            </w:tcMar>
            <w:vAlign w:val="center"/>
          </w:tcPr>
          <w:p w14:paraId="09B2226E">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16BA4025">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7FD87341">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7C34BD25">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检测报告、运行评估报告、专项评估报告、整改记录</w:t>
            </w:r>
          </w:p>
        </w:tc>
      </w:tr>
      <w:tr w14:paraId="3876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54AA1038">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16</w:t>
            </w:r>
          </w:p>
        </w:tc>
        <w:tc>
          <w:tcPr>
            <w:tcW w:w="1313" w:type="dxa"/>
            <w:shd w:val="clear" w:color="auto" w:fill="auto"/>
            <w:tcMar>
              <w:top w:w="60" w:type="dxa"/>
              <w:left w:w="120" w:type="dxa"/>
              <w:bottom w:w="30" w:type="dxa"/>
              <w:right w:w="120" w:type="dxa"/>
            </w:tcMar>
            <w:vAlign w:val="center"/>
          </w:tcPr>
          <w:p w14:paraId="6853B074">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异味自行监测方案</w:t>
            </w:r>
          </w:p>
        </w:tc>
        <w:tc>
          <w:tcPr>
            <w:tcW w:w="942" w:type="dxa"/>
            <w:shd w:val="clear" w:color="auto" w:fill="auto"/>
            <w:tcMar>
              <w:top w:w="60" w:type="dxa"/>
              <w:left w:w="120" w:type="dxa"/>
              <w:bottom w:w="30" w:type="dxa"/>
              <w:right w:w="120" w:type="dxa"/>
            </w:tcMar>
            <w:vAlign w:val="center"/>
          </w:tcPr>
          <w:p w14:paraId="13F3BDD3">
            <w:pPr>
              <w:keepNext w:val="0"/>
              <w:keepLines w:val="0"/>
              <w:widowControl/>
              <w:suppressLineNumbers w:val="0"/>
              <w:jc w:val="center"/>
              <w:textAlignment w:val="top"/>
              <w:rPr>
                <w:rFonts w:hint="eastAsia" w:ascii="宋体" w:hAnsi="宋体" w:eastAsia="宋体" w:cs="宋体"/>
                <w:kern w:val="0"/>
                <w:sz w:val="20"/>
                <w:szCs w:val="20"/>
                <w:highlight w:val="none"/>
                <w:lang w:eastAsia="zh-CN" w:bidi="ar"/>
              </w:rPr>
            </w:pPr>
            <w:r>
              <w:rPr>
                <w:rFonts w:hint="eastAsia" w:ascii="宋体" w:hAnsi="宋体" w:eastAsia="宋体" w:cs="宋体"/>
                <w:i w:val="0"/>
                <w:iCs w:val="0"/>
                <w:color w:val="000000"/>
                <w:kern w:val="0"/>
                <w:sz w:val="20"/>
                <w:szCs w:val="20"/>
                <w:u w:val="none"/>
                <w:lang w:val="en-US" w:eastAsia="zh-CN" w:bidi="ar"/>
              </w:rPr>
              <w:t>4.1.5、5.8.1、B.16</w:t>
            </w:r>
          </w:p>
        </w:tc>
        <w:tc>
          <w:tcPr>
            <w:tcW w:w="2220" w:type="dxa"/>
            <w:shd w:val="clear" w:color="auto" w:fill="auto"/>
            <w:tcMar>
              <w:top w:w="60" w:type="dxa"/>
              <w:left w:w="120" w:type="dxa"/>
              <w:bottom w:w="30" w:type="dxa"/>
              <w:right w:w="120" w:type="dxa"/>
            </w:tcMar>
            <w:vAlign w:val="center"/>
          </w:tcPr>
          <w:p w14:paraId="6E8333FA">
            <w:pPr>
              <w:keepNext w:val="0"/>
              <w:keepLines w:val="0"/>
              <w:widowControl/>
              <w:suppressLineNumbers w:val="0"/>
              <w:jc w:val="both"/>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是否制定并实施异味自行监测方案；是否明确点位、指标、频次、方法和记录要求</w:t>
            </w:r>
          </w:p>
        </w:tc>
        <w:tc>
          <w:tcPr>
            <w:tcW w:w="1170" w:type="dxa"/>
            <w:shd w:val="clear" w:color="auto" w:fill="auto"/>
            <w:tcMar>
              <w:top w:w="60" w:type="dxa"/>
              <w:left w:w="120" w:type="dxa"/>
              <w:bottom w:w="30" w:type="dxa"/>
              <w:right w:w="120" w:type="dxa"/>
            </w:tcMar>
            <w:vAlign w:val="center"/>
          </w:tcPr>
          <w:p w14:paraId="2DBAB8CE">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已制定并实施</w:t>
            </w:r>
          </w:p>
        </w:tc>
        <w:tc>
          <w:tcPr>
            <w:tcW w:w="645" w:type="dxa"/>
            <w:shd w:val="clear" w:color="auto" w:fill="auto"/>
            <w:tcMar>
              <w:top w:w="60" w:type="dxa"/>
              <w:left w:w="120" w:type="dxa"/>
              <w:bottom w:w="30" w:type="dxa"/>
              <w:right w:w="120" w:type="dxa"/>
            </w:tcMar>
            <w:vAlign w:val="center"/>
          </w:tcPr>
          <w:p w14:paraId="085ACEE4">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一类</w:t>
            </w:r>
          </w:p>
        </w:tc>
        <w:tc>
          <w:tcPr>
            <w:tcW w:w="1230" w:type="dxa"/>
            <w:shd w:val="clear" w:color="auto" w:fill="auto"/>
            <w:tcMar>
              <w:top w:w="60" w:type="dxa"/>
              <w:left w:w="120" w:type="dxa"/>
              <w:bottom w:w="30" w:type="dxa"/>
              <w:right w:w="120" w:type="dxa"/>
            </w:tcMar>
            <w:vAlign w:val="center"/>
          </w:tcPr>
          <w:p w14:paraId="55AD10F2">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17E6AAF1">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150D9D35">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3A12CE0B">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自行监测方案、监测报告、委托监测合同、台账</w:t>
            </w:r>
          </w:p>
        </w:tc>
      </w:tr>
      <w:tr w14:paraId="020C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55800284">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17</w:t>
            </w:r>
          </w:p>
        </w:tc>
        <w:tc>
          <w:tcPr>
            <w:tcW w:w="1313" w:type="dxa"/>
            <w:shd w:val="clear" w:color="auto" w:fill="auto"/>
            <w:tcMar>
              <w:top w:w="60" w:type="dxa"/>
              <w:left w:w="120" w:type="dxa"/>
              <w:bottom w:w="30" w:type="dxa"/>
              <w:right w:w="120" w:type="dxa"/>
            </w:tcMar>
            <w:vAlign w:val="center"/>
          </w:tcPr>
          <w:p w14:paraId="40D5E184">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重点异味源、主要排放口、厂界和敏感目标监测或巡查</w:t>
            </w:r>
          </w:p>
        </w:tc>
        <w:tc>
          <w:tcPr>
            <w:tcW w:w="942" w:type="dxa"/>
            <w:shd w:val="clear" w:color="auto" w:fill="auto"/>
            <w:tcMar>
              <w:top w:w="60" w:type="dxa"/>
              <w:left w:w="120" w:type="dxa"/>
              <w:bottom w:w="30" w:type="dxa"/>
              <w:right w:w="120" w:type="dxa"/>
            </w:tcMar>
            <w:vAlign w:val="center"/>
          </w:tcPr>
          <w:p w14:paraId="0E08944F">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4.1.5、5.8.1、B.17</w:t>
            </w:r>
          </w:p>
        </w:tc>
        <w:tc>
          <w:tcPr>
            <w:tcW w:w="2220" w:type="dxa"/>
            <w:shd w:val="clear" w:color="auto" w:fill="auto"/>
            <w:tcMar>
              <w:top w:w="60" w:type="dxa"/>
              <w:left w:w="120" w:type="dxa"/>
              <w:bottom w:w="30" w:type="dxa"/>
              <w:right w:w="120" w:type="dxa"/>
            </w:tcMar>
            <w:vAlign w:val="center"/>
          </w:tcPr>
          <w:p w14:paraId="73342A4B">
            <w:pPr>
              <w:keepNext w:val="0"/>
              <w:keepLines w:val="0"/>
              <w:widowControl/>
              <w:suppressLineNumbers w:val="0"/>
              <w:jc w:val="both"/>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是否将重点异味源、主要排放口、厂界和敏感目标纳入监测或巡查范围</w:t>
            </w:r>
          </w:p>
        </w:tc>
        <w:tc>
          <w:tcPr>
            <w:tcW w:w="1170" w:type="dxa"/>
            <w:shd w:val="clear" w:color="auto" w:fill="auto"/>
            <w:tcMar>
              <w:top w:w="60" w:type="dxa"/>
              <w:left w:w="120" w:type="dxa"/>
              <w:bottom w:w="30" w:type="dxa"/>
              <w:right w:w="120" w:type="dxa"/>
            </w:tcMar>
            <w:vAlign w:val="center"/>
          </w:tcPr>
          <w:p w14:paraId="160F1EB9">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已纳入监测或巡查范围</w:t>
            </w:r>
          </w:p>
        </w:tc>
        <w:tc>
          <w:tcPr>
            <w:tcW w:w="645" w:type="dxa"/>
            <w:shd w:val="clear" w:color="auto" w:fill="auto"/>
            <w:tcMar>
              <w:top w:w="60" w:type="dxa"/>
              <w:left w:w="120" w:type="dxa"/>
              <w:bottom w:w="30" w:type="dxa"/>
              <w:right w:w="120" w:type="dxa"/>
            </w:tcMar>
            <w:vAlign w:val="center"/>
          </w:tcPr>
          <w:p w14:paraId="2E8E882B">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二类</w:t>
            </w:r>
          </w:p>
        </w:tc>
        <w:tc>
          <w:tcPr>
            <w:tcW w:w="1230" w:type="dxa"/>
            <w:shd w:val="clear" w:color="auto" w:fill="auto"/>
            <w:tcMar>
              <w:top w:w="60" w:type="dxa"/>
              <w:left w:w="120" w:type="dxa"/>
              <w:bottom w:w="30" w:type="dxa"/>
              <w:right w:w="120" w:type="dxa"/>
            </w:tcMar>
            <w:vAlign w:val="center"/>
          </w:tcPr>
          <w:p w14:paraId="70C8B604">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57D7A5BE">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10B97BEE">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03BCA325">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监测计划、巡查路线、巡查记录、监测数据</w:t>
            </w:r>
          </w:p>
        </w:tc>
      </w:tr>
      <w:tr w14:paraId="44FE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1F97F49A">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18</w:t>
            </w:r>
          </w:p>
        </w:tc>
        <w:tc>
          <w:tcPr>
            <w:tcW w:w="1313" w:type="dxa"/>
            <w:shd w:val="clear" w:color="auto" w:fill="auto"/>
            <w:tcMar>
              <w:top w:w="60" w:type="dxa"/>
              <w:left w:w="120" w:type="dxa"/>
              <w:bottom w:w="30" w:type="dxa"/>
              <w:right w:w="120" w:type="dxa"/>
            </w:tcMar>
            <w:vAlign w:val="center"/>
          </w:tcPr>
          <w:p w14:paraId="62EE581F">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台账记录完整性</w:t>
            </w:r>
          </w:p>
        </w:tc>
        <w:tc>
          <w:tcPr>
            <w:tcW w:w="942" w:type="dxa"/>
            <w:shd w:val="clear" w:color="auto" w:fill="auto"/>
            <w:tcMar>
              <w:top w:w="60" w:type="dxa"/>
              <w:left w:w="120" w:type="dxa"/>
              <w:bottom w:w="30" w:type="dxa"/>
              <w:right w:w="120" w:type="dxa"/>
            </w:tcMar>
            <w:vAlign w:val="center"/>
          </w:tcPr>
          <w:p w14:paraId="688FD38D">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5.8.4、B.18</w:t>
            </w:r>
          </w:p>
        </w:tc>
        <w:tc>
          <w:tcPr>
            <w:tcW w:w="2220" w:type="dxa"/>
            <w:shd w:val="clear" w:color="auto" w:fill="auto"/>
            <w:tcMar>
              <w:top w:w="60" w:type="dxa"/>
              <w:left w:w="120" w:type="dxa"/>
              <w:bottom w:w="30" w:type="dxa"/>
              <w:right w:w="120" w:type="dxa"/>
            </w:tcMar>
            <w:vAlign w:val="center"/>
          </w:tcPr>
          <w:p w14:paraId="3EC87B95">
            <w:pPr>
              <w:keepNext w:val="0"/>
              <w:keepLines w:val="0"/>
              <w:widowControl/>
              <w:suppressLineNumbers w:val="0"/>
              <w:jc w:val="both"/>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生产运行、治理设施运行、监测、巡查、耗材更换、异常工况、投诉处理和内部审核记录是否完整可追溯</w:t>
            </w:r>
          </w:p>
        </w:tc>
        <w:tc>
          <w:tcPr>
            <w:tcW w:w="1170" w:type="dxa"/>
            <w:shd w:val="clear" w:color="auto" w:fill="auto"/>
            <w:tcMar>
              <w:top w:w="60" w:type="dxa"/>
              <w:left w:w="120" w:type="dxa"/>
              <w:bottom w:w="30" w:type="dxa"/>
              <w:right w:w="120" w:type="dxa"/>
            </w:tcMar>
            <w:vAlign w:val="center"/>
          </w:tcPr>
          <w:p w14:paraId="70D5927B">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完整、规范、可追溯</w:t>
            </w:r>
          </w:p>
        </w:tc>
        <w:tc>
          <w:tcPr>
            <w:tcW w:w="645" w:type="dxa"/>
            <w:shd w:val="clear" w:color="auto" w:fill="auto"/>
            <w:tcMar>
              <w:top w:w="60" w:type="dxa"/>
              <w:left w:w="120" w:type="dxa"/>
              <w:bottom w:w="30" w:type="dxa"/>
              <w:right w:w="120" w:type="dxa"/>
            </w:tcMar>
            <w:vAlign w:val="center"/>
          </w:tcPr>
          <w:p w14:paraId="735C0CAD">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二类</w:t>
            </w:r>
          </w:p>
        </w:tc>
        <w:tc>
          <w:tcPr>
            <w:tcW w:w="1230" w:type="dxa"/>
            <w:shd w:val="clear" w:color="auto" w:fill="auto"/>
            <w:tcMar>
              <w:top w:w="60" w:type="dxa"/>
              <w:left w:w="120" w:type="dxa"/>
              <w:bottom w:w="30" w:type="dxa"/>
              <w:right w:w="120" w:type="dxa"/>
            </w:tcMar>
            <w:vAlign w:val="center"/>
          </w:tcPr>
          <w:p w14:paraId="1576E5CE">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039AB838">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30DD3595">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00BD258E">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电子台账、纸质台账、运行记录、内部审核记录</w:t>
            </w:r>
          </w:p>
        </w:tc>
      </w:tr>
      <w:tr w14:paraId="04CC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0B5FD58E">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19</w:t>
            </w:r>
          </w:p>
        </w:tc>
        <w:tc>
          <w:tcPr>
            <w:tcW w:w="1313" w:type="dxa"/>
            <w:shd w:val="clear" w:color="auto" w:fill="auto"/>
            <w:tcMar>
              <w:top w:w="60" w:type="dxa"/>
              <w:left w:w="120" w:type="dxa"/>
              <w:bottom w:w="30" w:type="dxa"/>
              <w:right w:w="120" w:type="dxa"/>
            </w:tcMar>
            <w:vAlign w:val="center"/>
          </w:tcPr>
          <w:p w14:paraId="02234421">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OMP制定与执行</w:t>
            </w:r>
          </w:p>
        </w:tc>
        <w:tc>
          <w:tcPr>
            <w:tcW w:w="942" w:type="dxa"/>
            <w:shd w:val="clear" w:color="auto" w:fill="auto"/>
            <w:tcMar>
              <w:top w:w="60" w:type="dxa"/>
              <w:left w:w="120" w:type="dxa"/>
              <w:bottom w:w="30" w:type="dxa"/>
              <w:right w:w="120" w:type="dxa"/>
            </w:tcMar>
            <w:vAlign w:val="center"/>
          </w:tcPr>
          <w:p w14:paraId="7CB68B51">
            <w:pPr>
              <w:keepNext w:val="0"/>
              <w:keepLines w:val="0"/>
              <w:widowControl/>
              <w:suppressLineNumbers w:val="0"/>
              <w:jc w:val="center"/>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4.1.4、5.9、附录A、B.19</w:t>
            </w:r>
          </w:p>
        </w:tc>
        <w:tc>
          <w:tcPr>
            <w:tcW w:w="2220" w:type="dxa"/>
            <w:shd w:val="clear" w:color="auto" w:fill="auto"/>
            <w:tcMar>
              <w:top w:w="60" w:type="dxa"/>
              <w:left w:w="120" w:type="dxa"/>
              <w:bottom w:w="30" w:type="dxa"/>
              <w:right w:w="120" w:type="dxa"/>
            </w:tcMar>
            <w:vAlign w:val="center"/>
          </w:tcPr>
          <w:p w14:paraId="42CFD217">
            <w:pPr>
              <w:keepNext w:val="0"/>
              <w:keepLines w:val="0"/>
              <w:widowControl/>
              <w:suppressLineNumbers w:val="0"/>
              <w:jc w:val="both"/>
              <w:textAlignment w:val="top"/>
              <w:rPr>
                <w:rFonts w:hint="default"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是否编制、发布、实施、评估和更新OMP；是否有执行和内部审核记录</w:t>
            </w:r>
          </w:p>
        </w:tc>
        <w:tc>
          <w:tcPr>
            <w:tcW w:w="1170" w:type="dxa"/>
            <w:shd w:val="clear" w:color="auto" w:fill="auto"/>
            <w:tcMar>
              <w:top w:w="60" w:type="dxa"/>
              <w:left w:w="120" w:type="dxa"/>
              <w:bottom w:w="30" w:type="dxa"/>
              <w:right w:w="120" w:type="dxa"/>
            </w:tcMar>
            <w:vAlign w:val="center"/>
          </w:tcPr>
          <w:p w14:paraId="55FB18A1">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已制定并实施，定期评估更新</w:t>
            </w:r>
          </w:p>
        </w:tc>
        <w:tc>
          <w:tcPr>
            <w:tcW w:w="645" w:type="dxa"/>
            <w:shd w:val="clear" w:color="auto" w:fill="auto"/>
            <w:tcMar>
              <w:top w:w="60" w:type="dxa"/>
              <w:left w:w="120" w:type="dxa"/>
              <w:bottom w:w="30" w:type="dxa"/>
              <w:right w:w="120" w:type="dxa"/>
            </w:tcMar>
            <w:vAlign w:val="center"/>
          </w:tcPr>
          <w:p w14:paraId="3FB82613">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一类</w:t>
            </w:r>
          </w:p>
        </w:tc>
        <w:tc>
          <w:tcPr>
            <w:tcW w:w="1230" w:type="dxa"/>
            <w:shd w:val="clear" w:color="auto" w:fill="auto"/>
            <w:tcMar>
              <w:top w:w="60" w:type="dxa"/>
              <w:left w:w="120" w:type="dxa"/>
              <w:bottom w:w="30" w:type="dxa"/>
              <w:right w:w="120" w:type="dxa"/>
            </w:tcMar>
            <w:vAlign w:val="center"/>
          </w:tcPr>
          <w:p w14:paraId="14F01F7C">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310C6063">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5FD8C8FA">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6F6EEA82">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OMP文件、签发记录、执行台账、更新记录、内部审核记录</w:t>
            </w:r>
          </w:p>
        </w:tc>
      </w:tr>
      <w:tr w14:paraId="7F38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79664843">
            <w:pPr>
              <w:keepNext w:val="0"/>
              <w:keepLines w:val="0"/>
              <w:widowControl/>
              <w:suppressLineNumbers w:val="0"/>
              <w:jc w:val="center"/>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13" w:type="dxa"/>
            <w:shd w:val="clear" w:color="auto" w:fill="auto"/>
            <w:tcMar>
              <w:top w:w="60" w:type="dxa"/>
              <w:left w:w="120" w:type="dxa"/>
              <w:bottom w:w="30" w:type="dxa"/>
              <w:right w:w="120" w:type="dxa"/>
            </w:tcMar>
            <w:vAlign w:val="center"/>
          </w:tcPr>
          <w:p w14:paraId="6FE36031">
            <w:pPr>
              <w:keepNext w:val="0"/>
              <w:keepLines w:val="0"/>
              <w:widowControl/>
              <w:suppressLineNumbers w:val="0"/>
              <w:jc w:val="center"/>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关键岗位培训覆盖率</w:t>
            </w:r>
          </w:p>
        </w:tc>
        <w:tc>
          <w:tcPr>
            <w:tcW w:w="942" w:type="dxa"/>
            <w:shd w:val="clear" w:color="auto" w:fill="auto"/>
            <w:tcMar>
              <w:top w:w="60" w:type="dxa"/>
              <w:left w:w="120" w:type="dxa"/>
              <w:bottom w:w="30" w:type="dxa"/>
              <w:right w:w="120" w:type="dxa"/>
            </w:tcMar>
            <w:vAlign w:val="center"/>
          </w:tcPr>
          <w:p w14:paraId="0221735A">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5.10.1、B.20</w:t>
            </w:r>
          </w:p>
        </w:tc>
        <w:tc>
          <w:tcPr>
            <w:tcW w:w="2220" w:type="dxa"/>
            <w:shd w:val="clear" w:color="auto" w:fill="auto"/>
            <w:tcMar>
              <w:top w:w="60" w:type="dxa"/>
              <w:left w:w="120" w:type="dxa"/>
              <w:bottom w:w="30" w:type="dxa"/>
              <w:right w:w="120" w:type="dxa"/>
            </w:tcMar>
            <w:vAlign w:val="center"/>
          </w:tcPr>
          <w:p w14:paraId="1366A1FB">
            <w:pPr>
              <w:keepNext w:val="0"/>
              <w:keepLines w:val="0"/>
              <w:widowControl/>
              <w:suppressLineNumbers w:val="0"/>
              <w:jc w:val="both"/>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环保管理、工艺操作、设备维护、治理设施运行、现场巡查、应急处置等关键岗位人员是否接受异味管理培训</w:t>
            </w:r>
          </w:p>
        </w:tc>
        <w:tc>
          <w:tcPr>
            <w:tcW w:w="1170" w:type="dxa"/>
            <w:shd w:val="clear" w:color="auto" w:fill="auto"/>
            <w:tcMar>
              <w:top w:w="60" w:type="dxa"/>
              <w:left w:w="120" w:type="dxa"/>
              <w:bottom w:w="30" w:type="dxa"/>
              <w:right w:w="120" w:type="dxa"/>
            </w:tcMar>
            <w:vAlign w:val="center"/>
          </w:tcPr>
          <w:p w14:paraId="418D6334">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100%</w:t>
            </w:r>
          </w:p>
        </w:tc>
        <w:tc>
          <w:tcPr>
            <w:tcW w:w="645" w:type="dxa"/>
            <w:shd w:val="clear" w:color="auto" w:fill="auto"/>
            <w:tcMar>
              <w:top w:w="60" w:type="dxa"/>
              <w:left w:w="120" w:type="dxa"/>
              <w:bottom w:w="30" w:type="dxa"/>
              <w:right w:w="120" w:type="dxa"/>
            </w:tcMar>
            <w:vAlign w:val="center"/>
          </w:tcPr>
          <w:p w14:paraId="69396B41">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二类</w:t>
            </w:r>
          </w:p>
        </w:tc>
        <w:tc>
          <w:tcPr>
            <w:tcW w:w="1230" w:type="dxa"/>
            <w:shd w:val="clear" w:color="auto" w:fill="auto"/>
            <w:tcMar>
              <w:top w:w="60" w:type="dxa"/>
              <w:left w:w="120" w:type="dxa"/>
              <w:bottom w:w="30" w:type="dxa"/>
              <w:right w:w="120" w:type="dxa"/>
            </w:tcMar>
            <w:vAlign w:val="center"/>
          </w:tcPr>
          <w:p w14:paraId="161EA17C">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323F3645">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60B559C9">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5B4CF2BF">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培训计划、签到表、课件、考试记录、演练记录</w:t>
            </w:r>
          </w:p>
        </w:tc>
      </w:tr>
      <w:tr w14:paraId="53EC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3971FDCB">
            <w:pPr>
              <w:keepNext w:val="0"/>
              <w:keepLines w:val="0"/>
              <w:widowControl/>
              <w:suppressLineNumbers w:val="0"/>
              <w:jc w:val="center"/>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313" w:type="dxa"/>
            <w:shd w:val="clear" w:color="auto" w:fill="auto"/>
            <w:tcMar>
              <w:top w:w="60" w:type="dxa"/>
              <w:left w:w="120" w:type="dxa"/>
              <w:bottom w:w="30" w:type="dxa"/>
              <w:right w:w="120" w:type="dxa"/>
            </w:tcMar>
            <w:vAlign w:val="center"/>
          </w:tcPr>
          <w:p w14:paraId="0D215A0F">
            <w:pPr>
              <w:keepNext w:val="0"/>
              <w:keepLines w:val="0"/>
              <w:widowControl/>
              <w:suppressLineNumbers w:val="0"/>
              <w:jc w:val="center"/>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异味投诉响应和闭环处置</w:t>
            </w:r>
          </w:p>
        </w:tc>
        <w:tc>
          <w:tcPr>
            <w:tcW w:w="942" w:type="dxa"/>
            <w:shd w:val="clear" w:color="auto" w:fill="auto"/>
            <w:tcMar>
              <w:top w:w="60" w:type="dxa"/>
              <w:left w:w="120" w:type="dxa"/>
              <w:bottom w:w="30" w:type="dxa"/>
              <w:right w:w="120" w:type="dxa"/>
            </w:tcMar>
            <w:vAlign w:val="center"/>
          </w:tcPr>
          <w:p w14:paraId="505F37D9">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5.10.3、B.21</w:t>
            </w:r>
          </w:p>
        </w:tc>
        <w:tc>
          <w:tcPr>
            <w:tcW w:w="2220" w:type="dxa"/>
            <w:shd w:val="clear" w:color="auto" w:fill="auto"/>
            <w:tcMar>
              <w:top w:w="60" w:type="dxa"/>
              <w:left w:w="120" w:type="dxa"/>
              <w:bottom w:w="30" w:type="dxa"/>
              <w:right w:w="120" w:type="dxa"/>
            </w:tcMar>
            <w:vAlign w:val="center"/>
          </w:tcPr>
          <w:p w14:paraId="21D05D36">
            <w:pPr>
              <w:keepNext w:val="0"/>
              <w:keepLines w:val="0"/>
              <w:widowControl/>
              <w:suppressLineNumbers w:val="0"/>
              <w:jc w:val="both"/>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是否按OMP要求及时响应异味投诉，并完成核查、处置、反馈、整改和归档</w:t>
            </w:r>
          </w:p>
        </w:tc>
        <w:tc>
          <w:tcPr>
            <w:tcW w:w="1170" w:type="dxa"/>
            <w:shd w:val="clear" w:color="auto" w:fill="auto"/>
            <w:tcMar>
              <w:top w:w="60" w:type="dxa"/>
              <w:left w:w="120" w:type="dxa"/>
              <w:bottom w:w="30" w:type="dxa"/>
              <w:right w:w="120" w:type="dxa"/>
            </w:tcMar>
            <w:vAlign w:val="center"/>
          </w:tcPr>
          <w:p w14:paraId="116C8B8E">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按OMP要求及时响应并闭环</w:t>
            </w:r>
          </w:p>
        </w:tc>
        <w:tc>
          <w:tcPr>
            <w:tcW w:w="645" w:type="dxa"/>
            <w:shd w:val="clear" w:color="auto" w:fill="auto"/>
            <w:tcMar>
              <w:top w:w="60" w:type="dxa"/>
              <w:left w:w="120" w:type="dxa"/>
              <w:bottom w:w="30" w:type="dxa"/>
              <w:right w:w="120" w:type="dxa"/>
            </w:tcMar>
            <w:vAlign w:val="center"/>
          </w:tcPr>
          <w:p w14:paraId="3EBD4114">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二类</w:t>
            </w:r>
          </w:p>
        </w:tc>
        <w:tc>
          <w:tcPr>
            <w:tcW w:w="1230" w:type="dxa"/>
            <w:shd w:val="clear" w:color="auto" w:fill="auto"/>
            <w:tcMar>
              <w:top w:w="60" w:type="dxa"/>
              <w:left w:w="120" w:type="dxa"/>
              <w:bottom w:w="30" w:type="dxa"/>
              <w:right w:w="120" w:type="dxa"/>
            </w:tcMar>
            <w:vAlign w:val="center"/>
          </w:tcPr>
          <w:p w14:paraId="3248AFE7">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40EDE32C">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62BB1827">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45F3CF2D">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投诉受理记录、核查记录、整改记录、反馈或回访记录</w:t>
            </w:r>
          </w:p>
        </w:tc>
      </w:tr>
      <w:tr w14:paraId="38E9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70" w:type="dxa"/>
            <w:shd w:val="clear" w:color="auto" w:fill="auto"/>
            <w:tcMar>
              <w:top w:w="60" w:type="dxa"/>
              <w:left w:w="120" w:type="dxa"/>
              <w:bottom w:w="30" w:type="dxa"/>
              <w:right w:w="120" w:type="dxa"/>
            </w:tcMar>
            <w:vAlign w:val="center"/>
          </w:tcPr>
          <w:p w14:paraId="41880B3B">
            <w:pPr>
              <w:keepNext w:val="0"/>
              <w:keepLines w:val="0"/>
              <w:widowControl/>
              <w:suppressLineNumbers w:val="0"/>
              <w:jc w:val="center"/>
              <w:textAlignment w:val="top"/>
              <w:rPr>
                <w:rFonts w:hint="default"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313" w:type="dxa"/>
            <w:shd w:val="clear" w:color="auto" w:fill="auto"/>
            <w:tcMar>
              <w:top w:w="60" w:type="dxa"/>
              <w:left w:w="120" w:type="dxa"/>
              <w:bottom w:w="30" w:type="dxa"/>
              <w:right w:w="120" w:type="dxa"/>
            </w:tcMar>
            <w:vAlign w:val="center"/>
          </w:tcPr>
          <w:p w14:paraId="6A38DE61">
            <w:pPr>
              <w:keepNext w:val="0"/>
              <w:keepLines w:val="0"/>
              <w:widowControl/>
              <w:suppressLineNumbers w:val="0"/>
              <w:jc w:val="center"/>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公众沟通活动</w:t>
            </w:r>
          </w:p>
        </w:tc>
        <w:tc>
          <w:tcPr>
            <w:tcW w:w="942" w:type="dxa"/>
            <w:shd w:val="clear" w:color="auto" w:fill="auto"/>
            <w:tcMar>
              <w:top w:w="60" w:type="dxa"/>
              <w:left w:w="120" w:type="dxa"/>
              <w:bottom w:w="30" w:type="dxa"/>
              <w:right w:w="120" w:type="dxa"/>
            </w:tcMar>
            <w:vAlign w:val="center"/>
          </w:tcPr>
          <w:p w14:paraId="0BB4D9EC">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5.10.2、B.22</w:t>
            </w:r>
          </w:p>
        </w:tc>
        <w:tc>
          <w:tcPr>
            <w:tcW w:w="2220" w:type="dxa"/>
            <w:shd w:val="clear" w:color="auto" w:fill="auto"/>
            <w:tcMar>
              <w:top w:w="60" w:type="dxa"/>
              <w:left w:w="120" w:type="dxa"/>
              <w:bottom w:w="30" w:type="dxa"/>
              <w:right w:w="120" w:type="dxa"/>
            </w:tcMar>
            <w:vAlign w:val="center"/>
          </w:tcPr>
          <w:p w14:paraId="57CE98E8">
            <w:pPr>
              <w:keepNext w:val="0"/>
              <w:keepLines w:val="0"/>
              <w:widowControl/>
              <w:suppressLineNumbers w:val="0"/>
              <w:jc w:val="both"/>
              <w:textAlignment w:val="top"/>
              <w:rPr>
                <w:rFonts w:hint="eastAsia" w:ascii="宋体" w:hAnsi="宋体" w:eastAsia="宋体" w:cs="宋体"/>
                <w:kern w:val="0"/>
                <w:sz w:val="20"/>
                <w:szCs w:val="20"/>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是否按OMP要求开展异味治理信息沟通、公众交流或监督互动</w:t>
            </w:r>
          </w:p>
        </w:tc>
        <w:tc>
          <w:tcPr>
            <w:tcW w:w="1170" w:type="dxa"/>
            <w:shd w:val="clear" w:color="auto" w:fill="auto"/>
            <w:tcMar>
              <w:top w:w="60" w:type="dxa"/>
              <w:left w:w="120" w:type="dxa"/>
              <w:bottom w:w="30" w:type="dxa"/>
              <w:right w:w="120" w:type="dxa"/>
            </w:tcMar>
            <w:vAlign w:val="center"/>
          </w:tcPr>
          <w:p w14:paraId="3E4DB9FF">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按OMP要求开展</w:t>
            </w:r>
          </w:p>
        </w:tc>
        <w:tc>
          <w:tcPr>
            <w:tcW w:w="645" w:type="dxa"/>
            <w:shd w:val="clear" w:color="auto" w:fill="auto"/>
            <w:tcMar>
              <w:top w:w="60" w:type="dxa"/>
              <w:left w:w="120" w:type="dxa"/>
              <w:bottom w:w="30" w:type="dxa"/>
              <w:right w:w="120" w:type="dxa"/>
            </w:tcMar>
            <w:vAlign w:val="center"/>
          </w:tcPr>
          <w:p w14:paraId="171A23C6">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三类</w:t>
            </w:r>
          </w:p>
        </w:tc>
        <w:tc>
          <w:tcPr>
            <w:tcW w:w="1230" w:type="dxa"/>
            <w:shd w:val="clear" w:color="auto" w:fill="auto"/>
            <w:tcMar>
              <w:top w:w="60" w:type="dxa"/>
              <w:left w:w="120" w:type="dxa"/>
              <w:bottom w:w="30" w:type="dxa"/>
              <w:right w:w="120" w:type="dxa"/>
            </w:tcMar>
            <w:vAlign w:val="center"/>
          </w:tcPr>
          <w:p w14:paraId="2F47C020">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□符合</w:t>
            </w:r>
          </w:p>
          <w:p w14:paraId="694B962C">
            <w:pPr>
              <w:widowControl/>
              <w:jc w:val="both"/>
              <w:textAlignment w:val="top"/>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不符合</w:t>
            </w:r>
          </w:p>
          <w:p w14:paraId="2AF9735D">
            <w:pPr>
              <w:jc w:val="both"/>
              <w:rPr>
                <w:rFonts w:hint="eastAsia" w:ascii="宋体" w:hAnsi="宋体" w:eastAsia="宋体" w:cs="宋体"/>
                <w:kern w:val="0"/>
                <w:sz w:val="20"/>
                <w:szCs w:val="20"/>
                <w:highlight w:val="none"/>
                <w:lang w:bidi="ar"/>
              </w:rPr>
            </w:pPr>
            <w:r>
              <w:rPr>
                <w:rFonts w:hint="eastAsia" w:ascii="宋体" w:hAnsi="宋体" w:eastAsia="宋体" w:cs="宋体"/>
                <w:color w:val="000000"/>
                <w:kern w:val="0"/>
                <w:sz w:val="20"/>
                <w:szCs w:val="20"/>
                <w:u w:val="none"/>
                <w:lang w:eastAsia="zh-CN" w:bidi="ar"/>
              </w:rPr>
              <w:t>□</w:t>
            </w:r>
            <w:r>
              <w:rPr>
                <w:rFonts w:hint="eastAsia" w:ascii="宋体" w:hAnsi="宋体" w:eastAsia="宋体" w:cs="宋体"/>
                <w:color w:val="000000"/>
                <w:kern w:val="0"/>
                <w:sz w:val="20"/>
                <w:szCs w:val="20"/>
                <w:u w:val="none"/>
                <w:lang w:bidi="ar"/>
              </w:rPr>
              <w:t>不适用</w:t>
            </w:r>
          </w:p>
        </w:tc>
        <w:tc>
          <w:tcPr>
            <w:tcW w:w="1423" w:type="dxa"/>
            <w:shd w:val="clear" w:color="auto" w:fill="auto"/>
            <w:tcMar>
              <w:top w:w="60" w:type="dxa"/>
              <w:left w:w="120" w:type="dxa"/>
              <w:bottom w:w="30" w:type="dxa"/>
              <w:right w:w="120" w:type="dxa"/>
            </w:tcMar>
            <w:vAlign w:val="center"/>
          </w:tcPr>
          <w:p w14:paraId="3946000E">
            <w:pPr>
              <w:keepNext w:val="0"/>
              <w:keepLines w:val="0"/>
              <w:widowControl/>
              <w:suppressLineNumbers w:val="0"/>
              <w:jc w:val="center"/>
              <w:textAlignment w:val="top"/>
              <w:rPr>
                <w:rFonts w:hint="eastAsia" w:ascii="宋体" w:hAnsi="宋体" w:eastAsia="宋体" w:cs="宋体"/>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信息公开材料、会议纪要、公众沟通记录、活动资料</w:t>
            </w:r>
          </w:p>
        </w:tc>
      </w:tr>
    </w:tbl>
    <w:p w14:paraId="359EE14D">
      <w:pPr>
        <w:pStyle w:val="103"/>
        <w:spacing w:before="156" w:after="156"/>
        <w:ind w:left="0" w:leftChars="0" w:firstLine="0" w:firstLineChars="0"/>
        <w:rPr>
          <w:rFonts w:hint="default" w:ascii="宋体" w:hAnsi="宋体" w:eastAsia="宋体" w:cs="宋体"/>
          <w:kern w:val="0"/>
          <w:sz w:val="21"/>
          <w:szCs w:val="21"/>
          <w:highlight w:val="none"/>
          <w:lang w:val="en-US" w:eastAsia="zh-CN" w:bidi="ar-SA"/>
        </w:rPr>
      </w:pPr>
    </w:p>
    <w:p w14:paraId="45EC3A5C">
      <w:pPr>
        <w:pStyle w:val="103"/>
        <w:spacing w:before="156" w:after="156"/>
        <w:ind w:left="0" w:leftChars="0" w:firstLine="0" w:firstLineChars="0"/>
        <w:jc w:val="center"/>
        <w:rPr>
          <w:rFonts w:hint="eastAsia" w:ascii="黑体" w:hAnsi="Times New Roman" w:eastAsia="黑体" w:cs="Times New Roman"/>
          <w:sz w:val="18"/>
          <w:szCs w:val="18"/>
          <w:highlight w:val="none"/>
          <w:lang w:val="en-US" w:eastAsia="zh-CN" w:bidi="ar-SA"/>
        </w:rPr>
      </w:pPr>
    </w:p>
    <w:p w14:paraId="6B8436A7">
      <w:pPr>
        <w:pStyle w:val="103"/>
        <w:spacing w:before="156" w:after="156"/>
        <w:ind w:left="0" w:leftChars="0" w:firstLine="0" w:firstLineChars="0"/>
        <w:rPr>
          <w:rFonts w:hint="eastAsia" w:ascii="宋体" w:hAnsi="宋体" w:eastAsia="宋体" w:cs="宋体"/>
          <w:kern w:val="0"/>
          <w:sz w:val="21"/>
          <w:szCs w:val="21"/>
          <w:highlight w:val="none"/>
          <w:lang w:val="en-US" w:eastAsia="zh-CN" w:bidi="ar-SA"/>
        </w:rPr>
      </w:pPr>
    </w:p>
    <w:p w14:paraId="3B3F1B46">
      <w:pPr>
        <w:rPr>
          <w:highlight w:val="none"/>
        </w:rPr>
      </w:pPr>
    </w:p>
    <w:bookmarkEnd w:id="20"/>
    <w:p w14:paraId="1D0ECB05">
      <w:pPr>
        <w:rPr>
          <w:rFonts w:hint="eastAsia"/>
          <w:spacing w:val="105"/>
          <w:highlight w:val="none"/>
        </w:rPr>
      </w:pPr>
      <w:bookmarkStart w:id="86" w:name="BookMark6"/>
      <w:r>
        <w:rPr>
          <w:rFonts w:hint="eastAsia"/>
          <w:spacing w:val="105"/>
          <w:highlight w:val="none"/>
        </w:rPr>
        <w:br w:type="page"/>
      </w:r>
    </w:p>
    <w:p w14:paraId="4D008DBA">
      <w:pPr>
        <w:pStyle w:val="66"/>
        <w:spacing w:before="124" w:after="156"/>
        <w:rPr>
          <w:highlight w:val="none"/>
        </w:rPr>
      </w:pPr>
      <w:bookmarkStart w:id="87" w:name="_Toc5206"/>
      <w:r>
        <w:rPr>
          <w:rFonts w:hint="eastAsia"/>
          <w:spacing w:val="105"/>
          <w:highlight w:val="none"/>
        </w:rPr>
        <w:t>参考文</w:t>
      </w:r>
      <w:r>
        <w:rPr>
          <w:rFonts w:hint="eastAsia"/>
          <w:highlight w:val="none"/>
        </w:rPr>
        <w:t>献</w:t>
      </w:r>
      <w:bookmarkEnd w:id="87"/>
    </w:p>
    <w:p w14:paraId="0339AF89">
      <w:pPr>
        <w:pStyle w:val="59"/>
        <w:numPr>
          <w:ilvl w:val="0"/>
          <w:numId w:val="33"/>
        </w:numPr>
        <w:ind w:firstLine="420"/>
        <w:rPr>
          <w:rFonts w:ascii="Times New Roman"/>
          <w:highlight w:val="none"/>
        </w:rPr>
      </w:pPr>
      <w:r>
        <w:rPr>
          <w:rFonts w:hint="eastAsia" w:ascii="Times New Roman"/>
          <w:highlight w:val="none"/>
          <w:lang w:val="en-US" w:eastAsia="zh-CN"/>
        </w:rPr>
        <w:t>HJ 1416—2025</w:t>
      </w:r>
      <w:r>
        <w:rPr>
          <w:rFonts w:hint="eastAsia" w:ascii="Times New Roman"/>
          <w:highlight w:val="none"/>
          <w:lang w:eastAsia="zh"/>
        </w:rPr>
        <w:t xml:space="preserve"> </w:t>
      </w:r>
      <w:r>
        <w:rPr>
          <w:rFonts w:hint="eastAsia" w:ascii="Times New Roman"/>
          <w:highlight w:val="none"/>
        </w:rPr>
        <w:t>环境空气和废气 臭气的测定 动态稀释嗅辨法</w:t>
      </w:r>
    </w:p>
    <w:p w14:paraId="43CE8E0B">
      <w:pPr>
        <w:pStyle w:val="59"/>
        <w:numPr>
          <w:ilvl w:val="0"/>
          <w:numId w:val="33"/>
        </w:numPr>
        <w:ind w:firstLine="420"/>
        <w:rPr>
          <w:rFonts w:hint="eastAsia" w:ascii="Times New Roman" w:eastAsia="宋体"/>
          <w:highlight w:val="none"/>
          <w:lang w:eastAsia="zh"/>
          <w:woUserID w:val="1"/>
        </w:rPr>
      </w:pPr>
      <w:r>
        <w:rPr>
          <w:rFonts w:hint="eastAsia" w:ascii="Times New Roman" w:eastAsia="宋体" w:cs="Times New Roman"/>
          <w:sz w:val="21"/>
          <w:szCs w:val="20"/>
          <w:highlight w:val="none"/>
          <w:lang w:eastAsia="zh"/>
          <w:woUserID w:val="1"/>
        </w:rPr>
        <w:t>HJ 1262</w:t>
      </w:r>
      <w:r>
        <w:rPr>
          <w:rFonts w:hint="eastAsia" w:ascii="Times New Roman" w:hAnsi="Times New Roman" w:eastAsia="宋体" w:cs="Times New Roman"/>
          <w:sz w:val="21"/>
          <w:szCs w:val="20"/>
          <w:highlight w:val="none"/>
          <w:lang w:eastAsia="zh"/>
          <w:woUserID w:val="1"/>
        </w:rPr>
        <w:t>—20</w:t>
      </w:r>
      <w:r>
        <w:rPr>
          <w:rFonts w:hint="eastAsia" w:ascii="Times New Roman" w:eastAsia="宋体" w:cs="Times New Roman"/>
          <w:sz w:val="21"/>
          <w:szCs w:val="20"/>
          <w:highlight w:val="none"/>
          <w:lang w:eastAsia="zh"/>
          <w:woUserID w:val="1"/>
        </w:rPr>
        <w:t>22 环境空气和废气 臭气的测定 三点比较式臭袋法</w:t>
      </w:r>
    </w:p>
    <w:p w14:paraId="284496A5">
      <w:pPr>
        <w:pStyle w:val="59"/>
        <w:numPr>
          <w:ilvl w:val="0"/>
          <w:numId w:val="33"/>
        </w:numPr>
        <w:ind w:firstLine="420"/>
        <w:rPr>
          <w:rFonts w:ascii="Times New Roman"/>
          <w:highlight w:val="none"/>
        </w:rPr>
      </w:pPr>
      <w:r>
        <w:rPr>
          <w:rFonts w:hint="eastAsia" w:ascii="Times New Roman"/>
          <w:highlight w:val="none"/>
        </w:rPr>
        <w:t>HJ</w:t>
      </w:r>
      <w:r>
        <w:rPr>
          <w:rFonts w:hint="eastAsia" w:ascii="Times New Roman"/>
          <w:highlight w:val="none"/>
          <w:lang w:val="en-US" w:eastAsia="zh-CN"/>
        </w:rPr>
        <w:t xml:space="preserve"> </w:t>
      </w:r>
      <w:r>
        <w:rPr>
          <w:rFonts w:hint="eastAsia" w:ascii="Times New Roman"/>
          <w:highlight w:val="none"/>
        </w:rPr>
        <w:t>610</w:t>
      </w:r>
      <w:r>
        <w:rPr>
          <w:rFonts w:hint="eastAsia" w:ascii="Times New Roman"/>
          <w:highlight w:val="none"/>
          <w:woUserID w:val="1"/>
        </w:rPr>
        <w:t>—20</w:t>
      </w:r>
      <w:r>
        <w:rPr>
          <w:rFonts w:hint="eastAsia" w:ascii="Times New Roman"/>
          <w:highlight w:val="none"/>
          <w:lang w:eastAsia="zh"/>
          <w:woUserID w:val="1"/>
        </w:rPr>
        <w:t xml:space="preserve">16 </w:t>
      </w:r>
      <w:r>
        <w:rPr>
          <w:rFonts w:hint="eastAsia" w:ascii="Times New Roman"/>
          <w:highlight w:val="none"/>
        </w:rPr>
        <w:t>环境影响评价技术导则大气环境</w:t>
      </w:r>
    </w:p>
    <w:p w14:paraId="6A53F5D4">
      <w:pPr>
        <w:pStyle w:val="59"/>
        <w:numPr>
          <w:ilvl w:val="0"/>
          <w:numId w:val="33"/>
        </w:numPr>
        <w:ind w:firstLine="420"/>
        <w:rPr>
          <w:rFonts w:ascii="Times New Roman"/>
          <w:highlight w:val="none"/>
        </w:rPr>
      </w:pPr>
      <w:r>
        <w:rPr>
          <w:rFonts w:hint="eastAsia" w:ascii="Times New Roman"/>
          <w:highlight w:val="none"/>
        </w:rPr>
        <w:t>HJ</w:t>
      </w:r>
      <w:r>
        <w:rPr>
          <w:rFonts w:hint="eastAsia" w:ascii="Times New Roman"/>
          <w:highlight w:val="none"/>
          <w:lang w:val="en-US" w:eastAsia="zh-CN"/>
        </w:rPr>
        <w:t xml:space="preserve"> </w:t>
      </w:r>
      <w:r>
        <w:rPr>
          <w:rFonts w:hint="eastAsia" w:ascii="Times New Roman"/>
          <w:highlight w:val="none"/>
        </w:rPr>
        <w:t>1286—2023 固定污染源废气非甲烷总烃连续监测技术规范</w:t>
      </w:r>
    </w:p>
    <w:p w14:paraId="320AC791">
      <w:pPr>
        <w:pStyle w:val="59"/>
        <w:numPr>
          <w:ilvl w:val="0"/>
          <w:numId w:val="33"/>
        </w:numPr>
        <w:ind w:firstLine="420"/>
        <w:rPr>
          <w:rFonts w:ascii="Times New Roman"/>
          <w:highlight w:val="none"/>
        </w:rPr>
      </w:pPr>
      <w:r>
        <w:rPr>
          <w:rFonts w:hint="eastAsia" w:ascii="Times New Roman"/>
          <w:highlight w:val="none"/>
        </w:rPr>
        <w:t>T/ACEF</w:t>
      </w:r>
      <w:r>
        <w:rPr>
          <w:rFonts w:hint="eastAsia" w:ascii="Times New Roman"/>
          <w:highlight w:val="none"/>
          <w:lang w:val="en-US" w:eastAsia="zh-CN"/>
        </w:rPr>
        <w:t xml:space="preserve"> </w:t>
      </w:r>
      <w:r>
        <w:rPr>
          <w:rFonts w:hint="eastAsia" w:ascii="Times New Roman"/>
          <w:highlight w:val="none"/>
        </w:rPr>
        <w:t>155—2024 恶臭/异味现场嗅辨技术指南</w:t>
      </w:r>
    </w:p>
    <w:p w14:paraId="6296E1B0">
      <w:pPr>
        <w:pStyle w:val="59"/>
        <w:numPr>
          <w:ilvl w:val="0"/>
          <w:numId w:val="33"/>
        </w:numPr>
        <w:ind w:firstLine="420"/>
        <w:rPr>
          <w:rFonts w:ascii="Times New Roman"/>
          <w:highlight w:val="none"/>
        </w:rPr>
      </w:pPr>
      <w:r>
        <w:rPr>
          <w:rFonts w:hint="eastAsia" w:ascii="Times New Roman"/>
          <w:highlight w:val="none"/>
        </w:rPr>
        <w:t>T/ACEF</w:t>
      </w:r>
      <w:r>
        <w:rPr>
          <w:rFonts w:hint="eastAsia" w:ascii="Times New Roman"/>
          <w:highlight w:val="none"/>
          <w:lang w:val="en-US" w:eastAsia="zh-CN"/>
        </w:rPr>
        <w:t xml:space="preserve"> </w:t>
      </w:r>
      <w:r>
        <w:rPr>
          <w:rFonts w:hint="eastAsia" w:ascii="Times New Roman"/>
          <w:highlight w:val="none"/>
        </w:rPr>
        <w:t>006—2020 挥发性有机物综合治理一厂一策编制技术指南</w:t>
      </w:r>
    </w:p>
    <w:p w14:paraId="5F3D3E9F">
      <w:pPr>
        <w:pStyle w:val="59"/>
        <w:numPr>
          <w:ilvl w:val="0"/>
          <w:numId w:val="33"/>
        </w:numPr>
        <w:ind w:firstLine="420"/>
        <w:rPr>
          <w:rFonts w:ascii="Times New Roman"/>
          <w:highlight w:val="none"/>
        </w:rPr>
      </w:pPr>
      <w:r>
        <w:rPr>
          <w:rFonts w:hint="eastAsia" w:ascii="Times New Roman"/>
          <w:highlight w:val="none"/>
        </w:rPr>
        <w:t>石油和化工行业环保设施向公众开放工作指南</w:t>
      </w:r>
    </w:p>
    <w:bookmarkEnd w:id="86"/>
    <w:p w14:paraId="127E4671">
      <w:pPr>
        <w:pStyle w:val="59"/>
        <w:ind w:firstLine="0" w:firstLineChars="0"/>
        <w:jc w:val="center"/>
        <w:rPr>
          <w:highlight w:val="none"/>
        </w:rPr>
      </w:pPr>
      <w:bookmarkStart w:id="88" w:name="BookMark8"/>
      <w:r>
        <w:rPr>
          <w:rFonts w:hint="eastAsia"/>
          <w:highlight w:val="none"/>
        </w:rPr>
        <w:drawing>
          <wp:inline distT="0" distB="0" distL="0" distR="0">
            <wp:extent cx="1485900" cy="317500"/>
            <wp:effectExtent l="0" t="0" r="0" b="6350"/>
            <wp:docPr id="1029" name="图片 1"/>
            <wp:cNvGraphicFramePr/>
            <a:graphic xmlns:a="http://schemas.openxmlformats.org/drawingml/2006/main">
              <a:graphicData uri="http://schemas.openxmlformats.org/drawingml/2006/picture">
                <pic:pic xmlns:pic="http://schemas.openxmlformats.org/drawingml/2006/picture">
                  <pic:nvPicPr>
                    <pic:cNvPr id="1029" name="图片 1"/>
                    <pic:cNvPicPr/>
                  </pic:nvPicPr>
                  <pic:blipFill>
                    <a:blip r:embed="rId14" cstate="print"/>
                    <a:srcRect/>
                    <a:stretch>
                      <a:fillRect/>
                    </a:stretch>
                  </pic:blipFill>
                  <pic:spPr>
                    <a:xfrm>
                      <a:off x="0" y="0"/>
                      <a:ext cx="1485900" cy="317500"/>
                    </a:xfrm>
                    <a:prstGeom prst="rect">
                      <a:avLst/>
                    </a:prstGeom>
                  </pic:spPr>
                </pic:pic>
              </a:graphicData>
            </a:graphic>
          </wp:inline>
        </w:drawing>
      </w:r>
      <w:bookmarkEnd w:id="88"/>
    </w:p>
    <w:sectPr>
      <w:footerReference r:id="rId12" w:type="default"/>
      <w:pgSz w:w="11906" w:h="16838"/>
      <w:pgMar w:top="1871" w:right="1134" w:bottom="1134" w:left="1134" w:header="1418" w:footer="1134" w:gutter="284"/>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DDED">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03D4">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2247E">
    <w:pPr>
      <w:pStyle w:val="55"/>
    </w:pPr>
    <w:r>
      <w:fldChar w:fldCharType="begin"/>
    </w:r>
    <w:r>
      <w:instrText xml:space="preserve">PAGE   \* MERGEFORMAT</w:instrText>
    </w:r>
    <w:r>
      <w:fldChar w:fldCharType="separate"/>
    </w:r>
    <w:r>
      <w:rPr>
        <w:lang w:val="zh-CN"/>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82A9">
    <w:pPr>
      <w:pStyle w:val="55"/>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1B67E">
    <w:pPr>
      <w:pStyle w:val="19"/>
      <w:wordWrap w:val="0"/>
      <w:jc w:val="right"/>
      <w:rPr>
        <w:rFonts w:hint="eastAsia" w:ascii="黑体" w:hAnsi="黑体" w:eastAsia="黑体"/>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520055" cy="5587365"/>
          <wp:effectExtent l="0" t="0" r="0" b="0"/>
          <wp:wrapNone/>
          <wp:docPr id="1"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35C7B">
    <w:pPr>
      <w:pStyle w:val="19"/>
      <w:jc w:val="both"/>
      <w:rPr>
        <w:sz w:val="2"/>
        <w:szCs w:val="2"/>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520055" cy="5587365"/>
          <wp:effectExtent l="0" t="0" r="0" b="0"/>
          <wp:wrapNone/>
          <wp:docPr id="2"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B007D">
    <w:pPr>
      <w:pStyle w:val="64"/>
      <w:rPr>
        <w:rFonts w:hint="eastAsia"/>
      </w:rPr>
    </w:pPr>
    <w:r>
      <w:fldChar w:fldCharType="begin"/>
    </w:r>
    <w:r>
      <w:instrText xml:space="preserve"> STYLEREF  标准文件_文件编号  \* MERGEFORMAT </w:instrText>
    </w:r>
    <w:r>
      <w:fldChar w:fldCharType="separate"/>
    </w:r>
    <w:r>
      <w:t>T/ACEF ×××-2026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BA46">
    <w:pPr>
      <w:pStyle w:val="19"/>
      <w:jc w:val="right"/>
    </w:pPr>
    <w:r>
      <w:fldChar w:fldCharType="begin"/>
    </w:r>
    <w:r>
      <w:instrText xml:space="preserve"> STYLEREF  标准文件_文件编号  \* MERGEFORMAT </w:instrText>
    </w:r>
    <w:r>
      <w:fldChar w:fldCharType="separate"/>
    </w:r>
    <w:r>
      <w:t>T/ACEF ×××-2026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0000002"/>
    <w:multiLevelType w:val="multilevel"/>
    <w:tmpl w:val="00000002"/>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0000003"/>
    <w:multiLevelType w:val="multilevel"/>
    <w:tmpl w:val="00000003"/>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0000004"/>
    <w:multiLevelType w:val="multilevel"/>
    <w:tmpl w:val="00000004"/>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hAnsi="等线" w:eastAsia="黑体"/>
        <w:b w:val="0"/>
        <w:i w:val="0"/>
        <w:sz w:val="21"/>
      </w:rPr>
    </w:lvl>
    <w:lvl w:ilvl="2" w:tentative="0">
      <w:start w:val="1"/>
      <w:numFmt w:val="decimal"/>
      <w:pStyle w:val="204"/>
      <w:suff w:val="nothing"/>
      <w:lvlText w:val="%10.%2.%3 "/>
      <w:lvlJc w:val="left"/>
      <w:pPr>
        <w:ind w:left="0" w:firstLine="0"/>
      </w:pPr>
      <w:rPr>
        <w:rFonts w:hint="eastAsia" w:ascii="黑体" w:hAnsi="等线" w:eastAsia="黑体"/>
        <w:b w:val="0"/>
        <w:i w:val="0"/>
        <w:sz w:val="21"/>
      </w:rPr>
    </w:lvl>
    <w:lvl w:ilvl="3" w:tentative="0">
      <w:start w:val="1"/>
      <w:numFmt w:val="decimal"/>
      <w:pStyle w:val="205"/>
      <w:suff w:val="nothing"/>
      <w:lvlText w:val="%10.%2.%3.%4 "/>
      <w:lvlJc w:val="left"/>
      <w:pPr>
        <w:ind w:left="0" w:firstLine="0"/>
      </w:pPr>
      <w:rPr>
        <w:rFonts w:hint="eastAsia" w:ascii="黑体" w:hAnsi="等线" w:eastAsia="黑体"/>
        <w:b w:val="0"/>
        <w:i w:val="0"/>
        <w:sz w:val="21"/>
      </w:rPr>
    </w:lvl>
    <w:lvl w:ilvl="4" w:tentative="0">
      <w:start w:val="1"/>
      <w:numFmt w:val="decimal"/>
      <w:pStyle w:val="206"/>
      <w:suff w:val="nothing"/>
      <w:lvlText w:val="%10.%2.%3.%4.%5 "/>
      <w:lvlJc w:val="left"/>
      <w:pPr>
        <w:ind w:left="0" w:firstLine="0"/>
      </w:pPr>
      <w:rPr>
        <w:rFonts w:hint="eastAsia" w:ascii="黑体" w:hAnsi="等线" w:eastAsia="黑体"/>
        <w:b w:val="0"/>
        <w:i w:val="0"/>
        <w:sz w:val="21"/>
      </w:rPr>
    </w:lvl>
    <w:lvl w:ilvl="5" w:tentative="0">
      <w:start w:val="1"/>
      <w:numFmt w:val="decimal"/>
      <w:pStyle w:val="207"/>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0000005"/>
    <w:multiLevelType w:val="multilevel"/>
    <w:tmpl w:val="00000005"/>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0000006"/>
    <w:multiLevelType w:val="multilevel"/>
    <w:tmpl w:val="00000006"/>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00000008"/>
    <w:multiLevelType w:val="multilevel"/>
    <w:tmpl w:val="00000008"/>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9"/>
    <w:multiLevelType w:val="multilevel"/>
    <w:tmpl w:val="00000009"/>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0000000A"/>
    <w:multiLevelType w:val="multilevel"/>
    <w:tmpl w:val="0000000A"/>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0000000B"/>
    <w:multiLevelType w:val="multilevel"/>
    <w:tmpl w:val="0000000B"/>
    <w:lvl w:ilvl="0" w:tentative="0">
      <w:start w:val="1"/>
      <w:numFmt w:val="decimal"/>
      <w:pStyle w:val="242"/>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24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000000C"/>
    <w:multiLevelType w:val="multilevel"/>
    <w:tmpl w:val="0000000C"/>
    <w:lvl w:ilvl="0" w:tentative="0">
      <w:start w:val="1"/>
      <w:numFmt w:val="none"/>
      <w:pStyle w:val="135"/>
      <w:lvlText w:val="%1——"/>
      <w:lvlJc w:val="left"/>
      <w:pPr>
        <w:tabs>
          <w:tab w:val="left" w:pos="1271"/>
        </w:tabs>
        <w:ind w:left="1271" w:hanging="426"/>
      </w:pPr>
      <w:rPr>
        <w:rFonts w:hint="default" w:ascii="Times New Roman" w:hAnsi="Times New Roman" w:eastAsia="宋体" w:cs="Times New Roman"/>
        <w:b w:val="0"/>
        <w:i w:val="0"/>
        <w:sz w:val="21"/>
      </w:rPr>
    </w:lvl>
    <w:lvl w:ilvl="1" w:tentative="0">
      <w:start w:val="1"/>
      <w:numFmt w:val="none"/>
      <w:pStyle w:val="190"/>
      <w:lvlText w:val=""/>
      <w:lvlJc w:val="left"/>
      <w:pPr>
        <w:tabs>
          <w:tab w:val="left" w:pos="420"/>
        </w:tabs>
        <w:ind w:left="1271" w:hanging="431"/>
      </w:pPr>
      <w:rPr>
        <w:rFonts w:hint="default" w:ascii="Symbol" w:hAnsi="Symbol"/>
        <w:sz w:val="21"/>
      </w:rPr>
    </w:lvl>
    <w:lvl w:ilvl="2" w:tentative="0">
      <w:start w:val="1"/>
      <w:numFmt w:val="bullet"/>
      <w:pStyle w:val="175"/>
      <w:lvlText w:val=""/>
      <w:lvlJc w:val="left"/>
      <w:pPr>
        <w:tabs>
          <w:tab w:val="left" w:pos="420"/>
        </w:tabs>
        <w:ind w:left="1271" w:hanging="426"/>
      </w:pPr>
      <w:rPr>
        <w:rFonts w:hint="default" w:ascii="Wingdings" w:hAnsi="Wingdings"/>
        <w:sz w:val="21"/>
      </w:rPr>
    </w:lvl>
    <w:lvl w:ilvl="3" w:tentative="0">
      <w:start w:val="1"/>
      <w:numFmt w:val="decimal"/>
      <w:lvlText w:val="%4."/>
      <w:lvlJc w:val="left"/>
      <w:pPr>
        <w:tabs>
          <w:tab w:val="left" w:pos="2491"/>
        </w:tabs>
        <w:ind w:left="2304" w:hanging="528"/>
      </w:pPr>
      <w:rPr>
        <w:rFonts w:hint="eastAsia"/>
      </w:rPr>
    </w:lvl>
    <w:lvl w:ilvl="4" w:tentative="0">
      <w:start w:val="1"/>
      <w:numFmt w:val="lowerLetter"/>
      <w:lvlText w:val="%5)"/>
      <w:lvlJc w:val="left"/>
      <w:pPr>
        <w:tabs>
          <w:tab w:val="left" w:pos="2803"/>
        </w:tabs>
        <w:ind w:left="2616" w:hanging="528"/>
      </w:pPr>
      <w:rPr>
        <w:rFonts w:hint="eastAsia"/>
      </w:rPr>
    </w:lvl>
    <w:lvl w:ilvl="5" w:tentative="0">
      <w:start w:val="1"/>
      <w:numFmt w:val="lowerRoman"/>
      <w:lvlText w:val="%6."/>
      <w:lvlJc w:val="right"/>
      <w:pPr>
        <w:tabs>
          <w:tab w:val="left" w:pos="3115"/>
        </w:tabs>
        <w:ind w:left="2928" w:hanging="528"/>
      </w:pPr>
      <w:rPr>
        <w:rFonts w:hint="eastAsia"/>
      </w:rPr>
    </w:lvl>
    <w:lvl w:ilvl="6" w:tentative="0">
      <w:start w:val="1"/>
      <w:numFmt w:val="decimal"/>
      <w:lvlText w:val="%7."/>
      <w:lvlJc w:val="left"/>
      <w:pPr>
        <w:tabs>
          <w:tab w:val="left" w:pos="3427"/>
        </w:tabs>
        <w:ind w:left="3240" w:hanging="528"/>
      </w:pPr>
      <w:rPr>
        <w:rFonts w:hint="eastAsia"/>
      </w:rPr>
    </w:lvl>
    <w:lvl w:ilvl="7" w:tentative="0">
      <w:start w:val="1"/>
      <w:numFmt w:val="lowerLetter"/>
      <w:lvlText w:val="%8)"/>
      <w:lvlJc w:val="left"/>
      <w:pPr>
        <w:tabs>
          <w:tab w:val="left" w:pos="3739"/>
        </w:tabs>
        <w:ind w:left="3552" w:hanging="528"/>
      </w:pPr>
      <w:rPr>
        <w:rFonts w:hint="eastAsia"/>
      </w:rPr>
    </w:lvl>
    <w:lvl w:ilvl="8" w:tentative="0">
      <w:start w:val="1"/>
      <w:numFmt w:val="lowerRoman"/>
      <w:lvlText w:val="%9."/>
      <w:lvlJc w:val="right"/>
      <w:pPr>
        <w:tabs>
          <w:tab w:val="left" w:pos="4051"/>
        </w:tabs>
        <w:ind w:left="3864" w:hanging="528"/>
      </w:pPr>
      <w:rPr>
        <w:rFonts w:hint="eastAsia"/>
      </w:rPr>
    </w:lvl>
  </w:abstractNum>
  <w:abstractNum w:abstractNumId="12">
    <w:nsid w:val="0000000D"/>
    <w:multiLevelType w:val="multilevel"/>
    <w:tmpl w:val="0000000D"/>
    <w:lvl w:ilvl="0" w:tentative="0">
      <w:start w:val="1"/>
      <w:numFmt w:val="lowerLetter"/>
      <w:pStyle w:val="104"/>
      <w:lvlText w:val="%1"/>
      <w:lvlJc w:val="left"/>
      <w:pPr>
        <w:tabs>
          <w:tab w:val="left" w:pos="539"/>
        </w:tabs>
        <w:ind w:left="539" w:hanging="119"/>
      </w:pPr>
      <w:rPr>
        <w:rFonts w:hint="eastAsia"/>
        <w:caps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0000000E"/>
    <w:multiLevelType w:val="multilevel"/>
    <w:tmpl w:val="0000000E"/>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0000000F"/>
    <w:multiLevelType w:val="multilevel"/>
    <w:tmpl w:val="0000000F"/>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00000010"/>
    <w:multiLevelType w:val="multilevel"/>
    <w:tmpl w:val="00000010"/>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00000011"/>
    <w:multiLevelType w:val="multilevel"/>
    <w:tmpl w:val="00000011"/>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00000012"/>
    <w:multiLevelType w:val="multilevel"/>
    <w:tmpl w:val="00000012"/>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00000013"/>
    <w:multiLevelType w:val="multilevel"/>
    <w:tmpl w:val="00000013"/>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00000014"/>
    <w:multiLevelType w:val="multilevel"/>
    <w:tmpl w:val="00000014"/>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00000015"/>
    <w:multiLevelType w:val="multilevel"/>
    <w:tmpl w:val="00000015"/>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16"/>
    <w:multiLevelType w:val="multilevel"/>
    <w:tmpl w:val="00000016"/>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00000017"/>
    <w:multiLevelType w:val="multilevel"/>
    <w:tmpl w:val="00000017"/>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00000018"/>
    <w:multiLevelType w:val="multilevel"/>
    <w:tmpl w:val="00000018"/>
    <w:lvl w:ilvl="0" w:tentative="0">
      <w:start w:val="1"/>
      <w:numFmt w:val="none"/>
      <w:pStyle w:val="192"/>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00000019"/>
    <w:multiLevelType w:val="multilevel"/>
    <w:tmpl w:val="00000019"/>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0000001A"/>
    <w:multiLevelType w:val="multilevel"/>
    <w:tmpl w:val="0000001A"/>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0000001B"/>
    <w:multiLevelType w:val="multilevel"/>
    <w:tmpl w:val="0000001B"/>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1C"/>
    <w:multiLevelType w:val="multilevel"/>
    <w:tmpl w:val="0000001C"/>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1D"/>
    <w:multiLevelType w:val="multilevel"/>
    <w:tmpl w:val="0000001D"/>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709"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bCs w:val="0"/>
        <w:i w:val="0"/>
        <w:iCs w:val="0"/>
        <w:caps w:val="0"/>
        <w:smallCaps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709" w:firstLine="0"/>
      </w:pPr>
      <w:rPr>
        <w:rFonts w:hint="default" w:ascii="黑体" w:hAnsi="黑体" w:eastAsia="黑体" w:cs="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0000001E"/>
    <w:multiLevelType w:val="multilevel"/>
    <w:tmpl w:val="0000001E"/>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0000001F"/>
    <w:multiLevelType w:val="multilevel"/>
    <w:tmpl w:val="0000001F"/>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00000020"/>
    <w:multiLevelType w:val="multilevel"/>
    <w:tmpl w:val="00000020"/>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138E6AB1"/>
    <w:multiLevelType w:val="singleLevel"/>
    <w:tmpl w:val="138E6AB1"/>
    <w:lvl w:ilvl="0" w:tentative="0">
      <w:start w:val="1"/>
      <w:numFmt w:val="decimal"/>
      <w:suff w:val="space"/>
      <w:lvlText w:val="[%1]"/>
      <w:lvlJc w:val="left"/>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21632F"/>
    <w:rsid w:val="002525BC"/>
    <w:rsid w:val="002D65E0"/>
    <w:rsid w:val="00311A5F"/>
    <w:rsid w:val="00381040"/>
    <w:rsid w:val="004021F7"/>
    <w:rsid w:val="00441793"/>
    <w:rsid w:val="004F70E7"/>
    <w:rsid w:val="008B6200"/>
    <w:rsid w:val="00CB6764"/>
    <w:rsid w:val="00D75DB8"/>
    <w:rsid w:val="00DB27E0"/>
    <w:rsid w:val="00DB6D74"/>
    <w:rsid w:val="00E659EB"/>
    <w:rsid w:val="00FE4037"/>
    <w:rsid w:val="014557C2"/>
    <w:rsid w:val="0198566A"/>
    <w:rsid w:val="01AA3877"/>
    <w:rsid w:val="01E21263"/>
    <w:rsid w:val="02131411"/>
    <w:rsid w:val="023615AF"/>
    <w:rsid w:val="02481266"/>
    <w:rsid w:val="025579CF"/>
    <w:rsid w:val="02683108"/>
    <w:rsid w:val="02E956DF"/>
    <w:rsid w:val="033C2BF5"/>
    <w:rsid w:val="034D4E02"/>
    <w:rsid w:val="03594D30"/>
    <w:rsid w:val="03A762FF"/>
    <w:rsid w:val="03C43552"/>
    <w:rsid w:val="03DE50DD"/>
    <w:rsid w:val="03F51722"/>
    <w:rsid w:val="041A7F27"/>
    <w:rsid w:val="041D2A27"/>
    <w:rsid w:val="043B1C03"/>
    <w:rsid w:val="0496105D"/>
    <w:rsid w:val="04B83F3B"/>
    <w:rsid w:val="04D55D51"/>
    <w:rsid w:val="04DF1A8A"/>
    <w:rsid w:val="055E1E42"/>
    <w:rsid w:val="05746676"/>
    <w:rsid w:val="05D56D29"/>
    <w:rsid w:val="06040238"/>
    <w:rsid w:val="06110369"/>
    <w:rsid w:val="0649045C"/>
    <w:rsid w:val="067508F8"/>
    <w:rsid w:val="068B1EC9"/>
    <w:rsid w:val="069D7E4F"/>
    <w:rsid w:val="06E33B5C"/>
    <w:rsid w:val="06E93094"/>
    <w:rsid w:val="0701218C"/>
    <w:rsid w:val="07372051"/>
    <w:rsid w:val="07DF1D75"/>
    <w:rsid w:val="07E55609"/>
    <w:rsid w:val="07EC3ADC"/>
    <w:rsid w:val="0828199A"/>
    <w:rsid w:val="08485622"/>
    <w:rsid w:val="08760957"/>
    <w:rsid w:val="089A4646"/>
    <w:rsid w:val="08A97780"/>
    <w:rsid w:val="08D16E03"/>
    <w:rsid w:val="08E51639"/>
    <w:rsid w:val="09216B15"/>
    <w:rsid w:val="09866978"/>
    <w:rsid w:val="099252A0"/>
    <w:rsid w:val="09A13D71"/>
    <w:rsid w:val="0A0313AD"/>
    <w:rsid w:val="0A7E1D45"/>
    <w:rsid w:val="0AB539B9"/>
    <w:rsid w:val="0AD876A7"/>
    <w:rsid w:val="0B1A79A5"/>
    <w:rsid w:val="0B9A670B"/>
    <w:rsid w:val="0BE22C8C"/>
    <w:rsid w:val="0C6F71C8"/>
    <w:rsid w:val="0CD368F0"/>
    <w:rsid w:val="0D576818"/>
    <w:rsid w:val="0DD002B9"/>
    <w:rsid w:val="0E2624D8"/>
    <w:rsid w:val="0EA53D44"/>
    <w:rsid w:val="0EDC703A"/>
    <w:rsid w:val="0F0071CD"/>
    <w:rsid w:val="0F6F2253"/>
    <w:rsid w:val="0FBF6A20"/>
    <w:rsid w:val="10891786"/>
    <w:rsid w:val="10D73F5D"/>
    <w:rsid w:val="10D97CD5"/>
    <w:rsid w:val="10EC5C5A"/>
    <w:rsid w:val="11537A88"/>
    <w:rsid w:val="119836EC"/>
    <w:rsid w:val="11A025A1"/>
    <w:rsid w:val="1254215C"/>
    <w:rsid w:val="126054B8"/>
    <w:rsid w:val="127A5CAF"/>
    <w:rsid w:val="12CB4BF7"/>
    <w:rsid w:val="12DC3AAD"/>
    <w:rsid w:val="13197530"/>
    <w:rsid w:val="137A7C32"/>
    <w:rsid w:val="13AE71F7"/>
    <w:rsid w:val="13F53078"/>
    <w:rsid w:val="1410457B"/>
    <w:rsid w:val="142851FC"/>
    <w:rsid w:val="14411E19"/>
    <w:rsid w:val="14494AB0"/>
    <w:rsid w:val="14725642"/>
    <w:rsid w:val="14C30A80"/>
    <w:rsid w:val="14D964F6"/>
    <w:rsid w:val="14E00959"/>
    <w:rsid w:val="14F0383F"/>
    <w:rsid w:val="151A266A"/>
    <w:rsid w:val="156E30E2"/>
    <w:rsid w:val="15A703A2"/>
    <w:rsid w:val="161F2FD7"/>
    <w:rsid w:val="163A7468"/>
    <w:rsid w:val="169D3553"/>
    <w:rsid w:val="17171557"/>
    <w:rsid w:val="18133ACD"/>
    <w:rsid w:val="183121A5"/>
    <w:rsid w:val="185A5BA0"/>
    <w:rsid w:val="18A03176"/>
    <w:rsid w:val="18CB43A7"/>
    <w:rsid w:val="18DA44C2"/>
    <w:rsid w:val="18E831AB"/>
    <w:rsid w:val="190653E0"/>
    <w:rsid w:val="194B54E8"/>
    <w:rsid w:val="196B7938"/>
    <w:rsid w:val="19831126"/>
    <w:rsid w:val="1990775B"/>
    <w:rsid w:val="1991739F"/>
    <w:rsid w:val="19A35B25"/>
    <w:rsid w:val="19ED659F"/>
    <w:rsid w:val="1A2023C0"/>
    <w:rsid w:val="1AD5775F"/>
    <w:rsid w:val="1AFC6661"/>
    <w:rsid w:val="1B1C1F38"/>
    <w:rsid w:val="1B8D3B96"/>
    <w:rsid w:val="1B9A4341"/>
    <w:rsid w:val="1BC25F36"/>
    <w:rsid w:val="1C3F4120"/>
    <w:rsid w:val="1C511068"/>
    <w:rsid w:val="1CBA507B"/>
    <w:rsid w:val="1D014845"/>
    <w:rsid w:val="1D1375A0"/>
    <w:rsid w:val="1DC82644"/>
    <w:rsid w:val="1DD261D8"/>
    <w:rsid w:val="1DF42728"/>
    <w:rsid w:val="1E222CBC"/>
    <w:rsid w:val="1E7352C5"/>
    <w:rsid w:val="1E90231B"/>
    <w:rsid w:val="1EB06519"/>
    <w:rsid w:val="1EBF49AE"/>
    <w:rsid w:val="1EC221EF"/>
    <w:rsid w:val="1EC30117"/>
    <w:rsid w:val="1EC51899"/>
    <w:rsid w:val="1F5F3A9B"/>
    <w:rsid w:val="1F721A21"/>
    <w:rsid w:val="1F8A4FBC"/>
    <w:rsid w:val="1FB75686"/>
    <w:rsid w:val="1FD64838"/>
    <w:rsid w:val="1FF00B97"/>
    <w:rsid w:val="1FFE1506"/>
    <w:rsid w:val="203B0065"/>
    <w:rsid w:val="20686E0A"/>
    <w:rsid w:val="20A43E5C"/>
    <w:rsid w:val="21181177"/>
    <w:rsid w:val="214178FD"/>
    <w:rsid w:val="214747E7"/>
    <w:rsid w:val="21BA7584"/>
    <w:rsid w:val="21E36C06"/>
    <w:rsid w:val="2217060F"/>
    <w:rsid w:val="227C4964"/>
    <w:rsid w:val="22944E50"/>
    <w:rsid w:val="22B473A3"/>
    <w:rsid w:val="22F664C5"/>
    <w:rsid w:val="23492A98"/>
    <w:rsid w:val="23E00D3B"/>
    <w:rsid w:val="2450754A"/>
    <w:rsid w:val="247E6188"/>
    <w:rsid w:val="248D2E59"/>
    <w:rsid w:val="24BB786B"/>
    <w:rsid w:val="24E24F53"/>
    <w:rsid w:val="24FD1D8D"/>
    <w:rsid w:val="254A0D4A"/>
    <w:rsid w:val="255120D8"/>
    <w:rsid w:val="257C6D8D"/>
    <w:rsid w:val="25861BE4"/>
    <w:rsid w:val="258B3D16"/>
    <w:rsid w:val="25963238"/>
    <w:rsid w:val="25BA7C7E"/>
    <w:rsid w:val="25D23219"/>
    <w:rsid w:val="25DB3FA0"/>
    <w:rsid w:val="25DF391D"/>
    <w:rsid w:val="25E521CE"/>
    <w:rsid w:val="2604539D"/>
    <w:rsid w:val="26306192"/>
    <w:rsid w:val="26735B2E"/>
    <w:rsid w:val="267A75A3"/>
    <w:rsid w:val="26A86578"/>
    <w:rsid w:val="26C30DB4"/>
    <w:rsid w:val="27294726"/>
    <w:rsid w:val="273423B7"/>
    <w:rsid w:val="27343A60"/>
    <w:rsid w:val="274155F7"/>
    <w:rsid w:val="274F73A2"/>
    <w:rsid w:val="27E97F3A"/>
    <w:rsid w:val="27F54F9D"/>
    <w:rsid w:val="27F91780"/>
    <w:rsid w:val="28052D25"/>
    <w:rsid w:val="28550131"/>
    <w:rsid w:val="28823D79"/>
    <w:rsid w:val="28F72F97"/>
    <w:rsid w:val="290E7DC4"/>
    <w:rsid w:val="294E0E09"/>
    <w:rsid w:val="29692C59"/>
    <w:rsid w:val="29A529F3"/>
    <w:rsid w:val="29BD337A"/>
    <w:rsid w:val="29F63A7B"/>
    <w:rsid w:val="2A510485"/>
    <w:rsid w:val="2A68662B"/>
    <w:rsid w:val="2A900FAD"/>
    <w:rsid w:val="2AA809EC"/>
    <w:rsid w:val="2AB078A1"/>
    <w:rsid w:val="2AB179A1"/>
    <w:rsid w:val="2B1470D5"/>
    <w:rsid w:val="2B595843"/>
    <w:rsid w:val="2BBD4024"/>
    <w:rsid w:val="2BC2562B"/>
    <w:rsid w:val="2C0A4D8F"/>
    <w:rsid w:val="2C3D33B6"/>
    <w:rsid w:val="2C420F7B"/>
    <w:rsid w:val="2C462E3B"/>
    <w:rsid w:val="2C8D1C48"/>
    <w:rsid w:val="2C9C00DD"/>
    <w:rsid w:val="2CD44F61"/>
    <w:rsid w:val="2CD94E8D"/>
    <w:rsid w:val="2CFF241A"/>
    <w:rsid w:val="2DBF449F"/>
    <w:rsid w:val="2DE955A4"/>
    <w:rsid w:val="2DEA30CA"/>
    <w:rsid w:val="2E1F2D74"/>
    <w:rsid w:val="2E41718E"/>
    <w:rsid w:val="2E830FA8"/>
    <w:rsid w:val="2EE67D35"/>
    <w:rsid w:val="2F38378D"/>
    <w:rsid w:val="2F5B588C"/>
    <w:rsid w:val="2FB674D6"/>
    <w:rsid w:val="2FDB2CCA"/>
    <w:rsid w:val="300264A9"/>
    <w:rsid w:val="302A3C52"/>
    <w:rsid w:val="3058494A"/>
    <w:rsid w:val="30617880"/>
    <w:rsid w:val="30697CF6"/>
    <w:rsid w:val="306D0259"/>
    <w:rsid w:val="308D649A"/>
    <w:rsid w:val="30C0477B"/>
    <w:rsid w:val="30CC4D09"/>
    <w:rsid w:val="311B7C4E"/>
    <w:rsid w:val="31265E46"/>
    <w:rsid w:val="315F1E36"/>
    <w:rsid w:val="318A0AA9"/>
    <w:rsid w:val="319408FC"/>
    <w:rsid w:val="31C9512A"/>
    <w:rsid w:val="32454D73"/>
    <w:rsid w:val="32717916"/>
    <w:rsid w:val="328E04C8"/>
    <w:rsid w:val="328F6C51"/>
    <w:rsid w:val="330110F1"/>
    <w:rsid w:val="335F4966"/>
    <w:rsid w:val="33750268"/>
    <w:rsid w:val="33801AA9"/>
    <w:rsid w:val="33E7199C"/>
    <w:rsid w:val="34426FFB"/>
    <w:rsid w:val="35125815"/>
    <w:rsid w:val="3518051D"/>
    <w:rsid w:val="352B64A2"/>
    <w:rsid w:val="353953B3"/>
    <w:rsid w:val="3579545F"/>
    <w:rsid w:val="35A818A1"/>
    <w:rsid w:val="35D4212E"/>
    <w:rsid w:val="35E64C4C"/>
    <w:rsid w:val="35FB40C6"/>
    <w:rsid w:val="360D0C8A"/>
    <w:rsid w:val="365E6403"/>
    <w:rsid w:val="365F3752"/>
    <w:rsid w:val="3689784B"/>
    <w:rsid w:val="36D52B69"/>
    <w:rsid w:val="37751C56"/>
    <w:rsid w:val="380A4A95"/>
    <w:rsid w:val="380E3942"/>
    <w:rsid w:val="382F62A9"/>
    <w:rsid w:val="38804D57"/>
    <w:rsid w:val="38A65E3F"/>
    <w:rsid w:val="38CE6B5A"/>
    <w:rsid w:val="38D64977"/>
    <w:rsid w:val="39420ACD"/>
    <w:rsid w:val="3A591371"/>
    <w:rsid w:val="3A9E7716"/>
    <w:rsid w:val="3B5450C2"/>
    <w:rsid w:val="3B581BCF"/>
    <w:rsid w:val="3B64626A"/>
    <w:rsid w:val="3BAB67F1"/>
    <w:rsid w:val="3C214130"/>
    <w:rsid w:val="3C9B3F0D"/>
    <w:rsid w:val="3CE07B72"/>
    <w:rsid w:val="3D1617E6"/>
    <w:rsid w:val="3D3879AE"/>
    <w:rsid w:val="3D6F7148"/>
    <w:rsid w:val="3D85696B"/>
    <w:rsid w:val="3D8E612B"/>
    <w:rsid w:val="3E786FA3"/>
    <w:rsid w:val="3EB5502E"/>
    <w:rsid w:val="3EF23B8C"/>
    <w:rsid w:val="3F1E241D"/>
    <w:rsid w:val="3F23468E"/>
    <w:rsid w:val="3F283A52"/>
    <w:rsid w:val="3F3D74FE"/>
    <w:rsid w:val="401023F6"/>
    <w:rsid w:val="40AB66E9"/>
    <w:rsid w:val="40E1035D"/>
    <w:rsid w:val="412A1D04"/>
    <w:rsid w:val="412D5350"/>
    <w:rsid w:val="422E58AD"/>
    <w:rsid w:val="427F7E2D"/>
    <w:rsid w:val="42957E13"/>
    <w:rsid w:val="429960CF"/>
    <w:rsid w:val="42A72EE0"/>
    <w:rsid w:val="42B21FB1"/>
    <w:rsid w:val="42B530EB"/>
    <w:rsid w:val="43C875B2"/>
    <w:rsid w:val="43CC2BFE"/>
    <w:rsid w:val="43D96354"/>
    <w:rsid w:val="443C5AF9"/>
    <w:rsid w:val="44A27E03"/>
    <w:rsid w:val="44B64B5F"/>
    <w:rsid w:val="44F44F37"/>
    <w:rsid w:val="44FA7C3F"/>
    <w:rsid w:val="455235D7"/>
    <w:rsid w:val="45943199"/>
    <w:rsid w:val="45D472F0"/>
    <w:rsid w:val="45E02BB8"/>
    <w:rsid w:val="45E25CF9"/>
    <w:rsid w:val="464B42E2"/>
    <w:rsid w:val="46FB3692"/>
    <w:rsid w:val="476562C5"/>
    <w:rsid w:val="47C3476D"/>
    <w:rsid w:val="47FE17F4"/>
    <w:rsid w:val="48561630"/>
    <w:rsid w:val="485B27A2"/>
    <w:rsid w:val="48643BDE"/>
    <w:rsid w:val="48F9446F"/>
    <w:rsid w:val="491A08B0"/>
    <w:rsid w:val="493C25D4"/>
    <w:rsid w:val="49935F6C"/>
    <w:rsid w:val="4A174DEF"/>
    <w:rsid w:val="4A48168E"/>
    <w:rsid w:val="4A4F27DB"/>
    <w:rsid w:val="4A631DE2"/>
    <w:rsid w:val="4A7B712C"/>
    <w:rsid w:val="4AA2290B"/>
    <w:rsid w:val="4AF4406D"/>
    <w:rsid w:val="4AFB026D"/>
    <w:rsid w:val="4B5A1437"/>
    <w:rsid w:val="4B9304A5"/>
    <w:rsid w:val="4B974814"/>
    <w:rsid w:val="4BA6642B"/>
    <w:rsid w:val="4BAE3EAC"/>
    <w:rsid w:val="4CC12AF0"/>
    <w:rsid w:val="4CEF6349"/>
    <w:rsid w:val="4D154C99"/>
    <w:rsid w:val="4D537EEC"/>
    <w:rsid w:val="4D754306"/>
    <w:rsid w:val="4D7762D0"/>
    <w:rsid w:val="4DB841F3"/>
    <w:rsid w:val="4E061402"/>
    <w:rsid w:val="4E364FE8"/>
    <w:rsid w:val="4EDE412D"/>
    <w:rsid w:val="4F005E52"/>
    <w:rsid w:val="4F421697"/>
    <w:rsid w:val="4FC31AAF"/>
    <w:rsid w:val="4FDC645D"/>
    <w:rsid w:val="501F0559"/>
    <w:rsid w:val="50425B47"/>
    <w:rsid w:val="504505B4"/>
    <w:rsid w:val="50697A27"/>
    <w:rsid w:val="509251CF"/>
    <w:rsid w:val="50A56CB1"/>
    <w:rsid w:val="50CD00C9"/>
    <w:rsid w:val="514C537E"/>
    <w:rsid w:val="517A59BA"/>
    <w:rsid w:val="51A8361F"/>
    <w:rsid w:val="51C32874"/>
    <w:rsid w:val="521D6D1B"/>
    <w:rsid w:val="5224403B"/>
    <w:rsid w:val="52261E1C"/>
    <w:rsid w:val="52326E4F"/>
    <w:rsid w:val="525E1FF8"/>
    <w:rsid w:val="52750905"/>
    <w:rsid w:val="52A511EA"/>
    <w:rsid w:val="52DC2732"/>
    <w:rsid w:val="52E447D6"/>
    <w:rsid w:val="52EF357D"/>
    <w:rsid w:val="53163E96"/>
    <w:rsid w:val="5352447F"/>
    <w:rsid w:val="537FA143"/>
    <w:rsid w:val="53DA1367"/>
    <w:rsid w:val="545936D6"/>
    <w:rsid w:val="54910A52"/>
    <w:rsid w:val="54B87480"/>
    <w:rsid w:val="54D75805"/>
    <w:rsid w:val="54DC110F"/>
    <w:rsid w:val="54EB4EAE"/>
    <w:rsid w:val="550F6DEF"/>
    <w:rsid w:val="55985036"/>
    <w:rsid w:val="55B6370E"/>
    <w:rsid w:val="55E24503"/>
    <w:rsid w:val="560B03D4"/>
    <w:rsid w:val="562B40FC"/>
    <w:rsid w:val="56352B82"/>
    <w:rsid w:val="56471ACC"/>
    <w:rsid w:val="565005FD"/>
    <w:rsid w:val="566048BA"/>
    <w:rsid w:val="566619A7"/>
    <w:rsid w:val="566B1AAB"/>
    <w:rsid w:val="57032154"/>
    <w:rsid w:val="57106C12"/>
    <w:rsid w:val="571E3235"/>
    <w:rsid w:val="572959A2"/>
    <w:rsid w:val="572F6536"/>
    <w:rsid w:val="57684EDC"/>
    <w:rsid w:val="579D2DD8"/>
    <w:rsid w:val="57B40DE5"/>
    <w:rsid w:val="57BC67C8"/>
    <w:rsid w:val="58003366"/>
    <w:rsid w:val="5809221B"/>
    <w:rsid w:val="582157B7"/>
    <w:rsid w:val="587415D1"/>
    <w:rsid w:val="58906498"/>
    <w:rsid w:val="58937D37"/>
    <w:rsid w:val="59091DA7"/>
    <w:rsid w:val="59282B75"/>
    <w:rsid w:val="59644A3A"/>
    <w:rsid w:val="59656A6D"/>
    <w:rsid w:val="59EE2FE3"/>
    <w:rsid w:val="59F82547"/>
    <w:rsid w:val="5A002212"/>
    <w:rsid w:val="5A026E00"/>
    <w:rsid w:val="5A201A9E"/>
    <w:rsid w:val="5A261D2C"/>
    <w:rsid w:val="5A7B7B2B"/>
    <w:rsid w:val="5A820063"/>
    <w:rsid w:val="5AF3600C"/>
    <w:rsid w:val="5B0B1A74"/>
    <w:rsid w:val="5B3C46B5"/>
    <w:rsid w:val="5B6A7475"/>
    <w:rsid w:val="5BD017D2"/>
    <w:rsid w:val="5BD82630"/>
    <w:rsid w:val="5C7347ED"/>
    <w:rsid w:val="5C8E0F41"/>
    <w:rsid w:val="5CFF599B"/>
    <w:rsid w:val="5D0F662C"/>
    <w:rsid w:val="5D1D22C5"/>
    <w:rsid w:val="5D600B2F"/>
    <w:rsid w:val="5D875126"/>
    <w:rsid w:val="5D9D442D"/>
    <w:rsid w:val="5DAF73C1"/>
    <w:rsid w:val="5DD76917"/>
    <w:rsid w:val="5E9B254F"/>
    <w:rsid w:val="5ECF057E"/>
    <w:rsid w:val="5EDD7F5D"/>
    <w:rsid w:val="5F5D7619"/>
    <w:rsid w:val="5F700DD2"/>
    <w:rsid w:val="5F9A7BFD"/>
    <w:rsid w:val="5FB82E15"/>
    <w:rsid w:val="5FC36496"/>
    <w:rsid w:val="5FE62E42"/>
    <w:rsid w:val="602A2D2E"/>
    <w:rsid w:val="60402552"/>
    <w:rsid w:val="607D12BB"/>
    <w:rsid w:val="60C606B0"/>
    <w:rsid w:val="60FD6695"/>
    <w:rsid w:val="61C4154B"/>
    <w:rsid w:val="61CF0031"/>
    <w:rsid w:val="61D513C0"/>
    <w:rsid w:val="6260512D"/>
    <w:rsid w:val="62835356"/>
    <w:rsid w:val="628B289B"/>
    <w:rsid w:val="62901B16"/>
    <w:rsid w:val="62B965EC"/>
    <w:rsid w:val="62C51434"/>
    <w:rsid w:val="62F44EA4"/>
    <w:rsid w:val="632329D3"/>
    <w:rsid w:val="633F0722"/>
    <w:rsid w:val="634C56B2"/>
    <w:rsid w:val="6353678F"/>
    <w:rsid w:val="639F57E1"/>
    <w:rsid w:val="63E9766D"/>
    <w:rsid w:val="64092FD7"/>
    <w:rsid w:val="64315F9E"/>
    <w:rsid w:val="644A1BF1"/>
    <w:rsid w:val="644B5969"/>
    <w:rsid w:val="64B87082"/>
    <w:rsid w:val="64D02040"/>
    <w:rsid w:val="64EA5182"/>
    <w:rsid w:val="65336B29"/>
    <w:rsid w:val="656767D3"/>
    <w:rsid w:val="65892565"/>
    <w:rsid w:val="658B24C1"/>
    <w:rsid w:val="65E46075"/>
    <w:rsid w:val="65FC53A9"/>
    <w:rsid w:val="6606361F"/>
    <w:rsid w:val="662F72F1"/>
    <w:rsid w:val="663F32AC"/>
    <w:rsid w:val="664B017C"/>
    <w:rsid w:val="667E2026"/>
    <w:rsid w:val="676A25AA"/>
    <w:rsid w:val="67D604C5"/>
    <w:rsid w:val="68014CBD"/>
    <w:rsid w:val="68196D67"/>
    <w:rsid w:val="6836228C"/>
    <w:rsid w:val="68660FC4"/>
    <w:rsid w:val="68D913F5"/>
    <w:rsid w:val="69474158"/>
    <w:rsid w:val="69912070"/>
    <w:rsid w:val="69AB20B8"/>
    <w:rsid w:val="69F820EF"/>
    <w:rsid w:val="6AA10091"/>
    <w:rsid w:val="6AA12BF0"/>
    <w:rsid w:val="6AC36259"/>
    <w:rsid w:val="6AF95435"/>
    <w:rsid w:val="6B3604E7"/>
    <w:rsid w:val="6C031CBB"/>
    <w:rsid w:val="6C2830FF"/>
    <w:rsid w:val="6C392A70"/>
    <w:rsid w:val="6CA976D1"/>
    <w:rsid w:val="6CEE3E0C"/>
    <w:rsid w:val="6D4F0278"/>
    <w:rsid w:val="6DA03489"/>
    <w:rsid w:val="6DCA1912"/>
    <w:rsid w:val="6EE9084D"/>
    <w:rsid w:val="6EF015E7"/>
    <w:rsid w:val="6EF96DAE"/>
    <w:rsid w:val="6F3C2410"/>
    <w:rsid w:val="6FE26FE2"/>
    <w:rsid w:val="70143B03"/>
    <w:rsid w:val="701F345E"/>
    <w:rsid w:val="7020414E"/>
    <w:rsid w:val="702B0EE2"/>
    <w:rsid w:val="7080699B"/>
    <w:rsid w:val="70D867D7"/>
    <w:rsid w:val="70DE6288"/>
    <w:rsid w:val="712E4649"/>
    <w:rsid w:val="71384B84"/>
    <w:rsid w:val="71426D36"/>
    <w:rsid w:val="715C20BD"/>
    <w:rsid w:val="72037883"/>
    <w:rsid w:val="721553B9"/>
    <w:rsid w:val="72491287"/>
    <w:rsid w:val="728F13F9"/>
    <w:rsid w:val="73A214CA"/>
    <w:rsid w:val="73AE37EF"/>
    <w:rsid w:val="73BB4A72"/>
    <w:rsid w:val="74BF5CE3"/>
    <w:rsid w:val="74D13C69"/>
    <w:rsid w:val="74E85B44"/>
    <w:rsid w:val="74F60331"/>
    <w:rsid w:val="750C6A4F"/>
    <w:rsid w:val="7511365D"/>
    <w:rsid w:val="754D4E4B"/>
    <w:rsid w:val="75AD0232"/>
    <w:rsid w:val="75B62508"/>
    <w:rsid w:val="75F61E82"/>
    <w:rsid w:val="763211D3"/>
    <w:rsid w:val="764849F4"/>
    <w:rsid w:val="76E47C83"/>
    <w:rsid w:val="771B1C48"/>
    <w:rsid w:val="772877BF"/>
    <w:rsid w:val="77391156"/>
    <w:rsid w:val="774921DC"/>
    <w:rsid w:val="78427AB1"/>
    <w:rsid w:val="78443D9E"/>
    <w:rsid w:val="788259A6"/>
    <w:rsid w:val="78B90C9C"/>
    <w:rsid w:val="791D23AB"/>
    <w:rsid w:val="795844DA"/>
    <w:rsid w:val="7A021C61"/>
    <w:rsid w:val="7A715CD2"/>
    <w:rsid w:val="7AB65290"/>
    <w:rsid w:val="7AB66D3B"/>
    <w:rsid w:val="7ABB519F"/>
    <w:rsid w:val="7AF716AC"/>
    <w:rsid w:val="7B2E771F"/>
    <w:rsid w:val="7B36178C"/>
    <w:rsid w:val="7B503B39"/>
    <w:rsid w:val="7B542B9E"/>
    <w:rsid w:val="7B7D2454"/>
    <w:rsid w:val="7B863B58"/>
    <w:rsid w:val="7B8E4662"/>
    <w:rsid w:val="7B9E2718"/>
    <w:rsid w:val="7BA13D74"/>
    <w:rsid w:val="7BAC2D3A"/>
    <w:rsid w:val="7BBB6492"/>
    <w:rsid w:val="7BD76009"/>
    <w:rsid w:val="7BE349AD"/>
    <w:rsid w:val="7C21292F"/>
    <w:rsid w:val="7C7FAAF7"/>
    <w:rsid w:val="7CA13B16"/>
    <w:rsid w:val="7D2E21FE"/>
    <w:rsid w:val="7DAE349D"/>
    <w:rsid w:val="7DE71E07"/>
    <w:rsid w:val="7E263B73"/>
    <w:rsid w:val="7E2B43EA"/>
    <w:rsid w:val="7E434142"/>
    <w:rsid w:val="7E834226"/>
    <w:rsid w:val="7EBF4B32"/>
    <w:rsid w:val="7F3F9815"/>
    <w:rsid w:val="7F62207E"/>
    <w:rsid w:val="7F6A777C"/>
    <w:rsid w:val="7F764D90"/>
    <w:rsid w:val="7F930498"/>
    <w:rsid w:val="7F957B8B"/>
    <w:rsid w:val="7FE66B64"/>
    <w:rsid w:val="7FF54CAF"/>
    <w:rsid w:val="9EFF27AB"/>
    <w:rsid w:val="A7FB8520"/>
    <w:rsid w:val="BC7FC85D"/>
    <w:rsid w:val="BFEF9D40"/>
    <w:rsid w:val="CBEF4FB0"/>
    <w:rsid w:val="CFE69FA6"/>
    <w:rsid w:val="EFF339FA"/>
    <w:rsid w:val="F2F5AA10"/>
    <w:rsid w:val="F5FF951C"/>
    <w:rsid w:val="F9791BB8"/>
    <w:rsid w:val="FC797F3F"/>
    <w:rsid w:val="FDEEEB16"/>
    <w:rsid w:val="FDEFFB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qFormat/>
    <w:uiPriority w:val="39"/>
    <w:pPr>
      <w:ind w:left="839"/>
    </w:pPr>
    <w:rPr>
      <w:rFonts w:ascii="宋体"/>
    </w:rPr>
  </w:style>
  <w:style w:type="paragraph" w:styleId="16">
    <w:name w:val="toc 3"/>
    <w:basedOn w:val="1"/>
    <w:next w:val="1"/>
    <w:qFormat/>
    <w:uiPriority w:val="39"/>
    <w:pPr>
      <w:spacing w:line="300" w:lineRule="exact"/>
      <w:ind w:left="420"/>
    </w:pPr>
    <w:rPr>
      <w:rFonts w:ascii="宋体"/>
    </w:rPr>
  </w:style>
  <w:style w:type="paragraph" w:styleId="17">
    <w:name w:val="Balloon Text"/>
    <w:basedOn w:val="1"/>
    <w:link w:val="48"/>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qFormat/>
    <w:uiPriority w:val="39"/>
    <w:rPr>
      <w:rFonts w:ascii="宋体"/>
    </w:rPr>
  </w:style>
  <w:style w:type="paragraph" w:styleId="21">
    <w:name w:val="toc 4"/>
    <w:basedOn w:val="1"/>
    <w:next w:val="1"/>
    <w:qFormat/>
    <w:uiPriority w:val="39"/>
    <w:pPr>
      <w:tabs>
        <w:tab w:val="right" w:leader="dot" w:pos="9344"/>
      </w:tabs>
      <w:spacing w:line="300" w:lineRule="exact"/>
      <w:ind w:left="629"/>
    </w:pPr>
    <w:rPr>
      <w:rFonts w:ascii="宋体"/>
    </w:rPr>
  </w:style>
  <w:style w:type="paragraph" w:styleId="22">
    <w:name w:val="footnote text"/>
    <w:basedOn w:val="1"/>
    <w:next w:val="1"/>
    <w:link w:val="102"/>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qFormat/>
    <w:uiPriority w:val="39"/>
    <w:pPr>
      <w:spacing w:line="300" w:lineRule="exact"/>
      <w:ind w:left="1049"/>
    </w:pPr>
    <w:rPr>
      <w:rFonts w:ascii="宋体"/>
    </w:rPr>
  </w:style>
  <w:style w:type="paragraph" w:styleId="24">
    <w:name w:val="table of figures"/>
    <w:basedOn w:val="1"/>
    <w:next w:val="1"/>
    <w:qFormat/>
    <w:uiPriority w:val="0"/>
    <w:pPr>
      <w:adjustRightInd/>
      <w:spacing w:line="240" w:lineRule="auto"/>
      <w:jc w:val="left"/>
    </w:pPr>
    <w:rPr>
      <w:szCs w:val="24"/>
    </w:rPr>
  </w:style>
  <w:style w:type="paragraph" w:styleId="25">
    <w:name w:val="toc 2"/>
    <w:basedOn w:val="1"/>
    <w:next w:val="1"/>
    <w:qFormat/>
    <w:uiPriority w:val="39"/>
    <w:pPr>
      <w:tabs>
        <w:tab w:val="right" w:leader="dot" w:pos="9344"/>
      </w:tabs>
      <w:spacing w:line="300" w:lineRule="exact"/>
      <w:ind w:left="210"/>
    </w:pPr>
    <w:rPr>
      <w:rFonts w:ascii="宋体"/>
    </w:rPr>
  </w:style>
  <w:style w:type="paragraph" w:styleId="26">
    <w:name w:val="Normal (Web)"/>
    <w:basedOn w:val="1"/>
    <w:qFormat/>
    <w:uiPriority w:val="99"/>
    <w:pPr>
      <w:spacing w:beforeAutospacing="1" w:afterAutospacing="1"/>
      <w:jc w:val="left"/>
    </w:pPr>
    <w:rPr>
      <w:kern w:val="0"/>
      <w:sz w:val="24"/>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qFormat/>
    <w:uiPriority w:val="0"/>
    <w:rPr>
      <w:sz w:val="21"/>
      <w:szCs w:val="21"/>
    </w:rPr>
  </w:style>
  <w:style w:type="character" w:styleId="36">
    <w:name w:val="footnote reference"/>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7"/>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Id w:val="0"/>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Id w:val="0"/>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Id w:val="0"/>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tabs>
        <w:tab w:val="left" w:pos="851"/>
        <w:tab w:val="clear" w:pos="1271"/>
      </w:tabs>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qFormat/>
    <w:uiPriority w:val="0"/>
    <w:pPr>
      <w:adjustRightInd/>
      <w:spacing w:line="240" w:lineRule="auto"/>
      <w:jc w:val="left"/>
    </w:pPr>
    <w:rPr>
      <w:bCs/>
      <w:iCs/>
    </w:rPr>
  </w:style>
  <w:style w:type="paragraph" w:customStyle="1" w:styleId="146">
    <w:name w:val="目录 31"/>
    <w:basedOn w:val="1"/>
    <w:next w:val="1"/>
    <w:qFormat/>
    <w:uiPriority w:val="0"/>
    <w:pPr>
      <w:spacing w:line="240" w:lineRule="auto"/>
    </w:pPr>
    <w:rPr>
      <w:rFonts w:ascii="宋体" w:hAnsi="宋体"/>
      <w:iCs/>
    </w:rPr>
  </w:style>
  <w:style w:type="paragraph" w:customStyle="1" w:styleId="147">
    <w:name w:val="目录 41"/>
    <w:basedOn w:val="1"/>
    <w:next w:val="1"/>
    <w:qFormat/>
    <w:uiPriority w:val="0"/>
    <w:pPr>
      <w:adjustRightInd/>
      <w:spacing w:line="240" w:lineRule="auto"/>
      <w:jc w:val="left"/>
    </w:pPr>
  </w:style>
  <w:style w:type="paragraph" w:customStyle="1" w:styleId="148">
    <w:name w:val="目录 51"/>
    <w:basedOn w:val="1"/>
    <w:next w:val="1"/>
    <w:qFormat/>
    <w:uiPriority w:val="0"/>
    <w:pPr>
      <w:spacing w:line="240" w:lineRule="auto"/>
    </w:pPr>
    <w:rPr>
      <w:rFonts w:ascii="宋体" w:hAnsi="宋体"/>
    </w:rPr>
  </w:style>
  <w:style w:type="paragraph" w:customStyle="1" w:styleId="149">
    <w:name w:val="目录 61"/>
    <w:basedOn w:val="1"/>
    <w:next w:val="1"/>
    <w:qFormat/>
    <w:uiPriority w:val="0"/>
    <w:pPr>
      <w:adjustRightInd/>
      <w:spacing w:line="240" w:lineRule="auto"/>
      <w:jc w:val="left"/>
    </w:pPr>
  </w:style>
  <w:style w:type="paragraph" w:customStyle="1" w:styleId="150">
    <w:name w:val="目录 71"/>
    <w:basedOn w:val="149"/>
    <w:qFormat/>
    <w:uiPriority w:val="0"/>
    <w:pPr>
      <w:ind w:left="1260"/>
    </w:pPr>
  </w:style>
  <w:style w:type="paragraph" w:customStyle="1" w:styleId="151">
    <w:name w:val="目录 81"/>
    <w:basedOn w:val="150"/>
    <w:qFormat/>
    <w:uiPriority w:val="0"/>
    <w:pPr>
      <w:ind w:left="1470"/>
    </w:pPr>
  </w:style>
  <w:style w:type="paragraph" w:customStyle="1" w:styleId="152">
    <w:name w:val="目录 91"/>
    <w:basedOn w:val="151"/>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after="0"/>
      <w:outlineLvl w:val="9"/>
    </w:pPr>
    <w:rPr>
      <w:rFonts w:ascii="宋体" w:eastAsia="宋体"/>
    </w:rPr>
  </w:style>
  <w:style w:type="paragraph" w:customStyle="1" w:styleId="166">
    <w:name w:val="标准文件_五级无标题"/>
    <w:basedOn w:val="106"/>
    <w:qFormat/>
    <w:uiPriority w:val="0"/>
    <w:pPr>
      <w:spacing w:before="0" w:after="0"/>
      <w:outlineLvl w:val="9"/>
    </w:pPr>
    <w:rPr>
      <w:rFonts w:ascii="宋体" w:eastAsia="宋体"/>
    </w:rPr>
  </w:style>
  <w:style w:type="paragraph" w:customStyle="1" w:styleId="167">
    <w:name w:val="标准文件_三级无标题"/>
    <w:basedOn w:val="97"/>
    <w:qFormat/>
    <w:uiPriority w:val="0"/>
    <w:pPr>
      <w:spacing w:before="0" w:after="0"/>
      <w:outlineLvl w:val="9"/>
    </w:pPr>
    <w:rPr>
      <w:rFonts w:ascii="宋体" w:eastAsia="宋体"/>
    </w:rPr>
  </w:style>
  <w:style w:type="paragraph" w:customStyle="1" w:styleId="168">
    <w:name w:val="标准文件_二级无标题"/>
    <w:basedOn w:val="68"/>
    <w:qFormat/>
    <w:uiPriority w:val="0"/>
    <w:pPr>
      <w:spacing w:before="0" w:after="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after="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56"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wrap="around"/>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after="0" w:line="276" w:lineRule="auto"/>
      <w:outlineLvl w:val="9"/>
    </w:pPr>
    <w:rPr>
      <w:rFonts w:ascii="宋体" w:eastAsia="宋体"/>
    </w:rPr>
  </w:style>
  <w:style w:type="paragraph" w:customStyle="1" w:styleId="215">
    <w:name w:val="标准文件_附录二级无标题"/>
    <w:basedOn w:val="82"/>
    <w:qFormat/>
    <w:uiPriority w:val="0"/>
    <w:pPr>
      <w:spacing w:before="0" w:after="0" w:line="276" w:lineRule="auto"/>
      <w:outlineLvl w:val="9"/>
    </w:pPr>
    <w:rPr>
      <w:rFonts w:ascii="宋体" w:eastAsia="宋体"/>
    </w:rPr>
  </w:style>
  <w:style w:type="paragraph" w:customStyle="1" w:styleId="216">
    <w:name w:val="标准文件_附录三级无标题"/>
    <w:basedOn w:val="84"/>
    <w:qFormat/>
    <w:uiPriority w:val="0"/>
    <w:pPr>
      <w:spacing w:before="0" w:after="0" w:line="276" w:lineRule="auto"/>
      <w:outlineLvl w:val="9"/>
    </w:pPr>
    <w:rPr>
      <w:rFonts w:ascii="宋体" w:eastAsia="宋体"/>
    </w:rPr>
  </w:style>
  <w:style w:type="paragraph" w:customStyle="1" w:styleId="217">
    <w:name w:val="标准文件_附录四级无标题"/>
    <w:basedOn w:val="85"/>
    <w:qFormat/>
    <w:uiPriority w:val="0"/>
    <w:pPr>
      <w:spacing w:before="0" w:after="0" w:line="276" w:lineRule="auto"/>
      <w:outlineLvl w:val="9"/>
    </w:pPr>
    <w:rPr>
      <w:rFonts w:ascii="宋体" w:eastAsia="宋体"/>
    </w:rPr>
  </w:style>
  <w:style w:type="paragraph" w:customStyle="1" w:styleId="218">
    <w:name w:val="标准文件_附录五级无标题"/>
    <w:basedOn w:val="87"/>
    <w:qFormat/>
    <w:uiPriority w:val="0"/>
    <w:pPr>
      <w:spacing w:before="0" w:after="0" w:line="276" w:lineRule="auto"/>
      <w:outlineLvl w:val="9"/>
    </w:pPr>
    <w:rPr>
      <w:rFonts w:ascii="宋体" w:eastAsia="宋体"/>
    </w:rPr>
  </w:style>
  <w:style w:type="paragraph" w:customStyle="1" w:styleId="219">
    <w:name w:val="标准文件_引言一级无标题"/>
    <w:basedOn w:val="203"/>
    <w:next w:val="59"/>
    <w:qFormat/>
    <w:uiPriority w:val="0"/>
    <w:pPr>
      <w:spacing w:before="0" w:after="0" w:line="276" w:lineRule="auto"/>
    </w:pPr>
    <w:rPr>
      <w:rFonts w:ascii="宋体" w:eastAsia="宋体"/>
    </w:rPr>
  </w:style>
  <w:style w:type="paragraph" w:customStyle="1" w:styleId="220">
    <w:name w:val="标准文件_引言二级无标题"/>
    <w:basedOn w:val="204"/>
    <w:next w:val="59"/>
    <w:qFormat/>
    <w:uiPriority w:val="0"/>
    <w:pPr>
      <w:spacing w:before="0" w:after="0" w:line="276" w:lineRule="auto"/>
    </w:pPr>
    <w:rPr>
      <w:rFonts w:ascii="宋体" w:eastAsia="宋体"/>
    </w:rPr>
  </w:style>
  <w:style w:type="paragraph" w:customStyle="1" w:styleId="221">
    <w:name w:val="标准文件_引言三级无标题"/>
    <w:basedOn w:val="205"/>
    <w:next w:val="59"/>
    <w:qFormat/>
    <w:uiPriority w:val="0"/>
    <w:pPr>
      <w:spacing w:before="0" w:after="0" w:line="276" w:lineRule="auto"/>
    </w:pPr>
    <w:rPr>
      <w:rFonts w:ascii="宋体" w:eastAsia="宋体"/>
    </w:rPr>
  </w:style>
  <w:style w:type="paragraph" w:customStyle="1" w:styleId="222">
    <w:name w:val="标准文件_引言四级无标题"/>
    <w:basedOn w:val="206"/>
    <w:next w:val="59"/>
    <w:qFormat/>
    <w:uiPriority w:val="0"/>
    <w:pPr>
      <w:spacing w:before="0" w:after="0" w:line="276" w:lineRule="auto"/>
    </w:pPr>
    <w:rPr>
      <w:rFonts w:ascii="宋体" w:eastAsia="宋体"/>
    </w:rPr>
  </w:style>
  <w:style w:type="paragraph" w:customStyle="1" w:styleId="223">
    <w:name w:val="标准文件_引言五级无标题"/>
    <w:basedOn w:val="207"/>
    <w:next w:val="59"/>
    <w:qFormat/>
    <w:uiPriority w:val="0"/>
    <w:pPr>
      <w:spacing w:before="0" w:after="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8"/>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4">
    <w:name w:val="列项●（二级）"/>
    <w:qFormat/>
    <w:uiPriority w:val="0"/>
    <w:pPr>
      <w:tabs>
        <w:tab w:val="left" w:pos="760"/>
        <w:tab w:val="left" w:pos="840"/>
      </w:tabs>
      <w:ind w:left="1264" w:hanging="413"/>
      <w:jc w:val="both"/>
    </w:pPr>
    <w:rPr>
      <w:rFonts w:ascii="宋体" w:hAnsi="Calibri" w:eastAsia="宋体" w:cs="Times New Roman"/>
      <w:sz w:val="21"/>
      <w:lang w:val="en-US" w:eastAsia="zh-CN" w:bidi="ar-SA"/>
    </w:rPr>
  </w:style>
  <w:style w:type="paragraph" w:customStyle="1" w:styleId="235">
    <w:name w:val="一级条标题"/>
    <w:next w:val="233"/>
    <w:qFormat/>
    <w:uiPriority w:val="0"/>
    <w:pPr>
      <w:spacing w:beforeLines="50" w:afterLines="50"/>
      <w:outlineLvl w:val="2"/>
    </w:pPr>
    <w:rPr>
      <w:rFonts w:ascii="黑体" w:hAnsi="Calibri" w:eastAsia="黑体" w:cs="Times New Roman"/>
      <w:sz w:val="21"/>
      <w:szCs w:val="21"/>
      <w:lang w:val="en-US" w:eastAsia="zh-CN" w:bidi="ar-SA"/>
    </w:rPr>
  </w:style>
  <w:style w:type="paragraph" w:customStyle="1" w:styleId="236">
    <w:name w:val="列项◆（三级）"/>
    <w:basedOn w:val="1"/>
    <w:qFormat/>
    <w:uiPriority w:val="0"/>
    <w:pPr>
      <w:tabs>
        <w:tab w:val="left" w:pos="1678"/>
      </w:tabs>
      <w:adjustRightInd/>
      <w:spacing w:line="240" w:lineRule="auto"/>
      <w:ind w:left="1678" w:hanging="414"/>
    </w:pPr>
    <w:rPr>
      <w:rFonts w:ascii="宋体"/>
    </w:rPr>
  </w:style>
  <w:style w:type="paragraph" w:customStyle="1" w:styleId="237">
    <w:name w:val="列项——（一级）"/>
    <w:qFormat/>
    <w:uiPriority w:val="0"/>
    <w:pPr>
      <w:widowControl w:val="0"/>
      <w:ind w:left="833" w:hanging="408"/>
      <w:jc w:val="both"/>
    </w:pPr>
    <w:rPr>
      <w:rFonts w:ascii="宋体" w:hAnsi="Calibri" w:eastAsia="宋体" w:cs="Times New Roman"/>
      <w:sz w:val="21"/>
      <w:lang w:val="en-US" w:eastAsia="zh-CN" w:bidi="ar-SA"/>
    </w:rPr>
  </w:style>
  <w:style w:type="character" w:customStyle="1" w:styleId="238">
    <w:name w:val="段 Char"/>
    <w:basedOn w:val="30"/>
    <w:link w:val="233"/>
    <w:qFormat/>
    <w:uiPriority w:val="0"/>
    <w:rPr>
      <w:rFonts w:ascii="宋体"/>
      <w:sz w:val="21"/>
    </w:rPr>
  </w:style>
  <w:style w:type="paragraph" w:customStyle="1" w:styleId="239">
    <w:name w:val="五级条标题"/>
    <w:basedOn w:val="240"/>
    <w:next w:val="233"/>
    <w:qFormat/>
    <w:uiPriority w:val="0"/>
    <w:pPr>
      <w:numPr>
        <w:ilvl w:val="5"/>
        <w:numId w:val="0"/>
      </w:numPr>
      <w:outlineLvl w:val="6"/>
    </w:pPr>
  </w:style>
  <w:style w:type="paragraph" w:customStyle="1" w:styleId="240">
    <w:name w:val="四级条标题"/>
    <w:basedOn w:val="1"/>
    <w:next w:val="233"/>
    <w:qFormat/>
    <w:uiPriority w:val="0"/>
    <w:pPr>
      <w:widowControl/>
      <w:numPr>
        <w:ilvl w:val="4"/>
        <w:numId w:val="32"/>
      </w:numPr>
      <w:adjustRightInd/>
      <w:spacing w:before="50" w:beforeLines="50" w:after="50" w:afterLines="50" w:line="240" w:lineRule="auto"/>
      <w:jc w:val="left"/>
      <w:outlineLvl w:val="5"/>
    </w:pPr>
    <w:rPr>
      <w:rFonts w:ascii="黑体" w:eastAsia="黑体"/>
      <w:kern w:val="0"/>
    </w:rPr>
  </w:style>
  <w:style w:type="paragraph" w:customStyle="1" w:styleId="241">
    <w:name w:val="二级条标题"/>
    <w:basedOn w:val="235"/>
    <w:next w:val="233"/>
    <w:qFormat/>
    <w:uiPriority w:val="0"/>
    <w:pPr>
      <w:numPr>
        <w:ilvl w:val="2"/>
        <w:numId w:val="32"/>
      </w:numPr>
      <w:spacing w:before="50" w:after="50"/>
      <w:outlineLvl w:val="3"/>
    </w:pPr>
  </w:style>
  <w:style w:type="paragraph" w:customStyle="1" w:styleId="242">
    <w:name w:val="章标题"/>
    <w:next w:val="233"/>
    <w:qFormat/>
    <w:uiPriority w:val="0"/>
    <w:pPr>
      <w:numPr>
        <w:ilvl w:val="0"/>
        <w:numId w:val="32"/>
      </w:numPr>
      <w:spacing w:beforeLines="100" w:afterLines="100"/>
      <w:jc w:val="both"/>
      <w:outlineLvl w:val="1"/>
    </w:pPr>
    <w:rPr>
      <w:rFonts w:ascii="黑体" w:hAnsi="Calibri" w:eastAsia="黑体" w:cs="Times New Roman"/>
      <w:sz w:val="21"/>
      <w:lang w:val="en-US" w:eastAsia="zh-CN" w:bidi="ar-SA"/>
    </w:rPr>
  </w:style>
  <w:style w:type="table" w:customStyle="1" w:styleId="243">
    <w:name w:val="_Style 10"/>
    <w:basedOn w:val="244"/>
    <w:qFormat/>
    <w:uiPriority w:val="0"/>
    <w:tblPr>
      <w:tblCellMar>
        <w:top w:w="100" w:type="dxa"/>
        <w:left w:w="100" w:type="dxa"/>
        <w:bottom w:w="100" w:type="dxa"/>
        <w:right w:w="100" w:type="dxa"/>
      </w:tblCellMar>
    </w:tblPr>
  </w:style>
  <w:style w:type="table" w:customStyle="1" w:styleId="244">
    <w:name w:val="Table Normal"/>
    <w:qFormat/>
    <w:uiPriority w:val="0"/>
    <w:tblPr>
      <w:tblCellMar>
        <w:top w:w="0" w:type="dxa"/>
        <w:left w:w="0" w:type="dxa"/>
        <w:bottom w:w="0" w:type="dxa"/>
        <w:right w:w="0" w:type="dxa"/>
      </w:tblCellMar>
    </w:tblPr>
  </w:style>
  <w:style w:type="table" w:customStyle="1" w:styleId="245">
    <w:name w:val="_Style 11"/>
    <w:basedOn w:val="244"/>
    <w:qFormat/>
    <w:uiPriority w:val="0"/>
    <w:tblPr>
      <w:tblCellMar>
        <w:top w:w="100" w:type="dxa"/>
        <w:left w:w="100" w:type="dxa"/>
        <w:bottom w:w="100" w:type="dxa"/>
        <w:right w:w="100" w:type="dxa"/>
      </w:tblCellMar>
    </w:tblPr>
  </w:style>
  <w:style w:type="table" w:customStyle="1" w:styleId="246">
    <w:name w:val="_Style 12"/>
    <w:basedOn w:val="244"/>
    <w:qFormat/>
    <w:uiPriority w:val="0"/>
    <w:tblPr>
      <w:tblCellMar>
        <w:top w:w="100" w:type="dxa"/>
        <w:left w:w="100" w:type="dxa"/>
        <w:bottom w:w="100" w:type="dxa"/>
        <w:right w:w="100" w:type="dxa"/>
      </w:tblCellMar>
    </w:tblPr>
  </w:style>
  <w:style w:type="paragraph" w:customStyle="1" w:styleId="247">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PCMI</Company>
  <Pages>25</Pages>
  <Words>20769</Words>
  <Characters>22505</Characters>
  <Lines>1</Lines>
  <Paragraphs>1</Paragraphs>
  <TotalTime>1</TotalTime>
  <ScaleCrop>false</ScaleCrop>
  <LinksUpToDate>false</LinksUpToDate>
  <CharactersWithSpaces>23076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2020-11-05T10:15:00Z</dcterms:created>
  <dc:creator>徐志荣</dc:creator>
  <dc:description>&lt;config cover="true" show_menu="true" version="1.0.0" doctype="SDKXY"&gt;_x000d_ &lt;/config&gt;</dc:description>
  <cp:lastModifiedBy>晴天薇</cp:lastModifiedBy>
  <cp:lastPrinted>2026-03-13T04:03:00Z</cp:lastPrinted>
  <dcterms:modified xsi:type="dcterms:W3CDTF">2026-05-07T01:24:03Z</dcterms:modified>
  <dc:title>地方标准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4BAA8E768536453494F38115C4BB5E1E_13</vt:lpwstr>
  </property>
  <property fmtid="{D5CDD505-2E9C-101B-9397-08002B2CF9AE}" pid="16" name="KSOTemplateDocerSaveRecord">
    <vt:lpwstr>eyJoZGlkIjoiODNlMzc1Y2UzMTBkZmVlMzdlM2NmNjU2YmM0NGM2ZmEiLCJ1c2VySWQiOiIyOTk3MTc2MzYifQ==</vt:lpwstr>
  </property>
</Properties>
</file>