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C3D3F">
      <w:bookmarkStart w:id="0" w:name="OLE_LINK5"/>
      <w:bookmarkStart w:id="1" w:name="OLE_LINK3"/>
      <w:bookmarkStart w:id="2" w:name="OLE_LINK4"/>
      <w:r>
        <w:br w:type="textWrapping"/>
      </w:r>
      <w:r>
        <w:t>ICS 13.080.01</w:t>
      </w:r>
    </w:p>
    <w:p w14:paraId="39364BB7">
      <w:r>
        <w:t>CSS Z05</w:t>
      </w:r>
    </w:p>
    <w:p w14:paraId="73037D4D"/>
    <w:p w14:paraId="67EADA4C"/>
    <w:p w14:paraId="37C58208"/>
    <w:p w14:paraId="2F1A4061">
      <w:pPr>
        <w:jc w:val="distribute"/>
        <w:rPr>
          <w:rFonts w:eastAsia="华文中宋"/>
          <w:b/>
          <w:bCs/>
          <w:sz w:val="84"/>
          <w:szCs w:val="84"/>
        </w:rPr>
      </w:pPr>
      <w:r>
        <w:rPr>
          <w:rFonts w:eastAsia="华文中宋"/>
          <w:b/>
          <w:bCs/>
          <w:sz w:val="84"/>
          <w:szCs w:val="84"/>
        </w:rPr>
        <w:t>团体标准</w:t>
      </w:r>
    </w:p>
    <w:p w14:paraId="1D248A0E"/>
    <w:p w14:paraId="1DD0F322">
      <w:pPr>
        <w:jc w:val="right"/>
        <w:rPr>
          <w:sz w:val="28"/>
          <w:szCs w:val="28"/>
        </w:rPr>
      </w:pPr>
      <w:r>
        <w:rPr>
          <w:sz w:val="28"/>
          <w:szCs w:val="28"/>
        </w:rPr>
        <w:t>T/ACEF ×××</w:t>
      </w:r>
      <w:r>
        <w:rPr>
          <w:rFonts w:eastAsia="黑体"/>
          <w:sz w:val="28"/>
          <w:szCs w:val="28"/>
        </w:rPr>
        <w:t>—20</w:t>
      </w:r>
      <w:r>
        <w:rPr>
          <w:sz w:val="28"/>
          <w:szCs w:val="28"/>
        </w:rPr>
        <w:t>××</w:t>
      </w:r>
    </w:p>
    <w:p w14:paraId="740C3418">
      <w:pPr>
        <w:jc w:val="right"/>
      </w:pPr>
      <w:r>
        <w:rPr>
          <w:szCs w:val="21"/>
        </w:rPr>
        <mc:AlternateContent>
          <mc:Choice Requires="wps">
            <w:drawing>
              <wp:inline distT="0" distB="0" distL="0" distR="0">
                <wp:extent cx="6120130" cy="635"/>
                <wp:effectExtent l="13970" t="7620" r="9525" b="11430"/>
                <wp:docPr id="8" name="Line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15"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okNMHSAAAAAgEAAA8AAAAAAAAAAQAgAAAAIgAAAGRycy9kb3ducmV2&#10;LnhtbFBLAQIUABQAAAAIAIdO4kDN/M8vyQEAAKADAAAOAAAAAAAAAAEAIAAAACEBAABkcnMvZTJv&#10;RG9jLnhtbFBLBQYAAAAABgAGAFkBAABcBQAAAAA=&#10;">
                <v:fill on="f" focussize="0,0"/>
                <v:stroke color="#000000" joinstyle="round"/>
                <v:imagedata o:title=""/>
                <o:lock v:ext="edit" aspectratio="f"/>
                <w10:wrap type="none"/>
                <w10:anchorlock/>
              </v:line>
            </w:pict>
          </mc:Fallback>
        </mc:AlternateContent>
      </w:r>
    </w:p>
    <w:p w14:paraId="13376745"/>
    <w:p w14:paraId="4F8180EE"/>
    <w:p w14:paraId="363C1383">
      <w:pPr>
        <w:spacing w:before="1701" w:line="360" w:lineRule="auto"/>
        <w:jc w:val="center"/>
        <w:rPr>
          <w:rFonts w:eastAsia="黑体"/>
          <w:sz w:val="48"/>
          <w:szCs w:val="48"/>
        </w:rPr>
      </w:pPr>
      <w:r>
        <w:rPr>
          <w:rFonts w:eastAsia="黑体"/>
          <w:sz w:val="48"/>
          <w:szCs w:val="48"/>
        </w:rPr>
        <w:t>工业集聚区土壤-地下水污染风险管控与修复技术评估指南</w:t>
      </w:r>
    </w:p>
    <w:p w14:paraId="2E29187F">
      <w:pPr>
        <w:spacing w:line="400" w:lineRule="exact"/>
        <w:jc w:val="center"/>
        <w:rPr>
          <w:rFonts w:eastAsia="黑体"/>
          <w:sz w:val="28"/>
          <w:szCs w:val="28"/>
        </w:rPr>
      </w:pPr>
      <w:r>
        <w:rPr>
          <w:rFonts w:eastAsia="黑体"/>
          <w:sz w:val="28"/>
          <w:szCs w:val="28"/>
        </w:rPr>
        <w:t xml:space="preserve">Guidelines for risk management and remediation technology assessment of </w:t>
      </w:r>
    </w:p>
    <w:p w14:paraId="39C55564">
      <w:pPr>
        <w:spacing w:line="400" w:lineRule="exact"/>
        <w:jc w:val="center"/>
        <w:rPr>
          <w:rFonts w:eastAsia="黑体"/>
          <w:sz w:val="28"/>
          <w:szCs w:val="28"/>
        </w:rPr>
      </w:pPr>
      <w:r>
        <w:rPr>
          <w:rFonts w:eastAsia="黑体"/>
          <w:sz w:val="28"/>
          <w:szCs w:val="28"/>
        </w:rPr>
        <w:t>soil-groundwater contamination in industrial parks</w:t>
      </w:r>
    </w:p>
    <w:p w14:paraId="0DB01245">
      <w:pPr>
        <w:jc w:val="center"/>
        <w:rPr>
          <w:rFonts w:eastAsia="黑体"/>
          <w:sz w:val="28"/>
          <w:szCs w:val="28"/>
        </w:rPr>
      </w:pPr>
      <w:bookmarkStart w:id="3" w:name="_Hlk219788463"/>
      <w:r>
        <w:rPr>
          <w:rFonts w:hint="eastAsia" w:eastAsia="黑体"/>
          <w:sz w:val="28"/>
          <w:szCs w:val="28"/>
        </w:rPr>
        <w:t>（征求意见稿）</w:t>
      </w:r>
    </w:p>
    <w:bookmarkEnd w:id="3"/>
    <w:p w14:paraId="36B99478">
      <w:pPr>
        <w:rPr>
          <w:rFonts w:eastAsia="黑体"/>
          <w:sz w:val="28"/>
          <w:szCs w:val="28"/>
        </w:rPr>
      </w:pPr>
    </w:p>
    <w:p w14:paraId="08818A4D"/>
    <w:p w14:paraId="6CA3631E"/>
    <w:p w14:paraId="531E6A1D"/>
    <w:p w14:paraId="7A866AC1"/>
    <w:p w14:paraId="7FA027AA"/>
    <w:p w14:paraId="5FBADBE2"/>
    <w:p w14:paraId="738B5884"/>
    <w:p w14:paraId="2220B0FD"/>
    <w:p w14:paraId="50D9A9E2">
      <w:pPr>
        <w:tabs>
          <w:tab w:val="left" w:pos="3927"/>
        </w:tabs>
        <w:jc w:val="left"/>
      </w:pPr>
    </w:p>
    <w:p w14:paraId="09EA63CD">
      <w:pPr>
        <w:tabs>
          <w:tab w:val="left" w:pos="3927"/>
        </w:tabs>
        <w:jc w:val="left"/>
        <w:rPr>
          <w:rFonts w:hint="eastAsia"/>
        </w:rPr>
      </w:pPr>
    </w:p>
    <w:p w14:paraId="49572AA7">
      <w:pPr>
        <w:tabs>
          <w:tab w:val="left" w:pos="3927"/>
        </w:tabs>
        <w:jc w:val="left"/>
      </w:pPr>
      <w:r>
        <w:t xml:space="preserve"> </w:t>
      </w:r>
    </w:p>
    <w:p w14:paraId="300C238F">
      <w:pPr>
        <w:tabs>
          <w:tab w:val="left" w:pos="3927"/>
        </w:tabs>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20××-×-×发布                                   20××-×-×实施</w:t>
      </w:r>
    </w:p>
    <w:p w14:paraId="5CBCE516">
      <w:pPr>
        <w:tabs>
          <w:tab w:val="left" w:pos="3927"/>
        </w:tabs>
        <w:adjustRightInd w:val="0"/>
        <w:snapToGrid w:val="0"/>
        <w:spacing w:line="120" w:lineRule="auto"/>
        <w:jc w:val="center"/>
        <w:rPr>
          <w:rFonts w:eastAsia="黑体"/>
          <w:sz w:val="28"/>
          <w:szCs w:val="28"/>
        </w:rPr>
      </w:pPr>
      <w:r>
        <w:rPr>
          <w:szCs w:val="21"/>
        </w:rPr>
        <mc:AlternateContent>
          <mc:Choice Requires="wps">
            <w:drawing>
              <wp:inline distT="0" distB="0" distL="0" distR="0">
                <wp:extent cx="6120130" cy="635"/>
                <wp:effectExtent l="13970" t="12700" r="9525" b="6350"/>
                <wp:docPr id="7" name="Line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inline>
            </w:drawing>
          </mc:Choice>
          <mc:Fallback>
            <w:pict>
              <v:line id="Line 3" o:spid="_x0000_s1026" o:spt="20" style="height:0.05pt;width:481.9pt;" filled="f" stroked="t" coordsize="21600,21600" o:gfxdata="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okNMHSAAAAAgEAAA8AAAAAAAAAAQAgAAAAIgAAAGRycy9kb3ducmV2&#10;LnhtbFBLAQIUABQAAAAIAIdO4kC8TywzyQEAAJ8DAAAOAAAAAAAAAAEAIAAAACEBAABkcnMvZTJv&#10;RG9jLnhtbFBLBQYAAAAABgAGAFkBAABcBQAAAAA=&#10;">
                <v:fill on="f" focussize="0,0"/>
                <v:stroke color="#000000" joinstyle="round"/>
                <v:imagedata o:title=""/>
                <o:lock v:ext="edit" aspectratio="f"/>
                <w10:wrap type="none"/>
                <w10:anchorlock/>
              </v:line>
            </w:pict>
          </mc:Fallback>
        </mc:AlternateContent>
      </w:r>
    </w:p>
    <w:p w14:paraId="55AD696A"/>
    <w:p w14:paraId="78B1DAFA"/>
    <w:p w14:paraId="716A9857">
      <w:pPr>
        <w:tabs>
          <w:tab w:val="center" w:pos="4819"/>
        </w:tabs>
        <w:adjustRightInd w:val="0"/>
        <w:snapToGrid w:val="0"/>
        <w:jc w:val="center"/>
        <w:rPr>
          <w:rFonts w:eastAsia="黑体"/>
          <w:sz w:val="28"/>
          <w:szCs w:val="28"/>
        </w:rPr>
        <w:sectPr>
          <w:headerReference r:id="rId3" w:type="default"/>
          <w:headerReference r:id="rId4" w:type="even"/>
          <w:pgSz w:w="11906" w:h="16838"/>
          <w:pgMar w:top="567" w:right="850" w:bottom="1134" w:left="1417" w:header="0" w:footer="0" w:gutter="0"/>
          <w:pgNumType w:start="1"/>
          <w:cols w:space="0" w:num="1"/>
          <w:docGrid w:type="lines" w:linePitch="312" w:charSpace="0"/>
        </w:sectPr>
      </w:pPr>
      <w:r>
        <w:rPr>
          <w:rFonts w:eastAsia="华文中宋"/>
          <w:sz w:val="30"/>
          <w:szCs w:val="30"/>
        </w:rPr>
        <w:t>中华环保联合会</w:t>
      </w:r>
      <w:r>
        <w:t xml:space="preserve">   </w:t>
      </w:r>
      <w:r>
        <w:rPr>
          <w:rFonts w:eastAsia="黑体"/>
          <w:sz w:val="28"/>
          <w:szCs w:val="28"/>
        </w:rPr>
        <w:t>发 布</w:t>
      </w:r>
    </w:p>
    <w:p w14:paraId="3CF58966">
      <w:pPr>
        <w:tabs>
          <w:tab w:val="center" w:pos="4819"/>
        </w:tabs>
        <w:adjustRightInd w:val="0"/>
        <w:snapToGrid w:val="0"/>
        <w:jc w:val="both"/>
        <w:rPr>
          <w:rFonts w:eastAsia="黑体"/>
          <w:sz w:val="28"/>
          <w:szCs w:val="28"/>
        </w:rPr>
        <w:sectPr>
          <w:pgSz w:w="11906" w:h="16838"/>
          <w:pgMar w:top="567" w:right="850" w:bottom="1134" w:left="1417" w:header="0" w:footer="0" w:gutter="0"/>
          <w:pgNumType w:start="1"/>
          <w:cols w:space="0" w:num="1"/>
          <w:docGrid w:type="lines" w:linePitch="312" w:charSpace="0"/>
        </w:sectPr>
      </w:pPr>
    </w:p>
    <w:bookmarkEnd w:id="0"/>
    <w:bookmarkEnd w:id="1"/>
    <w:bookmarkEnd w:id="2"/>
    <w:p w14:paraId="79BB68F9">
      <w:pPr>
        <w:widowControl/>
        <w:tabs>
          <w:tab w:val="left" w:pos="3993"/>
          <w:tab w:val="center" w:pos="4153"/>
        </w:tabs>
        <w:spacing w:line="720" w:lineRule="auto"/>
        <w:jc w:val="left"/>
        <w:rPr>
          <w:rFonts w:eastAsia="黑体"/>
          <w:sz w:val="36"/>
          <w:szCs w:val="21"/>
        </w:rPr>
      </w:pPr>
      <w:r>
        <w:rPr>
          <w:rFonts w:eastAsia="黑体"/>
          <w:color w:val="000000" w:themeColor="text1"/>
          <w:sz w:val="32"/>
          <w:szCs w:val="32"/>
          <w:lang w:val="zh-CN"/>
          <w14:textFill>
            <w14:solidFill>
              <w14:schemeClr w14:val="tx1"/>
            </w14:solidFill>
          </w14:textFill>
        </w:rPr>
        <w:tab/>
      </w:r>
      <w:bookmarkStart w:id="4" w:name="_Toc117174347"/>
      <w:bookmarkStart w:id="5" w:name="_Toc18914"/>
      <w:bookmarkStart w:id="6" w:name="_Toc1268"/>
      <w:bookmarkStart w:id="7" w:name="_Toc116743248"/>
      <w:bookmarkStart w:id="8" w:name="_Toc23063"/>
      <w:r>
        <w:rPr>
          <w:rFonts w:eastAsia="黑体"/>
          <w:sz w:val="36"/>
          <w:szCs w:val="21"/>
        </w:rPr>
        <w:t>目  次</w:t>
      </w:r>
      <w:bookmarkEnd w:id="4"/>
      <w:bookmarkEnd w:id="5"/>
      <w:bookmarkEnd w:id="6"/>
      <w:bookmarkEnd w:id="7"/>
      <w:bookmarkEnd w:id="8"/>
    </w:p>
    <w:p w14:paraId="250AA06A">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rPr>
          <w:rStyle w:val="22"/>
          <w:rFonts w:ascii="Times New Roman" w:hAnsi="Times New Roman" w:eastAsiaTheme="minorEastAsia"/>
          <w:color w:val="000000" w:themeColor="text1"/>
          <w:kern w:val="0"/>
          <w14:textFill>
            <w14:solidFill>
              <w14:schemeClr w14:val="tx1"/>
            </w14:solidFill>
          </w14:textFill>
        </w:rPr>
        <w:fldChar w:fldCharType="begin"/>
      </w:r>
      <w:r>
        <w:rPr>
          <w:rStyle w:val="22"/>
          <w:rFonts w:ascii="Times New Roman" w:hAnsi="Times New Roman" w:eastAsiaTheme="minorEastAsia"/>
          <w:color w:val="000000" w:themeColor="text1"/>
          <w:kern w:val="0"/>
          <w14:textFill>
            <w14:solidFill>
              <w14:schemeClr w14:val="tx1"/>
            </w14:solidFill>
          </w14:textFill>
        </w:rPr>
        <w:instrText xml:space="preserve"> TOC \o "1-1" \h \z \u </w:instrText>
      </w:r>
      <w:r>
        <w:rPr>
          <w:rStyle w:val="22"/>
          <w:rFonts w:ascii="Times New Roman" w:hAnsi="Times New Roman" w:eastAsiaTheme="minorEastAsia"/>
          <w:color w:val="000000" w:themeColor="text1"/>
          <w:kern w:val="0"/>
          <w14:textFill>
            <w14:solidFill>
              <w14:schemeClr w14:val="tx1"/>
            </w14:solidFill>
          </w14:textFill>
        </w:rPr>
        <w:fldChar w:fldCharType="separate"/>
      </w:r>
      <w:r>
        <w:fldChar w:fldCharType="begin"/>
      </w:r>
      <w:r>
        <w:instrText xml:space="preserve"> HYPERLINK \l "_Toc219788517"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1 范围</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_Toc219788517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23B8CBF1">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"_Toc219788518"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2 规范性引用文件</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_Toc219788518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03749055">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"_Toc219788519"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3 术语和定义</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_Toc219788519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29D1ADB3">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"_Toc219788520"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4总体要求和原则</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_Toc219788520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2</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6C0174EE">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"_Toc219788521"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5 总体流程</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_Toc219788521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3</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0EEFC48D">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"_Toc219788522"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6 信息收集</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_Toc219788522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4</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1F5412E4">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"_Toc219788523"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7 污染地块的技术适用性评估</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_Toc219788523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5</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77657B1C">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"_Toc219788524"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8 工业集聚区技术方案比选</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_Toc219788524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6</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0B30C98D">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"_Toc219788525"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附  录  A</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_Toc219788525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10</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69B0DABF">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"_Toc219788526"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附  录  B</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_Toc219788526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12</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40C4B7E4">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"_Toc219788527"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附  录  C</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_Toc219788527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13</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55CF6BE3">
      <w:pPr>
        <w:pStyle w:val="12"/>
        <w:tabs>
          <w:tab w:val="right" w:leader="dot" w:pos="9345"/>
        </w:tabs>
        <w:spacing w:after="156" w:afterLines="50" w:line="360" w:lineRule="auto"/>
        <w:ind w:firstLine="420" w:firstLineChars="200"/>
        <w:jc w:val="left"/>
        <w:rPr>
          <w:rStyle w:val="22"/>
          <w:rFonts w:hint="eastAsia" w:ascii="Times New Roman" w:hAnsi="Times New Roman" w:eastAsiaTheme="minorEastAsia"/>
          <w:color w:val="000000" w:themeColor="text1"/>
          <w:kern w:val="0"/>
          <w14:textFill>
            <w14:solidFill>
              <w14:schemeClr w14:val="tx1"/>
            </w14:solidFill>
          </w14:textFill>
        </w:rPr>
      </w:pPr>
      <w:r>
        <w:fldChar w:fldCharType="begin"/>
      </w:r>
      <w:r>
        <w:instrText xml:space="preserve"> HYPERLINK \l "_Toc219788528" </w:instrText>
      </w:r>
      <w:r>
        <w:fldChar w:fldCharType="separate"/>
      </w:r>
      <w:r>
        <w:rPr>
          <w:rStyle w:val="22"/>
          <w:rFonts w:hint="eastAsia" w:ascii="Times New Roman" w:hAnsi="Times New Roman" w:eastAsiaTheme="minorEastAsia"/>
          <w:color w:val="000000" w:themeColor="text1"/>
          <w:kern w:val="0"/>
          <w14:textFill>
            <w14:solidFill>
              <w14:schemeClr w14:val="tx1"/>
            </w14:solidFill>
          </w14:textFill>
        </w:rPr>
        <w:t>附  录  D</w:t>
      </w:r>
      <w:r>
        <w:rPr>
          <w:rStyle w:val="22"/>
          <w:rFonts w:hint="eastAsia" w:ascii="Times New Roman" w:hAnsi="Times New Roman" w:eastAsiaTheme="minorEastAsia"/>
          <w:color w:val="000000" w:themeColor="text1"/>
          <w:kern w:val="0"/>
          <w14:textFill>
            <w14:solidFill>
              <w14:schemeClr w14:val="tx1"/>
            </w14:solidFill>
          </w14:textFill>
        </w:rPr>
        <w:tab/>
      </w:r>
      <w:r>
        <w:rPr>
          <w:rStyle w:val="22"/>
          <w:rFonts w:hint="eastAsia" w:ascii="Times New Roman" w:hAnsi="Times New Roman" w:eastAsiaTheme="minorEastAsia"/>
          <w:color w:val="000000" w:themeColor="text1"/>
          <w:kern w:val="0"/>
          <w14:textFill>
            <w14:solidFill>
              <w14:schemeClr w14:val="tx1"/>
            </w14:solidFill>
          </w14:textFill>
        </w:rPr>
        <w:fldChar w:fldCharType="begin"/>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ascii="Times New Roman" w:hAnsi="Times New Roman" w:eastAsiaTheme="minorEastAsia"/>
          <w:color w:val="000000" w:themeColor="text1"/>
          <w:kern w:val="0"/>
          <w14:textFill>
            <w14:solidFill>
              <w14:schemeClr w14:val="tx1"/>
            </w14:solidFill>
          </w14:textFill>
        </w:rPr>
        <w:instrText xml:space="preserve">PAGEREF _Toc219788528 \h</w:instrText>
      </w:r>
      <w:r>
        <w:rPr>
          <w:rStyle w:val="22"/>
          <w:rFonts w:hint="eastAsia" w:ascii="Times New Roman" w:hAnsi="Times New Roman" w:eastAsiaTheme="minorEastAsia"/>
          <w:color w:val="000000" w:themeColor="text1"/>
          <w:kern w:val="0"/>
          <w14:textFill>
            <w14:solidFill>
              <w14:schemeClr w14:val="tx1"/>
            </w14:solidFill>
          </w14:textFill>
        </w:rPr>
        <w:instrText xml:space="preserve"> </w:instrText>
      </w:r>
      <w:r>
        <w:rPr>
          <w:rStyle w:val="22"/>
          <w:rFonts w:hint="eastAsia" w:ascii="Times New Roman" w:hAnsi="Times New Roman" w:eastAsiaTheme="minorEastAsia"/>
          <w:color w:val="000000" w:themeColor="text1"/>
          <w:kern w:val="0"/>
          <w14:textFill>
            <w14:solidFill>
              <w14:schemeClr w14:val="tx1"/>
            </w14:solidFill>
          </w14:textFill>
        </w:rPr>
        <w:fldChar w:fldCharType="separate"/>
      </w:r>
      <w:r>
        <w:rPr>
          <w:rStyle w:val="22"/>
          <w:rFonts w:ascii="Times New Roman" w:hAnsi="Times New Roman" w:eastAsiaTheme="minorEastAsia"/>
          <w:color w:val="000000" w:themeColor="text1"/>
          <w:kern w:val="0"/>
          <w14:textFill>
            <w14:solidFill>
              <w14:schemeClr w14:val="tx1"/>
            </w14:solidFill>
          </w14:textFill>
        </w:rPr>
        <w:t>15</w:t>
      </w:r>
      <w:r>
        <w:rPr>
          <w:rStyle w:val="22"/>
          <w:rFonts w:hint="eastAsia" w:ascii="Times New Roman" w:hAnsi="Times New Roman" w:eastAsiaTheme="minorEastAsia"/>
          <w:color w:val="000000" w:themeColor="text1"/>
          <w:kern w:val="0"/>
          <w14:textFill>
            <w14:solidFill>
              <w14:schemeClr w14:val="tx1"/>
            </w14:solidFill>
          </w14:textFill>
        </w:rPr>
        <w:fldChar w:fldCharType="end"/>
      </w:r>
      <w:r>
        <w:rPr>
          <w:rStyle w:val="22"/>
          <w:rFonts w:hint="eastAsia" w:ascii="Times New Roman" w:hAnsi="Times New Roman" w:eastAsiaTheme="minorEastAsia"/>
          <w:color w:val="000000" w:themeColor="text1"/>
          <w:kern w:val="0"/>
          <w14:textFill>
            <w14:solidFill>
              <w14:schemeClr w14:val="tx1"/>
            </w14:solidFill>
          </w14:textFill>
        </w:rPr>
        <w:fldChar w:fldCharType="end"/>
      </w:r>
    </w:p>
    <w:p w14:paraId="218B399E">
      <w:pPr>
        <w:pStyle w:val="12"/>
        <w:tabs>
          <w:tab w:val="right" w:leader="dot" w:pos="9345"/>
        </w:tabs>
        <w:spacing w:after="156" w:afterLines="50" w:line="360" w:lineRule="auto"/>
        <w:ind w:firstLine="420" w:firstLineChars="200"/>
        <w:jc w:val="left"/>
        <w:rPr>
          <w:rFonts w:asciiTheme="majorEastAsia" w:hAnsiTheme="majorEastAsia" w:eastAsiaTheme="majorEastAsia"/>
        </w:rPr>
      </w:pPr>
      <w:r>
        <w:rPr>
          <w:rStyle w:val="22"/>
          <w:rFonts w:ascii="Times New Roman" w:hAnsi="Times New Roman" w:eastAsiaTheme="minorEastAsia"/>
          <w:color w:val="000000" w:themeColor="text1"/>
          <w:kern w:val="0"/>
          <w14:textFill>
            <w14:solidFill>
              <w14:schemeClr w14:val="tx1"/>
            </w14:solidFill>
          </w14:textFill>
        </w:rPr>
        <w:fldChar w:fldCharType="end"/>
      </w:r>
    </w:p>
    <w:p w14:paraId="6D4840C8">
      <w:pPr>
        <w:pStyle w:val="12"/>
        <w:tabs>
          <w:tab w:val="right" w:leader="dot" w:pos="9355"/>
        </w:tabs>
        <w:spacing w:line="360" w:lineRule="auto"/>
        <w:rPr>
          <w:rFonts w:ascii="Times New Roman" w:hAnsi="Times New Roman"/>
          <w:color w:val="000000" w:themeColor="text1"/>
          <w:szCs w:val="21"/>
          <w14:textFill>
            <w14:solidFill>
              <w14:schemeClr w14:val="tx1"/>
            </w14:solidFill>
          </w14:textFill>
        </w:rPr>
      </w:pPr>
    </w:p>
    <w:p w14:paraId="07EA186B"/>
    <w:p w14:paraId="3AB779BE">
      <w:pPr>
        <w:jc w:val="right"/>
        <w:rPr>
          <w:i/>
          <w:iCs/>
        </w:rPr>
      </w:pPr>
      <w:r>
        <w:rPr>
          <w:i/>
          <w:iCs/>
        </w:rPr>
        <w:tab/>
      </w:r>
    </w:p>
    <w:p w14:paraId="2BC642B2">
      <w:pPr>
        <w:pStyle w:val="15"/>
        <w:rPr>
          <w:rFonts w:ascii="Times New Roman" w:hAnsi="Times New Roman" w:cs="Times New Roman"/>
        </w:rPr>
      </w:pPr>
      <w:bookmarkStart w:id="9" w:name="_Toc13619"/>
      <w:r>
        <w:rPr>
          <w:rFonts w:ascii="Times New Roman" w:hAnsi="Times New Roman" w:cs="Times New Roman"/>
        </w:rPr>
        <w:t>前    言</w:t>
      </w:r>
      <w:bookmarkEnd w:id="9"/>
    </w:p>
    <w:p w14:paraId="6FF963E1">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本文件按照GB/T1.1-2020《标准化工作导则  第1部分：标准化文件的结构和起草规则》的规定起草。</w:t>
      </w:r>
    </w:p>
    <w:p w14:paraId="4D7997F0">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请注意本文件的某些内容可能涉及专利。本文件的发布机构不承担识别专利的责任。</w:t>
      </w:r>
    </w:p>
    <w:p w14:paraId="4CC6ACED">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本文件由浙江大学提出。</w:t>
      </w:r>
    </w:p>
    <w:p w14:paraId="7CE4D8A9">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本文件由中华环保联合会归口。</w:t>
      </w:r>
    </w:p>
    <w:p w14:paraId="7258C00E">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本文件起草单位：</w:t>
      </w:r>
      <w:r>
        <w:rPr>
          <w:rFonts w:hint="eastAsia"/>
          <w:color w:val="000000" w:themeColor="text1"/>
          <w:szCs w:val="21"/>
          <w14:textFill>
            <w14:solidFill>
              <w14:schemeClr w14:val="tx1"/>
            </w14:solidFill>
          </w14:textFill>
        </w:rPr>
        <w:t>浙江大学、南开大学、华南农业大学、中国环境科学研究院、中国地质大学（武汉）、天津生态城环保有限公司、浙江大学长三角智慧绿洲创新中心、无际（嘉善）科技有限公司、嘉兴绿土生态科技有限公司。</w:t>
      </w:r>
    </w:p>
    <w:p w14:paraId="51CCD23F">
      <w:pPr>
        <w:adjustRightInd w:val="0"/>
        <w:snapToGri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本文件主要起草人：</w:t>
      </w:r>
      <w:r>
        <w:rPr>
          <w:rFonts w:hint="eastAsia"/>
          <w:color w:val="000000" w:themeColor="text1"/>
          <w:szCs w:val="21"/>
          <w14:textFill>
            <w14:solidFill>
              <w14:schemeClr w14:val="tx1"/>
            </w14:solidFill>
          </w14:textFill>
        </w:rPr>
        <w:t>楼莉萍、蔡晶婕、沈超峰、王飞儿、苏海磊、陈威、倪卓彪、文章、宋震宇、刘磊、黄燕、符玉龙、魏梦玉、羊嘉文、徐婉珍、段德超、徐辰。</w:t>
      </w:r>
    </w:p>
    <w:p w14:paraId="39AA89C9">
      <w:pPr>
        <w:spacing w:line="360" w:lineRule="auto"/>
        <w:ind w:firstLine="420" w:firstLineChars="200"/>
        <w:rPr>
          <w:color w:val="000000"/>
        </w:rPr>
      </w:pPr>
    </w:p>
    <w:p w14:paraId="5E74C81F">
      <w:pPr>
        <w:adjustRightInd w:val="0"/>
        <w:snapToGrid w:val="0"/>
        <w:spacing w:line="360" w:lineRule="auto"/>
        <w:ind w:firstLine="420" w:firstLineChars="200"/>
        <w:rPr>
          <w:color w:val="000000" w:themeColor="text1"/>
          <w14:textFill>
            <w14:solidFill>
              <w14:schemeClr w14:val="tx1"/>
            </w14:solidFill>
          </w14:textFill>
        </w:rPr>
      </w:pPr>
    </w:p>
    <w:p w14:paraId="412E40E0">
      <w:pPr>
        <w:adjustRightInd w:val="0"/>
        <w:snapToGrid w:val="0"/>
        <w:spacing w:line="360" w:lineRule="auto"/>
        <w:ind w:firstLine="420" w:firstLineChars="200"/>
        <w:rPr>
          <w:color w:val="000000" w:themeColor="text1"/>
          <w14:textFill>
            <w14:solidFill>
              <w14:schemeClr w14:val="tx1"/>
            </w14:solidFill>
          </w14:textFill>
        </w:rPr>
      </w:pPr>
    </w:p>
    <w:p w14:paraId="267BB5A2">
      <w:pPr>
        <w:spacing w:line="360" w:lineRule="auto"/>
        <w:rPr>
          <w:color w:val="000000" w:themeColor="text1"/>
          <w:sz w:val="24"/>
          <w:szCs w:val="24"/>
          <w14:textFill>
            <w14:solidFill>
              <w14:schemeClr w14:val="tx1"/>
            </w14:solidFill>
          </w14:textFill>
        </w:rPr>
        <w:sectPr>
          <w:headerReference r:id="rId5" w:type="default"/>
          <w:footerReference r:id="rId6" w:type="default"/>
          <w:footerReference r:id="rId7" w:type="even"/>
          <w:pgSz w:w="11906" w:h="16838"/>
          <w:pgMar w:top="1417" w:right="1134" w:bottom="1134" w:left="1417" w:header="1020" w:footer="850" w:gutter="0"/>
          <w:pgNumType w:fmt="upperRoman" w:start="1"/>
          <w:cols w:space="0" w:num="1"/>
          <w:docGrid w:type="lines" w:linePitch="312" w:charSpace="0"/>
        </w:sectPr>
      </w:pPr>
    </w:p>
    <w:p w14:paraId="72F3BCAC">
      <w:pPr>
        <w:spacing w:before="850" w:after="680"/>
        <w:jc w:val="center"/>
        <w:rPr>
          <w:rFonts w:eastAsia="黑体"/>
          <w:sz w:val="32"/>
          <w:szCs w:val="32"/>
        </w:rPr>
      </w:pPr>
      <w:bookmarkStart w:id="10" w:name="_Toc395187803"/>
      <w:r>
        <w:rPr>
          <w:rFonts w:eastAsia="黑体"/>
          <w:sz w:val="32"/>
          <w:szCs w:val="32"/>
        </w:rPr>
        <w:t>工业集聚区土壤-地下水污染风险管控与修复技术评估指南</w:t>
      </w:r>
    </w:p>
    <w:p w14:paraId="0B9A14DD">
      <w:pPr>
        <w:pStyle w:val="2"/>
        <w:rPr>
          <w:rFonts w:ascii="Times New Roman" w:hAnsi="Times New Roman"/>
          <w:i/>
          <w:iCs/>
        </w:rPr>
      </w:pPr>
      <w:bookmarkStart w:id="11" w:name="_Toc24003"/>
      <w:bookmarkStart w:id="12" w:name="_Toc29178"/>
      <w:bookmarkStart w:id="13" w:name="_Toc219788517"/>
      <w:bookmarkStart w:id="14" w:name="_Toc793"/>
      <w:r>
        <w:rPr>
          <w:rFonts w:ascii="Times New Roman" w:hAnsi="Times New Roman"/>
        </w:rPr>
        <w:t>1 范围</w:t>
      </w:r>
      <w:bookmarkEnd w:id="10"/>
      <w:bookmarkEnd w:id="11"/>
      <w:bookmarkEnd w:id="12"/>
      <w:bookmarkEnd w:id="13"/>
      <w:r>
        <w:rPr>
          <w:rFonts w:ascii="Times New Roman" w:hAnsi="Times New Roman"/>
        </w:rPr>
        <w:t xml:space="preserve">    </w:t>
      </w:r>
      <w:bookmarkEnd w:id="14"/>
    </w:p>
    <w:p w14:paraId="311F17DC">
      <w:pPr>
        <w:spacing w:line="360" w:lineRule="auto"/>
        <w:ind w:firstLine="420" w:firstLineChars="200"/>
        <w:rPr>
          <w:color w:val="000000" w:themeColor="text1"/>
          <w:szCs w:val="21"/>
          <w14:textFill>
            <w14:solidFill>
              <w14:schemeClr w14:val="tx1"/>
            </w14:solidFill>
          </w14:textFill>
        </w:rPr>
      </w:pPr>
      <w:bookmarkStart w:id="15" w:name="_Toc435177678"/>
      <w:bookmarkStart w:id="16" w:name="_Toc435177482"/>
      <w:r>
        <w:rPr>
          <w:color w:val="000000" w:themeColor="text1"/>
          <w:szCs w:val="21"/>
          <w14:textFill>
            <w14:solidFill>
              <w14:schemeClr w14:val="tx1"/>
            </w14:solidFill>
          </w14:textFill>
        </w:rPr>
        <w:t>本文件规定了工业集聚区土壤-地下水污染风险管控与修复技术评估的基本原则和工作程序。</w:t>
      </w:r>
      <w:bookmarkEnd w:id="15"/>
      <w:bookmarkEnd w:id="16"/>
    </w:p>
    <w:p w14:paraId="10E327E5">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本文件适用于</w:t>
      </w:r>
      <w:bookmarkStart w:id="17" w:name="_Hlk219797788"/>
      <w:r>
        <w:rPr>
          <w:color w:val="000000" w:themeColor="text1"/>
          <w:szCs w:val="21"/>
          <w14:textFill>
            <w14:solidFill>
              <w14:schemeClr w14:val="tx1"/>
            </w14:solidFill>
          </w14:textFill>
        </w:rPr>
        <w:t>已确定需要开展风险管控与修复的工业集聚区（含在产、搬迁两类企业）。</w:t>
      </w:r>
      <w:bookmarkEnd w:id="17"/>
    </w:p>
    <w:p w14:paraId="757E2EEA">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本文件不适用于农田、放射性污染和致病性生物工业集聚区。</w:t>
      </w:r>
    </w:p>
    <w:p w14:paraId="04DAC617">
      <w:pPr>
        <w:spacing w:line="720" w:lineRule="auto"/>
        <w:outlineLvl w:val="0"/>
        <w:rPr>
          <w:rFonts w:eastAsia="黑体"/>
          <w:color w:val="000000" w:themeColor="text1"/>
          <w14:textFill>
            <w14:solidFill>
              <w14:schemeClr w14:val="tx1"/>
            </w14:solidFill>
          </w14:textFill>
        </w:rPr>
      </w:pPr>
      <w:bookmarkStart w:id="18" w:name="_Toc25336"/>
      <w:bookmarkStart w:id="19" w:name="_Toc219788518"/>
      <w:bookmarkStart w:id="20" w:name="_Toc16338"/>
      <w:bookmarkStart w:id="21" w:name="_Toc19402"/>
      <w:r>
        <w:rPr>
          <w:rFonts w:eastAsia="黑体"/>
          <w:color w:val="000000" w:themeColor="text1"/>
          <w14:textFill>
            <w14:solidFill>
              <w14:schemeClr w14:val="tx1"/>
            </w14:solidFill>
          </w14:textFill>
        </w:rPr>
        <w:t>2 规范性引用文件</w:t>
      </w:r>
      <w:bookmarkEnd w:id="18"/>
      <w:bookmarkEnd w:id="19"/>
      <w:bookmarkEnd w:id="20"/>
      <w:bookmarkEnd w:id="21"/>
    </w:p>
    <w:p w14:paraId="57EE163A">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3D79FE9">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GB/T 14848 地下水质量标准</w:t>
      </w:r>
    </w:p>
    <w:p w14:paraId="4B6B0D40">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GB 36600 土壤环境质量 建设用地土壤污染风险管控标准（试行）</w:t>
      </w:r>
    </w:p>
    <w:p w14:paraId="7192CA1D">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GB/T 39792.1 生态环境损害鉴定评估技术指南 环境要素 第 1 部分：土壤和地下水</w:t>
      </w:r>
    </w:p>
    <w:p w14:paraId="36586CAD">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25.</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污染场地风险评估</w:t>
      </w:r>
      <w:r>
        <w:rPr>
          <w:color w:val="000000" w:themeColor="text1"/>
          <w:szCs w:val="21"/>
          <w14:textFill>
            <w14:solidFill>
              <w14:schemeClr w14:val="tx1"/>
            </w14:solidFill>
          </w14:textFill>
        </w:rPr>
        <w:t>技术导则</w:t>
      </w:r>
    </w:p>
    <w:p w14:paraId="64E81E66">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25.4 建设用地土壤修复技术导则</w:t>
      </w:r>
    </w:p>
    <w:p w14:paraId="37E31A34">
      <w:pPr>
        <w:adjustRightInd w:val="0"/>
        <w:spacing w:after="156" w:afterLines="50"/>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HJ 25.6 污染地块地下水修复和风险管控技术导则</w:t>
      </w:r>
    </w:p>
    <w:p w14:paraId="1E710CFE">
      <w:pPr>
        <w:spacing w:line="720" w:lineRule="auto"/>
        <w:outlineLvl w:val="0"/>
        <w:rPr>
          <w:rFonts w:eastAsia="黑体"/>
          <w:color w:val="000000" w:themeColor="text1"/>
          <w14:textFill>
            <w14:solidFill>
              <w14:schemeClr w14:val="tx1"/>
            </w14:solidFill>
          </w14:textFill>
        </w:rPr>
      </w:pPr>
      <w:bookmarkStart w:id="22" w:name="_Toc395187805"/>
      <w:bookmarkStart w:id="23" w:name="_Toc29387"/>
      <w:bookmarkStart w:id="24" w:name="_Toc21631"/>
      <w:bookmarkStart w:id="25" w:name="_Toc219788519"/>
      <w:bookmarkStart w:id="26" w:name="_Toc14850"/>
      <w:r>
        <w:rPr>
          <w:rFonts w:eastAsia="黑体"/>
          <w:color w:val="000000" w:themeColor="text1"/>
          <w14:textFill>
            <w14:solidFill>
              <w14:schemeClr w14:val="tx1"/>
            </w14:solidFill>
          </w14:textFill>
        </w:rPr>
        <w:t>3 术语和定义</w:t>
      </w:r>
      <w:bookmarkEnd w:id="22"/>
      <w:bookmarkEnd w:id="23"/>
      <w:bookmarkEnd w:id="24"/>
      <w:bookmarkEnd w:id="25"/>
      <w:bookmarkEnd w:id="26"/>
    </w:p>
    <w:p w14:paraId="720C266A">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下列术语和定义适用于本文件。</w:t>
      </w:r>
    </w:p>
    <w:p w14:paraId="2AD11A2E">
      <w:pPr>
        <w:spacing w:line="480" w:lineRule="auto"/>
        <w:rPr>
          <w:rFonts w:eastAsia="黑体"/>
          <w:color w:val="000000" w:themeColor="text1"/>
          <w:szCs w:val="21"/>
          <w14:textFill>
            <w14:solidFill>
              <w14:schemeClr w14:val="tx1"/>
            </w14:solidFill>
          </w14:textFill>
        </w:rPr>
      </w:pPr>
      <w:bookmarkStart w:id="27" w:name="_Toc511393149"/>
      <w:bookmarkStart w:id="28" w:name="_Toc435177690"/>
      <w:bookmarkStart w:id="29" w:name="_Toc435177494"/>
      <w:bookmarkStart w:id="30" w:name="_Toc23252664"/>
      <w:bookmarkStart w:id="31" w:name="_Toc481504299"/>
      <w:r>
        <w:rPr>
          <w:rFonts w:eastAsia="黑体"/>
          <w:color w:val="000000" w:themeColor="text1"/>
          <w:szCs w:val="21"/>
          <w14:textFill>
            <w14:solidFill>
              <w14:schemeClr w14:val="tx1"/>
            </w14:solidFill>
          </w14:textFill>
        </w:rPr>
        <w:t>3.1　</w:t>
      </w:r>
      <w:bookmarkEnd w:id="27"/>
      <w:bookmarkEnd w:id="28"/>
      <w:bookmarkEnd w:id="29"/>
      <w:bookmarkEnd w:id="30"/>
      <w:bookmarkEnd w:id="31"/>
    </w:p>
    <w:p w14:paraId="572AAEE9">
      <w:pPr>
        <w:spacing w:line="480" w:lineRule="auto"/>
        <w:ind w:firstLine="420" w:firstLineChars="200"/>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工业集聚区 </w:t>
      </w:r>
      <w:r>
        <w:rPr>
          <w:color w:val="000000" w:themeColor="text1"/>
          <w:szCs w:val="21"/>
          <w14:textFill>
            <w14:solidFill>
              <w14:schemeClr w14:val="tx1"/>
            </w14:solidFill>
          </w14:textFill>
        </w:rPr>
        <w:t>industrial parks</w:t>
      </w:r>
    </w:p>
    <w:p w14:paraId="1B850AF8">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指占地面积较大、包含多个生产单元的企业集群区域。其污染具有来源多样、介质复杂、空间异质性强等特点，需统筹考虑产业链协同与多介质协同风险管控与修复。</w:t>
      </w:r>
    </w:p>
    <w:p w14:paraId="026DAA90">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3.2　</w:t>
      </w:r>
    </w:p>
    <w:p w14:paraId="5D3FECA1">
      <w:pPr>
        <w:spacing w:line="480" w:lineRule="auto"/>
        <w:ind w:firstLine="420" w:firstLineChars="200"/>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土壤和地下水风险管控 </w:t>
      </w:r>
      <w:r>
        <w:t>soil and groundwater risk control</w:t>
      </w:r>
    </w:p>
    <w:p w14:paraId="7865C71C">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采取制度控制、工程控制或两者联用，控制目标污染物迁移或阻断污染物暴露途径，防止或减少人群对土壤或地下水中污染物的暴露，降低污染物对人体健康和环境风险的过程。</w:t>
      </w:r>
    </w:p>
    <w:p w14:paraId="3EABFFC0">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3.3　</w:t>
      </w:r>
    </w:p>
    <w:p w14:paraId="73946937">
      <w:pPr>
        <w:spacing w:line="480" w:lineRule="auto"/>
        <w:ind w:firstLine="420" w:firstLineChars="200"/>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土壤和地下水修复 </w:t>
      </w:r>
      <w:r>
        <w:t>soil and groundwater remediation</w:t>
      </w:r>
    </w:p>
    <w:p w14:paraId="1F95607D">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采用物理、化学或生物的方法，降解、吸附、转移或阻隔目标污染物，将土壤或地下水中有毒有害的污染物转化为无害物质，或使其浓度降低到可接受水平，或消除其环境风险。</w:t>
      </w:r>
    </w:p>
    <w:p w14:paraId="19863CE2">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3.4　</w:t>
      </w:r>
    </w:p>
    <w:p w14:paraId="14DD061D">
      <w:pPr>
        <w:spacing w:line="480" w:lineRule="auto"/>
        <w:ind w:firstLine="420" w:firstLineChars="200"/>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风险管控与修复技术方案评估 </w:t>
      </w:r>
      <w:r>
        <w:t>evaluation of control and remediation technical</w:t>
      </w:r>
    </w:p>
    <w:p w14:paraId="7E4037FC">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依据技术适用性、环境影响可接受性、时间效率可接受性、经济成本可接受性和经济成本可接受性等原则，结合实际条件，通过初筛与比选，从技术库中筛选并优化适用组合技术的过程。</w:t>
      </w:r>
    </w:p>
    <w:p w14:paraId="1E930791">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3.5　</w:t>
      </w:r>
    </w:p>
    <w:p w14:paraId="099619D3">
      <w:pPr>
        <w:spacing w:line="480" w:lineRule="auto"/>
        <w:ind w:firstLine="420" w:firstLineChars="200"/>
      </w:pPr>
      <w:r>
        <w:rPr>
          <w:rFonts w:eastAsia="黑体"/>
          <w:color w:val="000000" w:themeColor="text1"/>
          <w:szCs w:val="21"/>
          <w14:textFill>
            <w14:solidFill>
              <w14:schemeClr w14:val="tx1"/>
            </w14:solidFill>
          </w14:textFill>
        </w:rPr>
        <w:t>土壤和地下水风险管控目标</w:t>
      </w:r>
      <w:r>
        <w:t xml:space="preserve"> soil and groundwater risk control goal</w:t>
      </w:r>
    </w:p>
    <w:p w14:paraId="550FC76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通过工程控制或制度控制措施，有效阻断或减少目标污染物向人体和生态受体的暴露途径，阻止污染扩散，从而将污染物对人体健康和生态环境造成的长期风险，降低至可接受水平的管理终点。</w:t>
      </w:r>
    </w:p>
    <w:p w14:paraId="0C8C4FD4">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3.6　</w:t>
      </w:r>
    </w:p>
    <w:p w14:paraId="7DDF29C4">
      <w:pPr>
        <w:spacing w:line="480" w:lineRule="auto"/>
        <w:ind w:firstLine="420" w:firstLineChars="200"/>
      </w:pPr>
      <w:r>
        <w:rPr>
          <w:rFonts w:eastAsia="黑体"/>
          <w:color w:val="000000" w:themeColor="text1"/>
          <w:szCs w:val="21"/>
          <w14:textFill>
            <w14:solidFill>
              <w14:schemeClr w14:val="tx1"/>
            </w14:solidFill>
          </w14:textFill>
        </w:rPr>
        <w:t>土壤和地下水修复目标</w:t>
      </w:r>
      <w:r>
        <w:t xml:space="preserve"> soil and groundwater remediation goal</w:t>
      </w:r>
    </w:p>
    <w:p w14:paraId="7552356B">
      <w:pP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土壤和地下水修复的目标污染物对人体健康和生态受体不产生直接或潜在危害，或不具有环境风险的污染修复终点。</w:t>
      </w:r>
    </w:p>
    <w:p w14:paraId="3BC563D0">
      <w:pPr>
        <w:spacing w:line="360" w:lineRule="auto"/>
        <w:ind w:firstLine="420" w:firstLineChars="200"/>
        <w:rPr>
          <w:rFonts w:hint="eastAsia"/>
          <w:color w:val="000000" w:themeColor="text1"/>
          <w:szCs w:val="21"/>
          <w14:textFill>
            <w14:solidFill>
              <w14:schemeClr w14:val="tx1"/>
            </w14:solidFill>
          </w14:textFill>
        </w:rPr>
      </w:pPr>
    </w:p>
    <w:p w14:paraId="4BD98244">
      <w:pPr>
        <w:spacing w:line="360" w:lineRule="auto"/>
        <w:outlineLvl w:val="0"/>
        <w:rPr>
          <w:rFonts w:eastAsia="黑体"/>
          <w:color w:val="000000" w:themeColor="text1"/>
          <w14:textFill>
            <w14:solidFill>
              <w14:schemeClr w14:val="tx1"/>
            </w14:solidFill>
          </w14:textFill>
        </w:rPr>
      </w:pPr>
      <w:bookmarkStart w:id="32" w:name="_Toc26528"/>
      <w:bookmarkStart w:id="33" w:name="_Toc24348"/>
      <w:bookmarkStart w:id="34" w:name="_Toc14949"/>
      <w:bookmarkStart w:id="35" w:name="_Toc219788520"/>
      <w:r>
        <w:rPr>
          <w:rFonts w:eastAsia="黑体"/>
          <w:color w:val="000000" w:themeColor="text1"/>
          <w14:textFill>
            <w14:solidFill>
              <w14:schemeClr w14:val="tx1"/>
            </w14:solidFill>
          </w14:textFill>
        </w:rPr>
        <w:t>4</w:t>
      </w:r>
      <w:bookmarkEnd w:id="32"/>
      <w:bookmarkEnd w:id="33"/>
      <w:r>
        <w:rPr>
          <w:rFonts w:eastAsia="黑体"/>
          <w:color w:val="000000" w:themeColor="text1"/>
          <w14:textFill>
            <w14:solidFill>
              <w14:schemeClr w14:val="tx1"/>
            </w14:solidFill>
          </w14:textFill>
        </w:rPr>
        <w:t>总体</w:t>
      </w:r>
      <w:bookmarkEnd w:id="34"/>
      <w:r>
        <w:rPr>
          <w:rFonts w:eastAsia="黑体"/>
          <w:color w:val="000000" w:themeColor="text1"/>
          <w14:textFill>
            <w14:solidFill>
              <w14:schemeClr w14:val="tx1"/>
            </w14:solidFill>
          </w14:textFill>
        </w:rPr>
        <w:t>要求和原则</w:t>
      </w:r>
      <w:bookmarkEnd w:id="35"/>
    </w:p>
    <w:p w14:paraId="45AC9760">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4.1 一般规定</w:t>
      </w:r>
    </w:p>
    <w:p w14:paraId="1EA9868F">
      <w:pPr>
        <w:spacing w:line="36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 xml:space="preserve">4.1.1 </w:t>
      </w:r>
      <w:r>
        <w:rPr>
          <w:rFonts w:eastAsiaTheme="minorEastAsia"/>
          <w:color w:val="000000" w:themeColor="text1"/>
          <w:szCs w:val="21"/>
          <w14:textFill>
            <w14:solidFill>
              <w14:schemeClr w14:val="tx1"/>
            </w14:solidFill>
          </w14:textFill>
        </w:rPr>
        <w:t>开展工业集聚区土壤-地下水污染风险管控与修复技术评估前，应已完成以下工作：</w:t>
      </w:r>
    </w:p>
    <w:p w14:paraId="40680C9E">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a) 土壤污染状况调查，明确污染物种类、浓度、空间分布及介质；</w:t>
      </w:r>
    </w:p>
    <w:p w14:paraId="3A57084E">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b) 土壤与地下水环境风险评估，确定是否需要采取风险管控或修复措施；</w:t>
      </w:r>
    </w:p>
    <w:p w14:paraId="20FFD873">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 划定污染地块边界，并建立初步概念模型。</w:t>
      </w:r>
    </w:p>
    <w:p w14:paraId="40458BA0">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4.1.2 技术评估应符合国家及地方现行法律法规、标准规范的要求，包括但不限于：</w:t>
      </w:r>
    </w:p>
    <w:p w14:paraId="71CD2305">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a) 《土壤污染防治法》《地下水管理条例》等土壤和地下水污染防治相关的法律、行政法规和部门规章；</w:t>
      </w:r>
    </w:p>
    <w:p w14:paraId="636E0CD2">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b) GB 36600、GB/T 14848、HJ 25.4、HJ 25.6 等国家及行业生态环境标准；</w:t>
      </w:r>
    </w:p>
    <w:p w14:paraId="54D1402F">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 地方生态环境主管部门关于修复目标、时限、二次污染防控的具体规定。</w:t>
      </w:r>
    </w:p>
    <w:p w14:paraId="38CD2231">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4.1.3 开展工业集聚区土壤-地下水污染</w:t>
      </w:r>
      <w:bookmarkStart w:id="36" w:name="OLE_LINK11"/>
      <w:r>
        <w:rPr>
          <w:rFonts w:eastAsiaTheme="minorEastAsia"/>
          <w:color w:val="000000" w:themeColor="text1"/>
          <w:szCs w:val="21"/>
          <w14:textFill>
            <w14:solidFill>
              <w14:schemeClr w14:val="tx1"/>
            </w14:solidFill>
          </w14:textFill>
        </w:rPr>
        <w:t>风险管控与修复</w:t>
      </w:r>
      <w:bookmarkEnd w:id="36"/>
      <w:r>
        <w:rPr>
          <w:rFonts w:eastAsiaTheme="minorEastAsia"/>
          <w:color w:val="000000" w:themeColor="text1"/>
          <w:szCs w:val="21"/>
          <w14:textFill>
            <w14:solidFill>
              <w14:schemeClr w14:val="tx1"/>
            </w14:solidFill>
          </w14:textFill>
        </w:rPr>
        <w:t>技术评估时应满足以下要求：</w:t>
      </w:r>
    </w:p>
    <w:p w14:paraId="5755C1FE">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a) 技术评估应以保障人体健康和生态环境安全为根本目标；</w:t>
      </w:r>
    </w:p>
    <w:p w14:paraId="701D072A">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b) 应统筹考虑工业集聚区内多地块、多介质（土壤-地下水）的协同治理需求；</w:t>
      </w:r>
    </w:p>
    <w:p w14:paraId="7AC28F6C">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c) 鼓励采用低碳、低扰动、可资源化利用的技术路径；</w:t>
      </w:r>
    </w:p>
    <w:p w14:paraId="01CD4B71">
      <w:pPr>
        <w:spacing w:line="360" w:lineRule="auto"/>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d) 修复后土壤和地下水的最终去向或用途应明确，并符合相关管理要求。</w:t>
      </w:r>
    </w:p>
    <w:p w14:paraId="4B064BF0">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4.1.4技术评估应纳入“监测—评估—反馈—调整”闭环管理机制，支持在实施过程中根据中试结果、政策变化或效果偏差动态优化技术风险管控与修复方案。</w:t>
      </w:r>
    </w:p>
    <w:p w14:paraId="48339FFF">
      <w:pPr>
        <w:spacing w:line="480" w:lineRule="auto"/>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4.2评估原则</w:t>
      </w:r>
    </w:p>
    <w:p w14:paraId="163187D0">
      <w:pPr>
        <w:spacing w:line="360" w:lineRule="auto"/>
        <w:rPr>
          <w:color w:val="000000" w:themeColor="text1"/>
          <w14:textFill>
            <w14:solidFill>
              <w14:schemeClr w14:val="tx1"/>
            </w14:solidFill>
          </w14:textFill>
        </w:rPr>
      </w:pPr>
      <w:r>
        <w:rPr>
          <w:rFonts w:eastAsiaTheme="minorEastAsia"/>
          <w:color w:val="000000" w:themeColor="text1"/>
          <w:szCs w:val="21"/>
          <w14:textFill>
            <w14:solidFill>
              <w14:schemeClr w14:val="tx1"/>
            </w14:solidFill>
          </w14:textFill>
        </w:rPr>
        <w:t>4.2.1 技术适用性</w:t>
      </w:r>
      <w:r>
        <w:rPr>
          <w:color w:val="000000" w:themeColor="text1"/>
          <w14:textFill>
            <w14:solidFill>
              <w14:schemeClr w14:val="tx1"/>
            </w14:solidFill>
          </w14:textFill>
        </w:rPr>
        <w:t>：指风险管控与修复技术方案和特定地块的污染特征（如污染物种类、浓度、空间分布）、水文地质条件、未来土地利用规划及区域产业发展现状的匹配与适应程度。</w:t>
      </w:r>
    </w:p>
    <w:p w14:paraId="76F6EEEE">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4.2.2 生态优先：优先选用低碳、低扰动的风险管控与修复技术，坚持保护生态系统结构与功能完整性，防范二次污染和生态退化。</w:t>
      </w:r>
    </w:p>
    <w:p w14:paraId="33C73A5F">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4.2.3 科学合理：基于详实的场地调查数据与多介质污染特征，采用系统化、定量化方法开展风险管控与修复技术评估，确保方案达成目标。</w:t>
      </w:r>
    </w:p>
    <w:p w14:paraId="48566474">
      <w:pPr>
        <w:spacing w:line="360" w:lineRule="auto"/>
        <w:rPr>
          <w:color w:val="000000" w:themeColor="text1"/>
          <w14:textFill>
            <w14:solidFill>
              <w14:schemeClr w14:val="tx1"/>
            </w14:solidFill>
          </w14:textFill>
        </w:rPr>
      </w:pPr>
      <w:r>
        <w:rPr>
          <w:rFonts w:eastAsiaTheme="minorEastAsia"/>
          <w:color w:val="000000" w:themeColor="text1"/>
          <w:szCs w:val="21"/>
          <w14:textFill>
            <w14:solidFill>
              <w14:schemeClr w14:val="tx1"/>
            </w14:solidFill>
          </w14:textFill>
        </w:rPr>
        <w:t>4.2.4 因地制宜：</w:t>
      </w:r>
      <w:r>
        <w:rPr>
          <w:color w:val="000000" w:themeColor="text1"/>
          <w14:textFill>
            <w14:solidFill>
              <w14:schemeClr w14:val="tx1"/>
            </w14:solidFill>
          </w14:textFill>
        </w:rPr>
        <w:t>综合考虑区域水文地质条件、规划土地利用类型及社会经济实际，针对性选择相应的风险管控与修复技术。</w:t>
      </w:r>
    </w:p>
    <w:p w14:paraId="4086336D">
      <w:pPr>
        <w:spacing w:line="360" w:lineRule="auto"/>
        <w:outlineLvl w:val="0"/>
        <w:rPr>
          <w:rFonts w:eastAsia="黑体"/>
          <w:color w:val="000000" w:themeColor="text1"/>
          <w14:textFill>
            <w14:solidFill>
              <w14:schemeClr w14:val="tx1"/>
            </w14:solidFill>
          </w14:textFill>
        </w:rPr>
      </w:pPr>
      <w:bookmarkStart w:id="37" w:name="_Toc219788521"/>
      <w:r>
        <w:rPr>
          <w:rFonts w:eastAsia="黑体"/>
          <w:color w:val="000000" w:themeColor="text1"/>
          <w14:textFill>
            <w14:solidFill>
              <w14:schemeClr w14:val="tx1"/>
            </w14:solidFill>
          </w14:textFill>
        </w:rPr>
        <w:t>5 总体流程</w:t>
      </w:r>
      <w:bookmarkEnd w:id="37"/>
    </w:p>
    <w:p w14:paraId="776FB8FB">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工业集聚区土壤-地下水污染风险管控与修复技术评估的总体流程见图1。该流程包括信息收集、技术适用性评估、工业集聚区技术方案比选三个环节，最终形成适用于该工业集聚区的最优风险管控与修复技术方案。</w:t>
      </w:r>
    </w:p>
    <w:p w14:paraId="23E027BC">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信息收集是为了后续技术筛选提供完整、准确的基础输入，确保评估贴合实际场地条件与业主诉求。</w:t>
      </w:r>
    </w:p>
    <w:p w14:paraId="05192B7A">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污染地块的技术适用性评估是为了从技术库中筛选出可行、高效、绿色的备选技术，支撑技术方案构建。</w:t>
      </w:r>
    </w:p>
    <w:p w14:paraId="70846997">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工业集聚区技术方案比选是为了实现区域尺度统筹优化，通过技术组合与资源共享，达成降碳、降本、提效的整体最优，而非单地块简单叠加。</w:t>
      </w:r>
    </w:p>
    <w:p w14:paraId="141873F7">
      <w:pPr>
        <w:spacing w:line="360" w:lineRule="auto"/>
        <w:jc w:val="center"/>
      </w:pPr>
      <w:r>
        <w:drawing>
          <wp:inline distT="0" distB="0" distL="0" distR="0">
            <wp:extent cx="5940425" cy="1957070"/>
            <wp:effectExtent l="0" t="0" r="3175" b="5080"/>
            <wp:docPr id="1545171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1111" name="图片 1"/>
                    <pic:cNvPicPr>
                      <a:picLocks noChangeAspect="1"/>
                    </pic:cNvPicPr>
                  </pic:nvPicPr>
                  <pic:blipFill>
                    <a:blip r:embed="rId15"/>
                    <a:stretch>
                      <a:fillRect/>
                    </a:stretch>
                  </pic:blipFill>
                  <pic:spPr>
                    <a:xfrm>
                      <a:off x="0" y="0"/>
                      <a:ext cx="5940425" cy="1957070"/>
                    </a:xfrm>
                    <a:prstGeom prst="rect">
                      <a:avLst/>
                    </a:prstGeom>
                  </pic:spPr>
                </pic:pic>
              </a:graphicData>
            </a:graphic>
          </wp:inline>
        </w:drawing>
      </w:r>
    </w:p>
    <w:p w14:paraId="09258B19">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图1 工业集聚区土壤-地下水污染风险管控与修复技术评估总体流程</w:t>
      </w:r>
    </w:p>
    <w:p w14:paraId="0055F2B0">
      <w:pPr>
        <w:spacing w:line="360" w:lineRule="auto"/>
        <w:outlineLvl w:val="0"/>
        <w:rPr>
          <w:rFonts w:eastAsia="黑体"/>
          <w:color w:val="000000" w:themeColor="text1"/>
          <w14:textFill>
            <w14:solidFill>
              <w14:schemeClr w14:val="tx1"/>
            </w14:solidFill>
          </w14:textFill>
        </w:rPr>
      </w:pPr>
      <w:bookmarkStart w:id="38" w:name="_Toc15432"/>
      <w:bookmarkStart w:id="39" w:name="_Toc219788522"/>
      <w:r>
        <w:rPr>
          <w:rFonts w:eastAsia="黑体"/>
          <w:color w:val="000000" w:themeColor="text1"/>
          <w14:textFill>
            <w14:solidFill>
              <w14:schemeClr w14:val="tx1"/>
            </w14:solidFill>
          </w14:textFill>
        </w:rPr>
        <w:t>6 信息收集</w:t>
      </w:r>
      <w:bookmarkEnd w:id="38"/>
      <w:bookmarkEnd w:id="39"/>
    </w:p>
    <w:p w14:paraId="7C4BEAAE">
      <w:pPr>
        <w:pStyle w:val="47"/>
        <w:numPr>
          <w:ilvl w:val="1"/>
          <w:numId w:val="1"/>
        </w:numPr>
        <w:spacing w:line="360" w:lineRule="auto"/>
        <w:ind w:firstLineChars="0"/>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污染地块信息类型</w:t>
      </w:r>
    </w:p>
    <w:p w14:paraId="0776FD84">
      <w:pPr>
        <w:pStyle w:val="47"/>
        <w:spacing w:line="360"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技术评估所需的污染区块信息参考标准HJ 25.4和HJ 25.6确定。应收集的信息包括：</w:t>
      </w:r>
    </w:p>
    <w:p w14:paraId="3A9F56B9">
      <w:pPr>
        <w:spacing w:line="360" w:lineRule="auto"/>
      </w:pPr>
      <w:r>
        <w:t>6.1.1场地条件信息：包括土壤质地（如粘土、砂土）、水文地质参数（渗透系数、地下水流向等）、地形地貌、地上与地下障碍物（建筑、管线）及施工可及性。</w:t>
      </w:r>
    </w:p>
    <w:p w14:paraId="27E46043">
      <w:pPr>
        <w:pStyle w:val="47"/>
        <w:spacing w:line="360" w:lineRule="auto"/>
        <w:ind w:firstLine="0" w:firstLineChars="0"/>
        <w:rPr>
          <w:rFonts w:ascii="Times New Roman" w:hAnsi="Times New Roman"/>
        </w:rPr>
      </w:pPr>
      <w:r>
        <w:rPr>
          <w:rFonts w:ascii="Times New Roman" w:hAnsi="Times New Roman"/>
        </w:rPr>
        <w:t>6.1.1.1地块基本情况。包括：边界与面积；历史与现状（历次用地性质、企业生产活动、构筑物与设施布局、地下建筑与管线分布。</w:t>
      </w:r>
    </w:p>
    <w:p w14:paraId="37003427">
      <w:pPr>
        <w:pStyle w:val="47"/>
        <w:spacing w:line="360" w:lineRule="auto"/>
        <w:ind w:firstLine="0" w:firstLineChars="0"/>
        <w:rPr>
          <w:rFonts w:ascii="Times New Roman" w:hAnsi="Times New Roman"/>
        </w:rPr>
      </w:pPr>
      <w:r>
        <w:rPr>
          <w:rFonts w:ascii="Times New Roman" w:hAnsi="Times New Roman"/>
        </w:rPr>
        <w:t>6.1.1.2水文地质特征：地层结构（土层类型、分布、渗透性等）、水文地质特征（地下水埋深、流向、流速、含水层厚度等）。</w:t>
      </w:r>
    </w:p>
    <w:p w14:paraId="1DDD91BD">
      <w:pPr>
        <w:spacing w:line="360" w:lineRule="auto"/>
      </w:pPr>
      <w:r>
        <w:t>6.1.1.3 土壤特征：含水率、渗透系数、有机质含量、pH和地质活动。</w:t>
      </w:r>
    </w:p>
    <w:p w14:paraId="582CC3C5">
      <w:pPr>
        <w:pStyle w:val="47"/>
        <w:spacing w:line="360" w:lineRule="auto"/>
        <w:ind w:firstLine="0" w:firstLineChars="0"/>
        <w:rPr>
          <w:rFonts w:ascii="Times New Roman" w:hAnsi="Times New Roman"/>
        </w:rPr>
      </w:pPr>
      <w:r>
        <w:rPr>
          <w:rFonts w:ascii="Times New Roman" w:hAnsi="Times New Roman"/>
        </w:rPr>
        <w:t>6.1.1.4地下水特征：含水层埋藏条件、含水层介质、地下水类型、含水层性质、含水层厚度和地下水埋深。</w:t>
      </w:r>
    </w:p>
    <w:p w14:paraId="1555A957">
      <w:pPr>
        <w:spacing w:line="360" w:lineRule="auto"/>
      </w:pPr>
      <w:r>
        <w:t>6.1.2污染特征信息：包括经详细调查确定的污染物种类（如重金属、挥发性有机物等）、污染空间分布（水平与垂直范围）、污染浓度、污染介质（土壤/地下水）</w:t>
      </w:r>
      <w:r>
        <w:rPr>
          <w:rFonts w:hint="eastAsia"/>
        </w:rPr>
        <w:t>、管控或</w:t>
      </w:r>
      <w:r>
        <w:t>修复目标浓度值（通常参考GB/T 14848</w:t>
      </w:r>
      <w:r>
        <w:rPr>
          <w:rFonts w:hint="eastAsia"/>
        </w:rPr>
        <w:t>，</w:t>
      </w:r>
      <w:r>
        <w:t>GB 36600</w:t>
      </w:r>
      <w:r>
        <w:rPr>
          <w:rFonts w:hint="eastAsia"/>
        </w:rPr>
        <w:t>，HJ 25.3和HJ 25.4</w:t>
      </w:r>
      <w:r>
        <w:t>确定）。</w:t>
      </w:r>
    </w:p>
    <w:p w14:paraId="79D113B3">
      <w:pPr>
        <w:pStyle w:val="47"/>
        <w:spacing w:line="360" w:lineRule="auto"/>
        <w:ind w:firstLine="0" w:firstLineChars="0"/>
        <w:rPr>
          <w:rFonts w:ascii="Times New Roman" w:hAnsi="Times New Roman"/>
        </w:rPr>
      </w:pPr>
      <w:r>
        <w:rPr>
          <w:rFonts w:ascii="Times New Roman" w:hAnsi="Times New Roman"/>
        </w:rPr>
        <w:t>6.1.3约束条件信息：包括项目预算上限、允许的总工期、未来土地利用规划、土壤开挖条件、抽提井安装可行性、周边敏感目标分布以及地方生态环境管理部门的特殊要求。</w:t>
      </w:r>
    </w:p>
    <w:p w14:paraId="1665FAA4">
      <w:pPr>
        <w:spacing w:line="360" w:lineRule="auto"/>
      </w:pPr>
      <w:r>
        <w:t>6.1.4技术属性信息：参考</w:t>
      </w:r>
      <w:bookmarkStart w:id="40" w:name="OLE_LINK10"/>
      <w:r>
        <w:t>GB/T 39792</w:t>
      </w:r>
      <w:bookmarkEnd w:id="40"/>
      <w:r>
        <w:t>.1和HJ 25.6的技术附录、技术应用案例、实验室小试和现场中试结果，明确各候选技术的核心属性，如技术原理、实施位置、适用污染物与介质、典型处理成本、周期、碳排</w:t>
      </w:r>
      <w:r>
        <w:rPr>
          <w:rFonts w:hint="eastAsia"/>
        </w:rPr>
        <w:t>放</w:t>
      </w:r>
      <w:r>
        <w:t>以及去除效率范围。</w:t>
      </w:r>
    </w:p>
    <w:p w14:paraId="737CDD43">
      <w:pPr>
        <w:pStyle w:val="47"/>
        <w:numPr>
          <w:ilvl w:val="1"/>
          <w:numId w:val="1"/>
        </w:numPr>
        <w:spacing w:line="360" w:lineRule="auto"/>
        <w:ind w:firstLineChars="0"/>
        <w:rPr>
          <w:rFonts w:ascii="Times New Roman" w:hAnsi="Times New Roman" w:eastAsia="黑体"/>
          <w:color w:val="000000" w:themeColor="text1"/>
          <w:szCs w:val="21"/>
          <w14:textFill>
            <w14:solidFill>
              <w14:schemeClr w14:val="tx1"/>
            </w14:solidFill>
          </w14:textFill>
        </w:rPr>
      </w:pPr>
      <w:r>
        <w:rPr>
          <w:rFonts w:ascii="Times New Roman" w:hAnsi="Times New Roman" w:eastAsia="黑体"/>
          <w:color w:val="000000" w:themeColor="text1"/>
          <w:szCs w:val="21"/>
          <w14:textFill>
            <w14:solidFill>
              <w14:schemeClr w14:val="tx1"/>
            </w14:solidFill>
          </w14:textFill>
        </w:rPr>
        <w:t>污染地块信息收集途径</w:t>
      </w:r>
    </w:p>
    <w:p w14:paraId="4C549EC7">
      <w:pPr>
        <w:pStyle w:val="47"/>
        <w:spacing w:line="360" w:lineRule="auto"/>
        <w:ind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6.2.1调阅已有技术报告。从生态环境部门、土地使用权人或前期调查单位获取土壤污染状况调查报告（包含详细采样数据）；土壤污染风险评估报告（明确风险水平、风险控制值及初步修复范围）；污染场地概念模型；地勘报告、历史监测数据等：任何已有的场地环境与地质资料。</w:t>
      </w:r>
    </w:p>
    <w:p w14:paraId="5A5E7933">
      <w:pPr>
        <w:pStyle w:val="47"/>
        <w:spacing w:line="360" w:lineRule="auto"/>
        <w:ind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6.2.2进行补充性工程勘察。委托专业单位开展水文地质详细勘察、工程地质勘探，获得精确的地质与水文地质参数、地下障碍物分布。</w:t>
      </w:r>
    </w:p>
    <w:p w14:paraId="755C9070">
      <w:pPr>
        <w:pStyle w:val="47"/>
        <w:spacing w:line="360" w:lineRule="auto"/>
        <w:ind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6.2.3开展专项调研与访谈。访谈规划与自然资源局官员、未来项目建设方、周边社区代表，了从而了解未来土地规划与开发计划、周边敏感目标详情、社会关注点。</w:t>
      </w:r>
    </w:p>
    <w:p w14:paraId="592BB378">
      <w:pPr>
        <w:pStyle w:val="47"/>
        <w:spacing w:line="360" w:lineRule="auto"/>
        <w:ind w:firstLine="0" w:firstLineChars="0"/>
        <w:rPr>
          <w:rFonts w:ascii="Times New Roman" w:hAnsi="Times New Roman"/>
        </w:rPr>
      </w:pPr>
      <w:r>
        <w:rPr>
          <w:rFonts w:ascii="Times New Roman" w:hAnsi="Times New Roman"/>
          <w:color w:val="000000" w:themeColor="text1"/>
          <w14:textFill>
            <w14:solidFill>
              <w14:schemeClr w14:val="tx1"/>
            </w14:solidFill>
          </w14:textFill>
        </w:rPr>
        <w:t>6.2.4现场详细勘查与测试。对地块进行工程可行性勘查，了解地块基础设施条件、施工可行性的一手资料。</w:t>
      </w:r>
    </w:p>
    <w:p w14:paraId="1C0881DC">
      <w:pPr>
        <w:spacing w:line="360" w:lineRule="auto"/>
        <w:outlineLvl w:val="0"/>
        <w:rPr>
          <w:rFonts w:eastAsia="黑体"/>
          <w:color w:val="000000" w:themeColor="text1"/>
          <w14:textFill>
            <w14:solidFill>
              <w14:schemeClr w14:val="tx1"/>
            </w14:solidFill>
          </w14:textFill>
        </w:rPr>
      </w:pPr>
      <w:bookmarkStart w:id="41" w:name="_Toc16614"/>
      <w:bookmarkStart w:id="42" w:name="_Toc219788523"/>
      <w:r>
        <w:rPr>
          <w:rFonts w:eastAsia="黑体"/>
          <w:color w:val="000000" w:themeColor="text1"/>
          <w14:textFill>
            <w14:solidFill>
              <w14:schemeClr w14:val="tx1"/>
            </w14:solidFill>
          </w14:textFill>
        </w:rPr>
        <w:t>7</w:t>
      </w:r>
      <w:bookmarkStart w:id="43" w:name="OLE_LINK7"/>
      <w:r>
        <w:rPr>
          <w:rFonts w:eastAsia="黑体"/>
          <w:color w:val="000000" w:themeColor="text1"/>
          <w14:textFill>
            <w14:solidFill>
              <w14:schemeClr w14:val="tx1"/>
            </w14:solidFill>
          </w14:textFill>
        </w:rPr>
        <w:t xml:space="preserve"> 污染地块的技术</w:t>
      </w:r>
      <w:bookmarkEnd w:id="41"/>
      <w:bookmarkEnd w:id="43"/>
      <w:r>
        <w:rPr>
          <w:rFonts w:eastAsia="黑体"/>
          <w:color w:val="000000" w:themeColor="text1"/>
          <w14:textFill>
            <w14:solidFill>
              <w14:schemeClr w14:val="tx1"/>
            </w14:solidFill>
          </w14:textFill>
        </w:rPr>
        <w:t>适用性评估</w:t>
      </w:r>
      <w:bookmarkEnd w:id="42"/>
    </w:p>
    <w:p w14:paraId="6B17B740">
      <w:pPr>
        <w:spacing w:line="360" w:lineRule="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7.1 一般规定</w:t>
      </w:r>
    </w:p>
    <w:p w14:paraId="68109D03">
      <w:pPr>
        <w:pStyle w:val="47"/>
        <w:spacing w:line="360" w:lineRule="auto"/>
        <w:ind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7.1.1 技术适用性评估应基于第6节收集的地块信息，应严格遵循“技术适配性优先，兼顾经济与时效”的原则。</w:t>
      </w:r>
    </w:p>
    <w:p w14:paraId="0641061E">
      <w:pPr>
        <w:pStyle w:val="47"/>
        <w:spacing w:line="360" w:lineRule="auto"/>
        <w:ind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7.1.2 技术适用性评估应分别针对土壤和地下水介质开展，确保技术与污染物类型、介质性质及实施条件相匹配。</w:t>
      </w:r>
    </w:p>
    <w:p w14:paraId="0D6A8B66">
      <w:pPr>
        <w:spacing w:line="360" w:lineRule="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7.2技术初筛</w:t>
      </w:r>
    </w:p>
    <w:p w14:paraId="4B727D8E">
      <w:pPr>
        <w:spacing w:line="360" w:lineRule="auto"/>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7.2.1土壤或地下水技术初筛旨在排除明显不适用的技术，形成备选技术。</w:t>
      </w:r>
    </w:p>
    <w:p w14:paraId="02477E97">
      <w:pPr>
        <w:pStyle w:val="47"/>
        <w:spacing w:line="360" w:lineRule="auto"/>
        <w:ind w:firstLine="0" w:firstLineChars="0"/>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7.2.2基于已确定的风险管控与修复模式筛选对应类别的技术：风险管控与修复模式（修复/管控）与技术属性一致，技术实施位置（原位/异位）与现场工程条件适配。</w:t>
      </w:r>
    </w:p>
    <w:p w14:paraId="006703B8">
      <w:pPr>
        <w:pStyle w:val="47"/>
        <w:spacing w:line="360" w:lineRule="auto"/>
        <w:ind w:firstLine="0" w:firstLineChars="0"/>
        <w:rPr>
          <w:rFonts w:ascii="Times New Roman" w:hAnsi="Times New Roman" w:eastAsiaTheme="majorEastAsia"/>
          <w:color w:val="EE0000"/>
          <w:szCs w:val="21"/>
        </w:rPr>
      </w:pPr>
      <w:r>
        <w:rPr>
          <w:rFonts w:ascii="Times New Roman" w:hAnsi="Times New Roman" w:eastAsiaTheme="majorEastAsia"/>
          <w:color w:val="000000" w:themeColor="text1"/>
          <w:szCs w:val="21"/>
          <w14:textFill>
            <w14:solidFill>
              <w14:schemeClr w14:val="tx1"/>
            </w14:solidFill>
          </w14:textFill>
        </w:rPr>
        <w:t>7.2.3</w:t>
      </w:r>
      <w:r>
        <w:rPr>
          <w:rFonts w:ascii="Times New Roman" w:hAnsi="Times New Roman" w:eastAsiaTheme="minorEastAsia"/>
          <w:color w:val="000000" w:themeColor="text1"/>
          <w:szCs w:val="21"/>
          <w14:textFill>
            <w14:solidFill>
              <w14:schemeClr w14:val="tx1"/>
            </w14:solidFill>
          </w14:textFill>
        </w:rPr>
        <w:t>结合污染地块信息对照附录A的风险管控与修复技术初筛表，并根据地块信息预估各技术实施时所需成本、工期及污染物去除率等信息，从以下几个角度去除不适用的技术：</w:t>
      </w:r>
    </w:p>
    <w:p w14:paraId="5EBC5856">
      <w:pPr>
        <w:pStyle w:val="47"/>
        <w:spacing w:line="360" w:lineRule="auto"/>
        <w:rPr>
          <w:rFonts w:ascii="Times New Roman" w:hAnsi="Times New Roman" w:eastAsiaTheme="minorEastAsia"/>
          <w:color w:val="000000" w:themeColor="text1"/>
          <w:szCs w:val="21"/>
          <w14:textFill>
            <w14:solidFill>
              <w14:schemeClr w14:val="tx1"/>
            </w14:solidFill>
          </w14:textFill>
        </w:rPr>
      </w:pPr>
      <w:bookmarkStart w:id="44" w:name="OLE_LINK12"/>
      <w:r>
        <w:rPr>
          <w:rFonts w:ascii="Times New Roman" w:hAnsi="Times New Roman" w:eastAsiaTheme="minorEastAsia"/>
          <w:color w:val="000000" w:themeColor="text1"/>
          <w:szCs w:val="21"/>
          <w14:textFill>
            <w14:solidFill>
              <w14:schemeClr w14:val="tx1"/>
            </w14:solidFill>
          </w14:textFill>
        </w:rPr>
        <w:t>a)</w:t>
      </w:r>
      <w:bookmarkEnd w:id="44"/>
      <w:r>
        <w:rPr>
          <w:rFonts w:ascii="Times New Roman" w:hAnsi="Times New Roman" w:eastAsiaTheme="minorEastAsia"/>
          <w:color w:val="000000" w:themeColor="text1"/>
          <w:szCs w:val="21"/>
          <w14:textFill>
            <w14:solidFill>
              <w14:schemeClr w14:val="tx1"/>
            </w14:solidFill>
          </w14:textFill>
        </w:rPr>
        <w:t>不适用于地块目标污染物种类、不适用于当地土壤质地；</w:t>
      </w:r>
    </w:p>
    <w:p w14:paraId="38205944">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b)预估最低处理成本高于预算上限、最短实施周期超过允许工期；</w:t>
      </w:r>
    </w:p>
    <w:p w14:paraId="0BD01DB5">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c)最高污染物去除率不足以将污染物浓度降至风险管控或修复目标值所要求的水平。</w:t>
      </w:r>
    </w:p>
    <w:p w14:paraId="619CAB33">
      <w:pPr>
        <w:pStyle w:val="47"/>
        <w:spacing w:line="360" w:lineRule="auto"/>
        <w:ind w:firstLine="0" w:firstLineChars="0"/>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7.2.4经上述筛选后保留的技术，应同时满足以下条件：适用于目标污染物与介质、适配本地水文地质条件、经济成本与实施周期在可接受范围内，且污染物去除能力满足风险管控或修复目标要求，作为后续评估的备选技术</w:t>
      </w:r>
      <w:r>
        <w:rPr>
          <w:rFonts w:hint="eastAsia" w:ascii="Times New Roman" w:hAnsi="Times New Roman" w:eastAsiaTheme="minorEastAsia"/>
          <w:color w:val="000000" w:themeColor="text1"/>
          <w:szCs w:val="21"/>
          <w14:textFill>
            <w14:solidFill>
              <w14:schemeClr w14:val="tx1"/>
            </w14:solidFill>
          </w14:textFill>
        </w:rPr>
        <w:t>，形成</w:t>
      </w:r>
      <w:r>
        <w:rPr>
          <w:rFonts w:ascii="Times New Roman" w:hAnsi="Times New Roman" w:eastAsiaTheme="minorEastAsia"/>
          <w:color w:val="000000" w:themeColor="text1"/>
          <w:szCs w:val="21"/>
          <w14:textFill>
            <w14:solidFill>
              <w14:schemeClr w14:val="tx1"/>
            </w14:solidFill>
          </w14:textFill>
        </w:rPr>
        <w:t>备选技术清单</w:t>
      </w:r>
      <w:r>
        <w:rPr>
          <w:rFonts w:hint="eastAsia" w:ascii="Times New Roman" w:hAnsi="Times New Roman" w:eastAsiaTheme="minorEastAsia"/>
          <w:color w:val="000000" w:themeColor="text1"/>
          <w:szCs w:val="21"/>
          <w14:textFill>
            <w14:solidFill>
              <w14:schemeClr w14:val="tx1"/>
            </w14:solidFill>
          </w14:textFill>
        </w:rPr>
        <w:t>。</w:t>
      </w:r>
    </w:p>
    <w:p w14:paraId="7075AEAF">
      <w:pPr>
        <w:spacing w:line="360" w:lineRule="auto"/>
        <w:rPr>
          <w:rFonts w:eastAsia="黑体"/>
          <w:color w:val="000000" w:themeColor="text1"/>
          <w14:textFill>
            <w14:solidFill>
              <w14:schemeClr w14:val="tx1"/>
            </w14:solidFill>
          </w14:textFill>
        </w:rPr>
      </w:pPr>
      <w:bookmarkStart w:id="45" w:name="OLE_LINK13"/>
      <w:r>
        <w:rPr>
          <w:rFonts w:eastAsia="黑体"/>
          <w:color w:val="000000" w:themeColor="text1"/>
          <w14:textFill>
            <w14:solidFill>
              <w14:schemeClr w14:val="tx1"/>
            </w14:solidFill>
          </w14:textFill>
        </w:rPr>
        <w:t>7.3适用性评估</w:t>
      </w:r>
    </w:p>
    <w:bookmarkEnd w:id="45"/>
    <w:p w14:paraId="6DBB5CAB">
      <w:pPr>
        <w:spacing w:line="360" w:lineRule="auto"/>
        <w:rPr>
          <w:rFonts w:eastAsiaTheme="majorEastAsia"/>
          <w:color w:val="000000" w:themeColor="text1"/>
          <w:szCs w:val="21"/>
          <w14:textFill>
            <w14:solidFill>
              <w14:schemeClr w14:val="tx1"/>
            </w14:solidFill>
          </w14:textFill>
        </w:rPr>
      </w:pPr>
      <w:r>
        <w:rPr>
          <w:rFonts w:eastAsiaTheme="majorEastAsia"/>
          <w:color w:val="000000" w:themeColor="text1"/>
          <w:szCs w:val="21"/>
          <w14:textFill>
            <w14:solidFill>
              <w14:schemeClr w14:val="tx1"/>
            </w14:solidFill>
          </w14:textFill>
        </w:rPr>
        <w:t xml:space="preserve">7.3.1技术适用性评估纳入以下指标： </w:t>
      </w:r>
    </w:p>
    <w:p w14:paraId="61B63237">
      <w:pPr>
        <w:spacing w:line="360" w:lineRule="auto"/>
        <w:ind w:firstLine="420" w:firstLineChars="200"/>
        <w:rPr>
          <w:rFonts w:eastAsiaTheme="minorEastAsia"/>
          <w:color w:val="000000" w:themeColor="text1"/>
          <w:kern w:val="2"/>
          <w:szCs w:val="21"/>
          <w14:textFill>
            <w14:solidFill>
              <w14:schemeClr w14:val="tx1"/>
            </w14:solidFill>
          </w14:textFill>
        </w:rPr>
      </w:pPr>
      <w:r>
        <w:rPr>
          <w:rFonts w:eastAsiaTheme="minorEastAsia"/>
          <w:color w:val="000000" w:themeColor="text1"/>
          <w:kern w:val="2"/>
          <w:szCs w:val="21"/>
          <w14:textFill>
            <w14:solidFill>
              <w14:schemeClr w14:val="tx1"/>
            </w14:solidFill>
          </w14:textFill>
        </w:rPr>
        <w:t>a)场地条件适配性：地块适用性、规划土地利用类型、应对极端气候能力</w:t>
      </w:r>
    </w:p>
    <w:p w14:paraId="25B15574">
      <w:pPr>
        <w:spacing w:line="360" w:lineRule="auto"/>
        <w:ind w:firstLine="420" w:firstLineChars="200"/>
        <w:rPr>
          <w:rFonts w:eastAsiaTheme="minorEastAsia"/>
          <w:color w:val="000000" w:themeColor="text1"/>
          <w:kern w:val="2"/>
          <w:szCs w:val="21"/>
          <w14:textFill>
            <w14:solidFill>
              <w14:schemeClr w14:val="tx1"/>
            </w14:solidFill>
          </w14:textFill>
        </w:rPr>
      </w:pPr>
      <w:r>
        <w:rPr>
          <w:rFonts w:eastAsiaTheme="minorEastAsia"/>
          <w:color w:val="000000" w:themeColor="text1"/>
          <w:kern w:val="2"/>
          <w:szCs w:val="21"/>
          <w14:textFill>
            <w14:solidFill>
              <w14:schemeClr w14:val="tx1"/>
            </w14:solidFill>
          </w14:textFill>
        </w:rPr>
        <w:t>b)污染治理能力：可处理污染程度、污染物去除率</w:t>
      </w:r>
    </w:p>
    <w:p w14:paraId="1F280514">
      <w:pPr>
        <w:spacing w:line="360" w:lineRule="auto"/>
        <w:ind w:firstLine="420" w:firstLineChars="200"/>
        <w:rPr>
          <w:rFonts w:eastAsiaTheme="minorEastAsia"/>
          <w:color w:val="000000" w:themeColor="text1"/>
          <w:kern w:val="2"/>
          <w:szCs w:val="21"/>
          <w14:textFill>
            <w14:solidFill>
              <w14:schemeClr w14:val="tx1"/>
            </w14:solidFill>
          </w14:textFill>
        </w:rPr>
      </w:pPr>
      <w:r>
        <w:rPr>
          <w:rFonts w:eastAsiaTheme="minorEastAsia"/>
          <w:color w:val="000000" w:themeColor="text1"/>
          <w:kern w:val="2"/>
          <w:szCs w:val="21"/>
          <w14:textFill>
            <w14:solidFill>
              <w14:schemeClr w14:val="tx1"/>
            </w14:solidFill>
          </w14:textFill>
        </w:rPr>
        <w:t>c)技术成熟度：技术就绪度</w:t>
      </w:r>
    </w:p>
    <w:p w14:paraId="39689C3A">
      <w:pPr>
        <w:spacing w:line="360" w:lineRule="auto"/>
        <w:ind w:firstLine="420" w:firstLineChars="200"/>
        <w:rPr>
          <w:rFonts w:eastAsiaTheme="majorEastAsia"/>
          <w:color w:val="000000" w:themeColor="text1"/>
          <w:szCs w:val="21"/>
          <w14:textFill>
            <w14:solidFill>
              <w14:schemeClr w14:val="tx1"/>
            </w14:solidFill>
          </w14:textFill>
        </w:rPr>
      </w:pPr>
      <w:r>
        <w:rPr>
          <w:rFonts w:eastAsiaTheme="minorEastAsia"/>
          <w:color w:val="000000" w:themeColor="text1"/>
          <w:kern w:val="2"/>
          <w:szCs w:val="21"/>
          <w14:textFill>
            <w14:solidFill>
              <w14:schemeClr w14:val="tx1"/>
            </w14:solidFill>
          </w14:textFill>
        </w:rPr>
        <w:t>d)环境</w:t>
      </w:r>
      <w:r>
        <w:rPr>
          <w:rFonts w:eastAsiaTheme="majorEastAsia"/>
          <w:color w:val="000000" w:themeColor="text1"/>
          <w:szCs w:val="21"/>
          <w14:textFill>
            <w14:solidFill>
              <w14:schemeClr w14:val="tx1"/>
            </w14:solidFill>
          </w14:textFill>
        </w:rPr>
        <w:t>安全性：生态友好性、二次污染风险</w:t>
      </w:r>
    </w:p>
    <w:p w14:paraId="4FDAC113">
      <w:pPr>
        <w:pStyle w:val="47"/>
        <w:spacing w:line="360" w:lineRule="auto"/>
        <w:ind w:firstLine="0" w:firstLineChars="0"/>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7.3.2各项指标的赋分应依据附录B所列的技术适用性赋分原则，结合该技术在目标地块的实际表现进行判定。相关表现数据应基于</w:t>
      </w:r>
      <w:r>
        <w:rPr>
          <w:rFonts w:ascii="Times New Roman" w:hAnsi="Times New Roman" w:eastAsiaTheme="minorEastAsia"/>
          <w:color w:val="000000" w:themeColor="text1"/>
          <w:szCs w:val="21"/>
          <w14:textFill>
            <w14:solidFill>
              <w14:schemeClr w14:val="tx1"/>
            </w14:solidFill>
          </w14:textFill>
        </w:rPr>
        <w:t>6.1.4节方法确定</w:t>
      </w:r>
      <w:r>
        <w:rPr>
          <w:rFonts w:ascii="Times New Roman" w:hAnsi="Times New Roman" w:eastAsiaTheme="majorEastAsia"/>
          <w:color w:val="000000" w:themeColor="text1"/>
          <w:szCs w:val="21"/>
          <w14:textFill>
            <w14:solidFill>
              <w14:schemeClr w14:val="tx1"/>
            </w14:solidFill>
          </w14:textFill>
        </w:rPr>
        <w:t>。</w:t>
      </w:r>
    </w:p>
    <w:p w14:paraId="162DDEA8">
      <w:pPr>
        <w:pStyle w:val="47"/>
        <w:spacing w:line="360" w:lineRule="auto"/>
        <w:ind w:firstLine="0" w:firstLineChars="0"/>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7.3.3按使用者根据实际需求设定的权重（可通过层次分析法、德尔菲法、平均分配等方式确定）进行加权求和，形成技术适用性得分，并据此对备选技术进行排序，选取适用性得分较高、具备工程可行性的若干技术（一般不超过5种）作为后续技术方案评估的备选技术。</w:t>
      </w:r>
    </w:p>
    <w:p w14:paraId="01C9CB23">
      <w:pPr>
        <w:spacing w:line="360" w:lineRule="auto"/>
        <w:outlineLvl w:val="0"/>
        <w:rPr>
          <w:rFonts w:eastAsia="黑体"/>
          <w:color w:val="000000" w:themeColor="text1"/>
          <w14:textFill>
            <w14:solidFill>
              <w14:schemeClr w14:val="tx1"/>
            </w14:solidFill>
          </w14:textFill>
        </w:rPr>
      </w:pPr>
      <w:bookmarkStart w:id="46" w:name="_Toc6635"/>
      <w:bookmarkStart w:id="47" w:name="_Toc219788524"/>
      <w:bookmarkStart w:id="48" w:name="OLE_LINK20"/>
      <w:r>
        <w:rPr>
          <w:rFonts w:eastAsia="黑体"/>
          <w:color w:val="000000" w:themeColor="text1"/>
          <w14:textFill>
            <w14:solidFill>
              <w14:schemeClr w14:val="tx1"/>
            </w14:solidFill>
          </w14:textFill>
        </w:rPr>
        <w:t>8 工业集聚区技术</w:t>
      </w:r>
      <w:bookmarkEnd w:id="46"/>
      <w:r>
        <w:rPr>
          <w:rFonts w:eastAsia="黑体"/>
          <w:color w:val="000000" w:themeColor="text1"/>
          <w14:textFill>
            <w14:solidFill>
              <w14:schemeClr w14:val="tx1"/>
            </w14:solidFill>
          </w14:textFill>
        </w:rPr>
        <w:t>方案比选</w:t>
      </w:r>
      <w:bookmarkEnd w:id="47"/>
    </w:p>
    <w:bookmarkEnd w:id="48"/>
    <w:p w14:paraId="41E354E7">
      <w:pPr>
        <w:spacing w:line="360" w:lineRule="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8.1 一般规定</w:t>
      </w:r>
    </w:p>
    <w:p w14:paraId="12496A1C">
      <w:pPr>
        <w:spacing w:line="360" w:lineRule="auto"/>
        <w:ind w:firstLine="420" w:firstLineChars="200"/>
      </w:pPr>
      <w:r>
        <w:t>工业集聚区技术方案比选应遵循区域统筹、多介质协同、绿色低碳原则，以</w:t>
      </w:r>
      <w:r>
        <w:rPr>
          <w:rFonts w:hint="eastAsia"/>
        </w:rPr>
        <w:t>减</w:t>
      </w:r>
      <w:r>
        <w:t>碳、降本、提效为目标，开展多目标综合比选。</w:t>
      </w:r>
    </w:p>
    <w:p w14:paraId="6E2D55D7">
      <w:pPr>
        <w:spacing w:line="360" w:lineRule="auto"/>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8.2 参数确定</w:t>
      </w:r>
    </w:p>
    <w:p w14:paraId="1556FBA3">
      <w:pPr>
        <w:spacing w:line="360" w:lineRule="auto"/>
        <w:rPr>
          <w:rFonts w:eastAsiaTheme="minorEastAsia"/>
          <w:color w:val="000000" w:themeColor="text1"/>
          <w:szCs w:val="21"/>
          <w14:textFill>
            <w14:solidFill>
              <w14:schemeClr w14:val="tx1"/>
            </w14:solidFill>
          </w14:textFill>
        </w:rPr>
      </w:pPr>
      <w:r>
        <w:rPr>
          <w:rFonts w:eastAsiaTheme="minorEastAsia"/>
          <w:color w:val="000000" w:themeColor="text1"/>
          <w14:textFill>
            <w14:solidFill>
              <w14:schemeClr w14:val="tx1"/>
            </w14:solidFill>
          </w14:textFill>
        </w:rPr>
        <w:t>8.2.1</w:t>
      </w:r>
      <w:r>
        <w:rPr>
          <w:rFonts w:eastAsiaTheme="minorEastAsia"/>
          <w:color w:val="000000" w:themeColor="text1"/>
          <w:szCs w:val="21"/>
          <w14:textFill>
            <w14:solidFill>
              <w14:schemeClr w14:val="tx1"/>
            </w14:solidFill>
          </w14:textFill>
        </w:rPr>
        <w:t>碳排放</w:t>
      </w:r>
    </w:p>
    <w:p w14:paraId="4500693E">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（1）碳排放指技术全生命周期内完成该地块风险管控或修复任务所产生的温室气体排放总量，以二氧化碳当量计，单位：t CO</w:t>
      </w:r>
      <w:r>
        <w:rPr>
          <w:rFonts w:ascii="Times New Roman" w:hAnsi="Times New Roman" w:eastAsiaTheme="majorEastAsia"/>
          <w:color w:val="000000" w:themeColor="text1"/>
          <w:szCs w:val="21"/>
          <w:vertAlign w:val="subscript"/>
          <w14:textFill>
            <w14:solidFill>
              <w14:schemeClr w14:val="tx1"/>
            </w14:solidFill>
          </w14:textFill>
        </w:rPr>
        <w:t>2</w:t>
      </w:r>
      <w:r>
        <w:rPr>
          <w:rFonts w:ascii="Times New Roman" w:hAnsi="Times New Roman" w:eastAsiaTheme="majorEastAsia"/>
          <w:color w:val="000000" w:themeColor="text1"/>
          <w:szCs w:val="21"/>
          <w14:textFill>
            <w14:solidFill>
              <w14:schemeClr w14:val="tx1"/>
            </w14:solidFill>
          </w14:textFill>
        </w:rPr>
        <w:t xml:space="preserve"> eq。</w:t>
      </w:r>
    </w:p>
    <w:p w14:paraId="3BD23EE0">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（2）数据来源应优先采用已发表的生命周期评价研究文献、典型工程案例的实测碳排放数据。</w:t>
      </w:r>
    </w:p>
    <w:p w14:paraId="0BC2D891">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（3）若采用电力驱动设备，应使用项目所在地最新电网排放因子进行核算；</w:t>
      </w:r>
    </w:p>
    <w:p w14:paraId="4CFAE733">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（4）对于存在土水协同效应的技术组合（如土壤与地下水共用氧化药剂系统），应</w:t>
      </w:r>
      <w:r>
        <w:rPr>
          <w:rFonts w:hint="eastAsia" w:ascii="Times New Roman" w:hAnsi="Times New Roman" w:eastAsiaTheme="majorEastAsia"/>
          <w:color w:val="000000" w:themeColor="text1"/>
          <w:szCs w:val="21"/>
          <w14:textFill>
            <w14:solidFill>
              <w14:schemeClr w14:val="tx1"/>
            </w14:solidFill>
          </w14:textFill>
        </w:rPr>
        <w:t>按附录C提供的方法</w:t>
      </w:r>
      <w:r>
        <w:rPr>
          <w:rFonts w:ascii="Times New Roman" w:hAnsi="Times New Roman" w:eastAsiaTheme="majorEastAsia"/>
          <w:color w:val="000000" w:themeColor="text1"/>
          <w:szCs w:val="21"/>
          <w14:textFill>
            <w14:solidFill>
              <w14:schemeClr w14:val="tx1"/>
            </w14:solidFill>
          </w14:textFill>
        </w:rPr>
        <w:t>另行计算协同降低碳排放的量，本节仅</w:t>
      </w:r>
      <w:r>
        <w:rPr>
          <w:rFonts w:hint="eastAsia" w:ascii="Times New Roman" w:hAnsi="Times New Roman" w:eastAsiaTheme="majorEastAsia"/>
          <w:color w:val="000000" w:themeColor="text1"/>
          <w:szCs w:val="21"/>
          <w14:textFill>
            <w14:solidFill>
              <w14:schemeClr w14:val="tx1"/>
            </w14:solidFill>
          </w14:textFill>
        </w:rPr>
        <w:t>考虑</w:t>
      </w:r>
      <w:r>
        <w:rPr>
          <w:rFonts w:ascii="Times New Roman" w:hAnsi="Times New Roman" w:eastAsiaTheme="majorEastAsia"/>
          <w:color w:val="000000" w:themeColor="text1"/>
          <w:szCs w:val="21"/>
          <w14:textFill>
            <w14:solidFill>
              <w14:schemeClr w14:val="tx1"/>
            </w14:solidFill>
          </w14:textFill>
        </w:rPr>
        <w:t>技术独立实施时的基础碳排放参数。</w:t>
      </w:r>
    </w:p>
    <w:p w14:paraId="50847607">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8.2.2时间</w:t>
      </w:r>
    </w:p>
    <w:p w14:paraId="04B0D6F8">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时间指完成该地块风险管控或修复任务所需的总实施周期，包括技术准备、主体实施与效果评估阶段，单位为天或月。计算公式如下：总时间 = 技术准备时间 + 主体实施时间 + 效果评估时间。</w:t>
      </w:r>
    </w:p>
    <w:p w14:paraId="0F339534">
      <w:pPr>
        <w:pStyle w:val="47"/>
        <w:spacing w:line="360" w:lineRule="auto"/>
        <w:jc w:val="left"/>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时间数据依据</w:t>
      </w:r>
      <w:r>
        <w:rPr>
          <w:rFonts w:ascii="Times New Roman" w:hAnsi="Times New Roman" w:eastAsiaTheme="minorEastAsia"/>
          <w:color w:val="000000" w:themeColor="text1"/>
          <w:szCs w:val="21"/>
          <w14:textFill>
            <w14:solidFill>
              <w14:schemeClr w14:val="tx1"/>
            </w14:solidFill>
          </w14:textFill>
        </w:rPr>
        <w:t>6.1.4节方法或专业</w:t>
      </w:r>
      <w:r>
        <w:rPr>
          <w:rFonts w:ascii="Times New Roman" w:hAnsi="Times New Roman" w:eastAsiaTheme="majorEastAsia"/>
          <w:color w:val="000000" w:themeColor="text1"/>
          <w:szCs w:val="21"/>
          <w14:textFill>
            <w14:solidFill>
              <w14:schemeClr w14:val="tx1"/>
            </w14:solidFill>
          </w14:textFill>
        </w:rPr>
        <w:t>软件模拟结果，并基于技术工艺特性与场地条件进行工程化估算，例如：</w:t>
      </w:r>
    </w:p>
    <w:p w14:paraId="48EFACB4">
      <w:pPr>
        <w:pStyle w:val="47"/>
        <w:spacing w:line="360" w:lineRule="auto"/>
        <w:jc w:val="left"/>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（1）气相抽提：根据污染范围、渗透系数、目标去除率及日均流量，</w:t>
      </w:r>
      <w:r>
        <w:rPr>
          <w:rFonts w:hint="eastAsia" w:ascii="Times New Roman" w:hAnsi="Times New Roman" w:eastAsiaTheme="majorEastAsia"/>
          <w:color w:val="000000" w:themeColor="text1"/>
          <w:szCs w:val="21"/>
          <w14:textFill>
            <w14:solidFill>
              <w14:schemeClr w14:val="tx1"/>
            </w14:solidFill>
          </w14:textFill>
        </w:rPr>
        <w:t>估</w:t>
      </w:r>
      <w:r>
        <w:rPr>
          <w:rFonts w:ascii="Times New Roman" w:hAnsi="Times New Roman" w:eastAsiaTheme="majorEastAsia"/>
          <w:color w:val="000000" w:themeColor="text1"/>
          <w:szCs w:val="21"/>
          <w14:textFill>
            <w14:solidFill>
              <w14:schemeClr w14:val="tx1"/>
            </w14:solidFill>
          </w14:textFill>
        </w:rPr>
        <w:t>算达目标所需运行天数；</w:t>
      </w:r>
    </w:p>
    <w:p w14:paraId="2DC153CD">
      <w:pPr>
        <w:pStyle w:val="47"/>
        <w:spacing w:line="360" w:lineRule="auto"/>
        <w:jc w:val="left"/>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（2）原位化学氧化：综合药剂注入时间、反应时间（通常由污染物降解动力学确定）、监测验证周期等；</w:t>
      </w:r>
    </w:p>
    <w:p w14:paraId="6CB8B437">
      <w:pPr>
        <w:pStyle w:val="47"/>
        <w:spacing w:line="360" w:lineRule="auto"/>
        <w:jc w:val="left"/>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（3）抽出处理：根据地下水污染羽流体积、目标污染物初始浓度与修复目标值、系统日均处理流量及污染物衰减规律，估算达到稳定达标所需的连续运行时间，并叠加系统建设与效果验证周期。</w:t>
      </w:r>
    </w:p>
    <w:p w14:paraId="60D837E6">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8.2.3成本</w:t>
      </w:r>
    </w:p>
    <w:p w14:paraId="61E5603F">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成本指完成该地块风险管控或修复任务的全口径经济成本，包括设备、材料、人工、运输、监测、管理及不可预见费等，单位为万元。</w:t>
      </w:r>
    </w:p>
    <w:p w14:paraId="37AA4E18">
      <w:pPr>
        <w:pStyle w:val="47"/>
        <w:spacing w:line="360" w:lineRule="auto"/>
        <w:rPr>
          <w:rFonts w:ascii="Times New Roman" w:hAnsi="Times New Roman" w:eastAsiaTheme="majorEastAsia"/>
          <w:color w:val="000000" w:themeColor="text1"/>
          <w:szCs w:val="2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成本应基于近三年同类工程合同价、行业造价指标或详细工程预算校准；</w:t>
      </w:r>
    </w:p>
    <w:p w14:paraId="0953BC83">
      <w:pPr>
        <w:pStyle w:val="47"/>
        <w:spacing w:line="360" w:lineRule="auto"/>
        <w:rPr>
          <w:rFonts w:ascii="Times New Roman" w:hAnsi="Times New Roman" w:eastAsia="黑体"/>
          <w:color w:val="000000" w:themeColor="text1"/>
          <w14:textFill>
            <w14:solidFill>
              <w14:schemeClr w14:val="tx1"/>
            </w14:solidFill>
          </w14:textFill>
        </w:rPr>
      </w:pPr>
      <w:r>
        <w:rPr>
          <w:rFonts w:ascii="Times New Roman" w:hAnsi="Times New Roman" w:eastAsiaTheme="majorEastAsia"/>
          <w:color w:val="000000" w:themeColor="text1"/>
          <w:szCs w:val="21"/>
          <w14:textFill>
            <w14:solidFill>
              <w14:schemeClr w14:val="tx1"/>
            </w14:solidFill>
          </w14:textFill>
        </w:rPr>
        <w:t>若技术涉及药剂消耗、能源密集型操作或特殊设备租赁，应分项列明主要成本构成，便</w:t>
      </w:r>
      <w:r>
        <w:rPr>
          <w:rFonts w:ascii="Times New Roman" w:hAnsi="Times New Roman" w:eastAsiaTheme="minorEastAsia"/>
          <w:color w:val="000000" w:themeColor="text1"/>
          <w:szCs w:val="21"/>
          <w14:textFill>
            <w14:solidFill>
              <w14:schemeClr w14:val="tx1"/>
            </w14:solidFill>
          </w14:textFill>
        </w:rPr>
        <w:t>于第7节</w:t>
      </w:r>
      <w:r>
        <w:rPr>
          <w:rFonts w:ascii="Times New Roman" w:hAnsi="Times New Roman" w:eastAsiaTheme="majorEastAsia"/>
          <w:color w:val="000000" w:themeColor="text1"/>
          <w:szCs w:val="21"/>
          <w14:textFill>
            <w14:solidFill>
              <w14:schemeClr w14:val="tx1"/>
            </w14:solidFill>
          </w14:textFill>
        </w:rPr>
        <w:t>估算降本潜力（如共用设备设施、共享施工资源等）。</w:t>
      </w:r>
    </w:p>
    <w:p w14:paraId="3582BD68">
      <w:pPr>
        <w:pStyle w:val="47"/>
        <w:numPr>
          <w:ilvl w:val="1"/>
          <w:numId w:val="2"/>
        </w:numPr>
        <w:spacing w:line="360" w:lineRule="auto"/>
        <w:ind w:firstLineChars="0"/>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协同性评估</w:t>
      </w:r>
    </w:p>
    <w:p w14:paraId="7CE6EE7F">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8.3.1在完成各污染地块单介质技术适用性评估及参数确定后，应开展土壤与地下水技术间的协同性评估，剔除不兼容技术组合，形成工业集聚区多介质风险管控与修复的备选技术方案。</w:t>
      </w:r>
    </w:p>
    <w:p w14:paraId="41C17B63">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8.3.2协同性评估应保留包括但不限于以下几类的技术组合：</w:t>
      </w:r>
    </w:p>
    <w:p w14:paraId="3A935D97">
      <w:pPr>
        <w:spacing w:line="360" w:lineRule="auto"/>
        <w:ind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a) 源头与羽流分区协同：针对高浓度污染源区与扩散形成的中低浓度污染羽流区，分别采用强化修复与扩散控制技术组合。</w:t>
      </w:r>
    </w:p>
    <w:p w14:paraId="427A2E57">
      <w:pPr>
        <w:spacing w:line="360" w:lineRule="auto"/>
        <w:ind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b)高效修复与长效管控时序协同：前期采用快速高效技术削减风险，后期衔接低成本、可持续的监控或阻隔技术。</w:t>
      </w:r>
    </w:p>
    <w:p w14:paraId="64509A31">
      <w:pPr>
        <w:spacing w:line="360" w:lineRule="auto"/>
        <w:ind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c)土壤-地下水多介质协同：同步或衔接处理包气带（土壤）与饱和带（地下水），实现土水一体化修复。</w:t>
      </w:r>
    </w:p>
    <w:p w14:paraId="6710D71F">
      <w:pPr>
        <w:spacing w:line="360" w:lineRule="auto"/>
        <w:ind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d)多机制互补协同：结合物理、化学、生物等不同作用机理的技术，提升对复合或难降解污染物的整体去除效率。</w:t>
      </w:r>
    </w:p>
    <w:p w14:paraId="709582FA">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8.3.3协同性评估应剔除以下不兼容的技术组合： </w:t>
      </w:r>
    </w:p>
    <w:p w14:paraId="32CEAC27">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a)机制冲突：土壤修复技术破坏地下水风险管控和修复所需环境条件。例如，土壤高温处理（如原位热脱附）会灭活地下水中的功能微生物，导致监控自然衰减或生物修复失效。</w:t>
      </w:r>
    </w:p>
    <w:p w14:paraId="2ADE695D">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b)空间阻隔：土壤工程措施阻碍地下水风险管控和原位修复实施。例如，垂直阻隔墙或固化层可能阻断药剂扩散或地下水流动，影响原位化学氧化、循环井等技术效果。</w:t>
      </w:r>
    </w:p>
    <w:p w14:paraId="046DD570">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c)反应干扰：土壤与地下水所用化学药剂发生中和或副反应，降低整体修复效率。</w:t>
      </w:r>
    </w:p>
    <w:p w14:paraId="4FCE3004">
      <w:pPr>
        <w:spacing w:line="360" w:lineRule="auto"/>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8.3.4凡存在明确不兼容关系的</w:t>
      </w:r>
      <w:bookmarkStart w:id="49" w:name="OLE_LINK21"/>
      <w:r>
        <w:rPr>
          <w:rFonts w:eastAsiaTheme="minorEastAsia"/>
          <w:color w:val="000000" w:themeColor="text1"/>
          <w14:textFill>
            <w14:solidFill>
              <w14:schemeClr w14:val="tx1"/>
            </w14:solidFill>
          </w14:textFill>
        </w:rPr>
        <w:t>土壤与地下水</w:t>
      </w:r>
      <w:bookmarkEnd w:id="49"/>
      <w:r>
        <w:rPr>
          <w:rFonts w:eastAsiaTheme="minorEastAsia"/>
          <w:color w:val="000000" w:themeColor="text1"/>
          <w14:textFill>
            <w14:solidFill>
              <w14:schemeClr w14:val="tx1"/>
            </w14:solidFill>
          </w14:textFill>
        </w:rPr>
        <w:t>技术组合，不得纳入备选方案。经协同性评估保留的土壤与地下水技术组合，纳入备选方案，用于开展综合比选。</w:t>
      </w:r>
    </w:p>
    <w:p w14:paraId="3414F161">
      <w:pPr>
        <w:pStyle w:val="47"/>
        <w:numPr>
          <w:ilvl w:val="1"/>
          <w:numId w:val="2"/>
        </w:numPr>
        <w:spacing w:line="360" w:lineRule="auto"/>
        <w:ind w:firstLineChars="0"/>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备选方案形成</w:t>
      </w:r>
    </w:p>
    <w:p w14:paraId="2DB42535">
      <w:pPr>
        <w:pStyle w:val="47"/>
        <w:spacing w:line="360" w:lineRule="auto"/>
        <w:rPr>
          <w:rFonts w:ascii="Times New Roman" w:hAnsi="Times New Roman" w:eastAsiaTheme="minorEastAsia"/>
          <w:color w:val="000000" w:themeColor="text1"/>
          <w14:textFill>
            <w14:solidFill>
              <w14:schemeClr w14:val="tx1"/>
            </w14:solidFill>
          </w14:textFill>
        </w:rPr>
      </w:pPr>
      <w:bookmarkStart w:id="50" w:name="OLE_LINK22"/>
      <w:r>
        <w:rPr>
          <w:rFonts w:ascii="Times New Roman" w:hAnsi="Times New Roman" w:eastAsiaTheme="minorEastAsia"/>
          <w:color w:val="000000" w:themeColor="text1"/>
          <w14:textFill>
            <w14:solidFill>
              <w14:schemeClr w14:val="tx1"/>
            </w14:solidFill>
          </w14:textFill>
        </w:rPr>
        <w:t>在完成工业集聚区各污染地块单介质技术适用性评估</w:t>
      </w:r>
      <w:r>
        <w:rPr>
          <w:rFonts w:ascii="Times New Roman" w:hAnsi="Times New Roman" w:eastAsiaTheme="minorEastAsia"/>
          <w:color w:val="000000" w:themeColor="text1"/>
          <w:szCs w:val="21"/>
          <w14:textFill>
            <w14:solidFill>
              <w14:schemeClr w14:val="tx1"/>
            </w14:solidFill>
          </w14:textFill>
        </w:rPr>
        <w:t>（第</w:t>
      </w:r>
      <w:r>
        <w:rPr>
          <w:rFonts w:hint="eastAsia" w:ascii="Times New Roman" w:hAnsi="Times New Roman" w:eastAsiaTheme="minorEastAsia"/>
          <w:color w:val="000000" w:themeColor="text1"/>
          <w:szCs w:val="21"/>
          <w14:textFill>
            <w14:solidFill>
              <w14:schemeClr w14:val="tx1"/>
            </w14:solidFill>
          </w14:textFill>
        </w:rPr>
        <w:t>7</w:t>
      </w:r>
      <w:r>
        <w:rPr>
          <w:rFonts w:ascii="Times New Roman" w:hAnsi="Times New Roman" w:eastAsiaTheme="minorEastAsia"/>
          <w:color w:val="000000" w:themeColor="text1"/>
          <w:szCs w:val="21"/>
          <w14:textFill>
            <w14:solidFill>
              <w14:schemeClr w14:val="tx1"/>
            </w14:solidFill>
          </w14:textFill>
        </w:rPr>
        <w:t>节）</w:t>
      </w:r>
      <w:r>
        <w:rPr>
          <w:rFonts w:ascii="Times New Roman" w:hAnsi="Times New Roman" w:eastAsiaTheme="minorEastAsia"/>
          <w:color w:val="000000" w:themeColor="text1"/>
          <w14:textFill>
            <w14:solidFill>
              <w14:schemeClr w14:val="tx1"/>
            </w14:solidFill>
          </w14:textFill>
        </w:rPr>
        <w:t>及土壤-地下水技术协同性评估（</w:t>
      </w:r>
      <w:r>
        <w:rPr>
          <w:rFonts w:hint="eastAsia" w:ascii="Times New Roman" w:hAnsi="Times New Roman" w:eastAsiaTheme="minorEastAsia"/>
          <w:color w:val="000000" w:themeColor="text1"/>
          <w14:textFill>
            <w14:solidFill>
              <w14:schemeClr w14:val="tx1"/>
            </w14:solidFill>
          </w14:textFill>
        </w:rPr>
        <w:t>第8</w:t>
      </w:r>
      <w:r>
        <w:rPr>
          <w:rFonts w:ascii="Times New Roman" w:hAnsi="Times New Roman" w:eastAsiaTheme="minorEastAsia"/>
          <w:color w:val="000000" w:themeColor="text1"/>
          <w14:textFill>
            <w14:solidFill>
              <w14:schemeClr w14:val="tx1"/>
            </w14:solidFill>
          </w14:textFill>
        </w:rPr>
        <w:t>.</w:t>
      </w:r>
      <w:r>
        <w:rPr>
          <w:rFonts w:hint="eastAsia" w:ascii="Times New Roman" w:hAnsi="Times New Roman" w:eastAsiaTheme="minorEastAsia"/>
          <w:color w:val="000000" w:themeColor="text1"/>
          <w14:textFill>
            <w14:solidFill>
              <w14:schemeClr w14:val="tx1"/>
            </w14:solidFill>
          </w14:textFill>
        </w:rPr>
        <w:t>3</w:t>
      </w:r>
      <w:r>
        <w:rPr>
          <w:rFonts w:ascii="Times New Roman" w:hAnsi="Times New Roman" w:eastAsiaTheme="minorEastAsia"/>
          <w:color w:val="000000" w:themeColor="text1"/>
          <w14:textFill>
            <w14:solidFill>
              <w14:schemeClr w14:val="tx1"/>
            </w14:solidFill>
          </w14:textFill>
        </w:rPr>
        <w:t>节）的基础上，应形成工业集聚区风险管控与修复的备选技术方案。每个备选方案由工业集聚区内所有污染</w:t>
      </w:r>
      <w:bookmarkStart w:id="51" w:name="OLE_LINK24"/>
      <w:r>
        <w:rPr>
          <w:rFonts w:ascii="Times New Roman" w:hAnsi="Times New Roman" w:eastAsiaTheme="minorEastAsia"/>
          <w:color w:val="000000" w:themeColor="text1"/>
          <w14:textFill>
            <w14:solidFill>
              <w14:schemeClr w14:val="tx1"/>
            </w14:solidFill>
          </w14:textFill>
        </w:rPr>
        <w:t>地</w:t>
      </w:r>
      <w:bookmarkEnd w:id="51"/>
      <w:r>
        <w:rPr>
          <w:rFonts w:ascii="Times New Roman" w:hAnsi="Times New Roman" w:eastAsiaTheme="minorEastAsia"/>
          <w:color w:val="000000" w:themeColor="text1"/>
          <w14:textFill>
            <w14:solidFill>
              <w14:schemeClr w14:val="tx1"/>
            </w14:solidFill>
          </w14:textFill>
        </w:rPr>
        <w:t>块的土壤与地下水技术组合构成，并确保整体满足工业集聚区污染风险管控与修复目标、工期及成本要求。具体包括：</w:t>
      </w:r>
    </w:p>
    <w:p w14:paraId="73042A2F">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（1）各土壤污染地块所采用的技术；</w:t>
      </w:r>
    </w:p>
    <w:p w14:paraId="01D3354E">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（2）各地下水污染地块所采用的技术；</w:t>
      </w:r>
    </w:p>
    <w:p w14:paraId="1EB097ED">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（3）技术实施位置（原位/异位）及实施范围；</w:t>
      </w:r>
    </w:p>
    <w:p w14:paraId="77C1277A">
      <w:pPr>
        <w:pStyle w:val="47"/>
        <w:spacing w:line="360" w:lineRule="auto"/>
        <w:rPr>
          <w:rFonts w:ascii="Times New Roman" w:hAnsi="Times New Roman" w:eastAsiaTheme="minorEastAsia"/>
          <w:color w:val="000000" w:themeColor="text1"/>
          <w14:textFill>
            <w14:solidFill>
              <w14:schemeClr w14:val="tx1"/>
            </w14:solidFill>
          </w14:textFill>
        </w:rPr>
      </w:pPr>
      <w:r>
        <w:rPr>
          <w:rFonts w:ascii="Times New Roman" w:hAnsi="Times New Roman" w:eastAsiaTheme="minorEastAsia"/>
          <w:color w:val="000000" w:themeColor="text1"/>
          <w14:textFill>
            <w14:solidFill>
              <w14:schemeClr w14:val="tx1"/>
            </w14:solidFill>
          </w14:textFill>
        </w:rPr>
        <w:t>（4）地块间技术实施的时序安排与资源共享可能性（如共用设备设施等）。</w:t>
      </w:r>
    </w:p>
    <w:bookmarkEnd w:id="50"/>
    <w:p w14:paraId="53FF8915">
      <w:pPr>
        <w:pStyle w:val="47"/>
        <w:numPr>
          <w:ilvl w:val="1"/>
          <w:numId w:val="2"/>
        </w:numPr>
        <w:spacing w:line="360" w:lineRule="auto"/>
        <w:ind w:firstLineChars="0"/>
        <w:rPr>
          <w:rFonts w:ascii="Times New Roman" w:hAnsi="Times New Roman" w:eastAsia="黑体"/>
          <w:color w:val="000000" w:themeColor="text1"/>
          <w14:textFill>
            <w14:solidFill>
              <w14:schemeClr w14:val="tx1"/>
            </w14:solidFill>
          </w14:textFill>
        </w:rPr>
      </w:pPr>
      <w:bookmarkStart w:id="52" w:name="OLE_LINK23"/>
      <w:r>
        <w:rPr>
          <w:rFonts w:ascii="Times New Roman" w:hAnsi="Times New Roman" w:eastAsia="黑体"/>
          <w:color w:val="000000" w:themeColor="text1"/>
          <w14:textFill>
            <w14:solidFill>
              <w14:schemeClr w14:val="tx1"/>
            </w14:solidFill>
          </w14:textFill>
        </w:rPr>
        <w:t>目</w:t>
      </w:r>
      <w:bookmarkEnd w:id="52"/>
      <w:r>
        <w:rPr>
          <w:rFonts w:ascii="Times New Roman" w:hAnsi="Times New Roman" w:eastAsia="黑体"/>
          <w:color w:val="000000" w:themeColor="text1"/>
          <w14:textFill>
            <w14:solidFill>
              <w14:schemeClr w14:val="tx1"/>
            </w14:solidFill>
          </w14:textFill>
        </w:rPr>
        <w:t>标序列设定</w:t>
      </w:r>
    </w:p>
    <w:p w14:paraId="0A1B7776">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使用者应根据项目实际管理需求（如“双碳”政策约束、土地开发时限、财政预算上限等），预先确定各目标的重要性序列，该目标序列将作为后续采用目标分层法进行方案优选的决策依据。典型目标序列示例如下：</w:t>
      </w:r>
    </w:p>
    <w:p w14:paraId="5AC28F68">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（1）碳排放 → 成本 → 工期（适用于碳减排优先场景）；</w:t>
      </w:r>
    </w:p>
    <w:p w14:paraId="750462B1">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（2）工期 → 成本 → 碳排放（适用于急需开发场景）；</w:t>
      </w:r>
    </w:p>
    <w:p w14:paraId="444B1F4E">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（3）成本 → 工期 → 碳排放（适用于资金受限场景）。</w:t>
      </w:r>
    </w:p>
    <w:p w14:paraId="10FCC8AF">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（4）其他合理排序：适用于常规治理场景，兼顾多维协调。</w:t>
      </w:r>
    </w:p>
    <w:p w14:paraId="6CDE0CC3">
      <w:pPr>
        <w:pStyle w:val="47"/>
        <w:numPr>
          <w:ilvl w:val="1"/>
          <w:numId w:val="2"/>
        </w:numPr>
        <w:spacing w:line="360" w:lineRule="auto"/>
        <w:ind w:firstLineChars="0"/>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逐层比选</w:t>
      </w:r>
    </w:p>
    <w:p w14:paraId="108C5C7D">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按附录C提供的工业集聚区技术方案多目标量化方法计算备选方案可能的碳排放、工期和成本，并采用目标分层法对方案逐层比选，以确保高优先级目标绝对最优。优选步骤如下：</w:t>
      </w:r>
    </w:p>
    <w:p w14:paraId="73C4D56A">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第一层筛选（最高优先级目标）：在全部备选方案中，按第一优先级目标升序排序，保留固定比例的方案作为候选子集。</w:t>
      </w:r>
    </w:p>
    <w:p w14:paraId="613C3193">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第二层筛选（次优先级目标）：在第一层输出的子集中，按第二优先级目标序排序，同样保留固定比例的方案。</w:t>
      </w:r>
    </w:p>
    <w:p w14:paraId="5D46CE29">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第三层筛选（最终决策目标）：在第二层剩余方案中，直接选取第三优先级目标最小的方案。</w:t>
      </w:r>
    </w:p>
    <w:p w14:paraId="005FDB1B">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示例：若目标优先级为“碳排放 → 成本 → 工期”，初始有 1000 个备选方案则：</w:t>
      </w:r>
    </w:p>
    <w:p w14:paraId="786556F9">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（1）首先保留碳排放最低的前 100 个方案；</w:t>
      </w:r>
    </w:p>
    <w:p w14:paraId="62C68930">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（2）从上一步的 100 个方案中，进一步保留成本最低的前 10 个方案；</w:t>
      </w:r>
    </w:p>
    <w:p w14:paraId="117F2747">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（3）最终在剩余方案中选择工期最短者。</w:t>
      </w:r>
    </w:p>
    <w:p w14:paraId="2C4DE43E">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该方法适用于目标偏好明确、需保障核心约束（如碳减排刚性要求）的工业集聚区治理项目。最终推荐方案应在评估报告中说明目标排序依据及各层级筛选结果。</w:t>
      </w:r>
    </w:p>
    <w:p w14:paraId="4339D645">
      <w:pPr>
        <w:pStyle w:val="47"/>
        <w:numPr>
          <w:ilvl w:val="1"/>
          <w:numId w:val="2"/>
        </w:numPr>
        <w:spacing w:line="360" w:lineRule="auto"/>
        <w:ind w:firstLineChars="0"/>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更新技术方案</w:t>
      </w:r>
    </w:p>
    <w:p w14:paraId="1CDDF44E">
      <w:pPr>
        <w:pStyle w:val="47"/>
        <w:spacing w:line="360" w:lineRule="auto"/>
        <w:ind w:firstLine="0" w:firstLineChars="0"/>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.1工业集聚区风险管控与修复周期较长，实施过程中可能面临政策调整、技术进步、资金变动或监测结果偏离预期等情形。为提升方案适应性，应建立“监测—评估—反馈—调整”的闭环管理机制。</w:t>
      </w:r>
    </w:p>
    <w:p w14:paraId="09F202A5">
      <w:pPr>
        <w:spacing w:line="360" w:lineRule="auto"/>
        <w:rPr>
          <w:rFonts w:eastAsiaTheme="minorEastAsia"/>
          <w:color w:val="000000" w:themeColor="text1"/>
          <w:szCs w:val="2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w:t>
      </w:r>
      <w:r>
        <w:rPr>
          <w:rFonts w:eastAsiaTheme="minorEastAsia"/>
          <w:color w:val="000000" w:themeColor="text1"/>
          <w:szCs w:val="21"/>
          <w14:textFill>
            <w14:solidFill>
              <w14:schemeClr w14:val="tx1"/>
            </w14:solidFill>
          </w14:textFill>
        </w:rPr>
        <w:t>.2在关键节点（如中试完成、主体工程过半、效果评估阶段），应对以下内容进行阶段性复核：</w:t>
      </w:r>
    </w:p>
    <w:p w14:paraId="245C3129">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（1）实际碳排放强度是否显著偏离预测值；</w:t>
      </w:r>
    </w:p>
    <w:p w14:paraId="7FD6B4BA">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（2）成本执行是否超预算阈值；</w:t>
      </w:r>
    </w:p>
    <w:p w14:paraId="6AE044AB">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（3）工期进展是否满足开发计划；</w:t>
      </w:r>
    </w:p>
    <w:p w14:paraId="38B75320">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szCs w:val="21"/>
          <w14:textFill>
            <w14:solidFill>
              <w14:schemeClr w14:val="tx1"/>
            </w14:solidFill>
          </w14:textFill>
        </w:rPr>
        <w:t>（4）</w:t>
      </w:r>
      <w:r>
        <w:rPr>
          <w:rFonts w:ascii="Times New Roman" w:hAnsi="Times New Roman" w:eastAsiaTheme="minorEastAsia"/>
          <w:color w:val="000000" w:themeColor="text1"/>
          <w:szCs w:val="21"/>
          <w14:textFill>
            <w14:solidFill>
              <w14:schemeClr w14:val="tx1"/>
            </w14:solidFill>
          </w14:textFill>
        </w:rPr>
        <w:t>风险管控或修复效果是否达到阶段性目标。</w:t>
      </w:r>
    </w:p>
    <w:p w14:paraId="6BFCC7F7">
      <w:pPr>
        <w:pStyle w:val="47"/>
        <w:spacing w:line="360" w:lineRule="auto"/>
        <w:ind w:firstLine="0" w:firstLineChars="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.3若出现重大偏差，可重新运行</w:t>
      </w:r>
      <w:r>
        <w:rPr>
          <w:rFonts w:ascii="Times New Roman" w:hAnsi="Times New Roman" w:eastAsiaTheme="minorEastAsia"/>
          <w:color w:val="000000" w:themeColor="text1"/>
          <w:szCs w:val="21"/>
          <w14:textFill>
            <w14:solidFill>
              <w14:schemeClr w14:val="tx1"/>
            </w14:solidFill>
          </w14:textFill>
        </w:rPr>
        <w:t>第7节</w:t>
      </w:r>
      <w:r>
        <w:rPr>
          <w:rFonts w:hint="eastAsia" w:ascii="Times New Roman" w:hAnsi="Times New Roman" w:eastAsiaTheme="minorEastAsia"/>
          <w:color w:val="000000" w:themeColor="text1"/>
          <w:szCs w:val="21"/>
          <w14:textFill>
            <w14:solidFill>
              <w14:schemeClr w14:val="tx1"/>
            </w14:solidFill>
          </w14:textFill>
        </w:rPr>
        <w:t>和第8节</w:t>
      </w:r>
      <w:r>
        <w:rPr>
          <w:rFonts w:ascii="Times New Roman" w:hAnsi="Times New Roman"/>
          <w:color w:val="000000" w:themeColor="text1"/>
          <w14:textFill>
            <w14:solidFill>
              <w14:schemeClr w14:val="tx1"/>
            </w14:solidFill>
          </w14:textFill>
        </w:rPr>
        <w:t>，在更新参数基础上生成新推荐方案，必要时调整技术组合或实施路径，确保最终实现环境安全、资源节约与进度可控的统一目标。</w:t>
      </w:r>
    </w:p>
    <w:p w14:paraId="35DC882B">
      <w:pPr>
        <w:pStyle w:val="47"/>
        <w:spacing w:line="360" w:lineRule="auto"/>
        <w:ind w:firstLine="0" w:firstLineChars="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.4经比选或更新形成的最终技术方案，应编制《工业集聚区土壤-地下水污染风险管控与修复技术方案报告》。当方案发生调整时，应同步修订该报告。报告编制提纲见附录</w:t>
      </w:r>
      <w:r>
        <w:rPr>
          <w:rFonts w:hint="eastAsia" w:ascii="Times New Roman" w:hAnsi="Times New Roman"/>
          <w:color w:val="000000" w:themeColor="text1"/>
          <w14:textFill>
            <w14:solidFill>
              <w14:schemeClr w14:val="tx1"/>
            </w14:solidFill>
          </w14:textFill>
        </w:rPr>
        <w:t>D</w:t>
      </w:r>
      <w:r>
        <w:rPr>
          <w:rFonts w:ascii="Times New Roman" w:hAnsi="Times New Roman"/>
          <w:color w:val="000000" w:themeColor="text1"/>
          <w14:textFill>
            <w14:solidFill>
              <w14:schemeClr w14:val="tx1"/>
            </w14:solidFill>
          </w14:textFill>
        </w:rPr>
        <w:t>。</w:t>
      </w:r>
    </w:p>
    <w:p w14:paraId="5B904AA9">
      <w:pPr>
        <w:pStyle w:val="47"/>
        <w:spacing w:line="360" w:lineRule="auto"/>
        <w:rPr>
          <w:rFonts w:ascii="Times New Roman" w:hAnsi="Times New Roman"/>
          <w:color w:val="000000" w:themeColor="text1"/>
          <w14:textFill>
            <w14:solidFill>
              <w14:schemeClr w14:val="tx1"/>
            </w14:solidFill>
          </w14:textFill>
        </w:rPr>
        <w:sectPr>
          <w:headerReference r:id="rId8" w:type="default"/>
          <w:footerReference r:id="rId10" w:type="default"/>
          <w:headerReference r:id="rId9" w:type="even"/>
          <w:footerReference r:id="rId11" w:type="even"/>
          <w:pgSz w:w="11906" w:h="16838"/>
          <w:pgMar w:top="1417" w:right="1134" w:bottom="1134" w:left="1417" w:header="1020" w:footer="850" w:gutter="0"/>
          <w:pgNumType w:start="1"/>
          <w:cols w:space="0" w:num="1"/>
          <w:docGrid w:type="lines" w:linePitch="312" w:charSpace="0"/>
        </w:sectPr>
      </w:pPr>
    </w:p>
    <w:p w14:paraId="7E9144C5">
      <w:pPr>
        <w:keepNext/>
        <w:keepLines/>
        <w:adjustRightInd w:val="0"/>
        <w:snapToGrid w:val="0"/>
        <w:jc w:val="center"/>
        <w:outlineLvl w:val="0"/>
        <w:rPr>
          <w:rFonts w:eastAsia="黑体"/>
          <w:color w:val="000000" w:themeColor="text1"/>
          <w:szCs w:val="21"/>
          <w14:textFill>
            <w14:solidFill>
              <w14:schemeClr w14:val="tx1"/>
            </w14:solidFill>
          </w14:textFill>
        </w:rPr>
      </w:pPr>
      <w:bookmarkStart w:id="53" w:name="_Toc2350"/>
      <w:bookmarkStart w:id="54" w:name="_Toc179671460"/>
      <w:bookmarkStart w:id="55" w:name="_Toc30247"/>
      <w:bookmarkStart w:id="56" w:name="_Toc219788525"/>
      <w:bookmarkStart w:id="57" w:name="_Hlk179823333"/>
      <w:bookmarkStart w:id="58" w:name="_Toc395187810"/>
      <w:bookmarkStart w:id="59" w:name="_Toc511393205"/>
      <w:bookmarkStart w:id="60" w:name="_Toc481504351"/>
      <w:r>
        <w:rPr>
          <w:rFonts w:eastAsia="黑体"/>
          <w:color w:val="000000" w:themeColor="text1"/>
          <w:szCs w:val="21"/>
          <w14:textFill>
            <w14:solidFill>
              <w14:schemeClr w14:val="tx1"/>
            </w14:solidFill>
          </w14:textFill>
        </w:rPr>
        <w:t>附  录  A</w:t>
      </w:r>
      <w:bookmarkEnd w:id="53"/>
      <w:bookmarkEnd w:id="54"/>
      <w:bookmarkEnd w:id="55"/>
      <w:bookmarkEnd w:id="56"/>
    </w:p>
    <w:p w14:paraId="26082C0F">
      <w:pPr>
        <w:jc w:val="center"/>
        <w:rPr>
          <w:rFonts w:eastAsia="黑体"/>
          <w:color w:val="000000"/>
          <w:kern w:val="2"/>
          <w:szCs w:val="21"/>
        </w:rPr>
      </w:pPr>
      <w:bookmarkStart w:id="61" w:name="_Toc32669"/>
      <w:bookmarkStart w:id="62" w:name="_Toc13741"/>
      <w:r>
        <w:rPr>
          <w:rFonts w:eastAsia="黑体"/>
          <w:color w:val="000000"/>
          <w:kern w:val="2"/>
          <w:szCs w:val="21"/>
        </w:rPr>
        <w:t>（资料性）</w:t>
      </w:r>
      <w:bookmarkEnd w:id="61"/>
      <w:bookmarkEnd w:id="62"/>
    </w:p>
    <w:p w14:paraId="228F03E8">
      <w:pPr>
        <w:spacing w:line="360" w:lineRule="auto"/>
        <w:jc w:val="center"/>
        <w:rPr>
          <w:rFonts w:eastAsia="黑体"/>
          <w:color w:val="000000"/>
          <w:kern w:val="2"/>
          <w:szCs w:val="21"/>
        </w:rPr>
      </w:pPr>
      <w:bookmarkStart w:id="63" w:name="_Toc24378"/>
      <w:bookmarkStart w:id="64" w:name="_Toc30235"/>
      <w:r>
        <w:rPr>
          <w:rFonts w:eastAsia="黑体"/>
          <w:color w:val="000000"/>
          <w:kern w:val="2"/>
          <w:szCs w:val="21"/>
        </w:rPr>
        <w:t>土壤和地下水污染风险管控与修复技术初筛表</w:t>
      </w:r>
      <w:bookmarkEnd w:id="63"/>
      <w:bookmarkEnd w:id="64"/>
    </w:p>
    <w:p w14:paraId="6395A78E">
      <w:pPr>
        <w:spacing w:line="360" w:lineRule="auto"/>
        <w:ind w:firstLine="420" w:firstLineChars="200"/>
        <w:rPr>
          <w:rFonts w:eastAsia="黑体"/>
          <w:color w:val="000000"/>
          <w:kern w:val="2"/>
          <w:szCs w:val="21"/>
        </w:rPr>
      </w:pPr>
      <w:r>
        <w:rPr>
          <w:color w:val="000000" w:themeColor="text1"/>
          <w14:textFill>
            <w14:solidFill>
              <w14:schemeClr w14:val="tx1"/>
            </w14:solidFill>
          </w14:textFill>
        </w:rPr>
        <w:t>土壤和地下水污染风险管控与修复技术初筛所需技术适用条件（如“不适用污染物”“不适用土壤质地”）分别见表A.1和表A.2。其中，技术所需成本、时间，以及技术的污染物去除率等具体数值，需根据工程实测或文献确定。</w:t>
      </w:r>
    </w:p>
    <w:p w14:paraId="7F49EF57">
      <w:pPr>
        <w:spacing w:line="360" w:lineRule="auto"/>
        <w:ind w:firstLine="420" w:firstLineChars="200"/>
        <w:jc w:val="center"/>
        <w:rPr>
          <w:rFonts w:eastAsia="黑体"/>
          <w:color w:val="000000"/>
          <w:kern w:val="2"/>
          <w:szCs w:val="21"/>
        </w:rPr>
      </w:pPr>
      <w:r>
        <w:rPr>
          <w:rFonts w:eastAsia="黑体"/>
          <w:color w:val="000000"/>
          <w:kern w:val="2"/>
          <w:szCs w:val="21"/>
        </w:rPr>
        <w:t>表A.1 土壤污染风险管控与修复技术初筛表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1189"/>
        <w:gridCol w:w="741"/>
        <w:gridCol w:w="4322"/>
        <w:gridCol w:w="1246"/>
      </w:tblGrid>
      <w:tr w14:paraId="2C87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single" w:color="000000" w:sz="12" w:space="0"/>
              <w:left w:val="nil"/>
              <w:bottom w:val="single" w:color="000000" w:sz="4" w:space="0"/>
              <w:right w:val="nil"/>
              <w:tl2br w:val="nil"/>
            </w:tcBorders>
            <w:shd w:val="clear" w:color="auto" w:fill="FFFFFF"/>
            <w:vAlign w:val="center"/>
          </w:tcPr>
          <w:p w14:paraId="526FC701">
            <w:pPr>
              <w:widowControl/>
              <w:jc w:val="center"/>
              <w:rPr>
                <w:color w:val="000000"/>
                <w:szCs w:val="21"/>
              </w:rPr>
            </w:pPr>
            <w:bookmarkStart w:id="65" w:name="_Hlk214980468"/>
            <w:r>
              <w:rPr>
                <w:color w:val="000000"/>
                <w:szCs w:val="21"/>
              </w:rPr>
              <w:t>技术</w:t>
            </w:r>
          </w:p>
        </w:tc>
        <w:tc>
          <w:tcPr>
            <w:tcW w:w="621" w:type="pct"/>
            <w:tcBorders>
              <w:top w:val="single" w:color="000000" w:sz="12" w:space="0"/>
              <w:left w:val="nil"/>
              <w:bottom w:val="single" w:color="000000" w:sz="4" w:space="0"/>
              <w:right w:val="nil"/>
            </w:tcBorders>
            <w:shd w:val="clear" w:color="auto" w:fill="FFFFFF"/>
            <w:vAlign w:val="center"/>
          </w:tcPr>
          <w:p w14:paraId="25324882">
            <w:pPr>
              <w:widowControl/>
              <w:jc w:val="center"/>
              <w:rPr>
                <w:color w:val="000000"/>
                <w:szCs w:val="21"/>
              </w:rPr>
            </w:pPr>
            <w:r>
              <w:rPr>
                <w:color w:val="000000"/>
                <w:szCs w:val="21"/>
              </w:rPr>
              <w:t>模式</w:t>
            </w:r>
          </w:p>
        </w:tc>
        <w:tc>
          <w:tcPr>
            <w:tcW w:w="387" w:type="pct"/>
            <w:tcBorders>
              <w:top w:val="single" w:color="000000" w:sz="12" w:space="0"/>
              <w:left w:val="nil"/>
              <w:bottom w:val="single" w:color="000000" w:sz="4" w:space="0"/>
              <w:right w:val="nil"/>
            </w:tcBorders>
            <w:shd w:val="clear" w:color="auto" w:fill="FFFFFF"/>
            <w:vAlign w:val="center"/>
          </w:tcPr>
          <w:p w14:paraId="15146039">
            <w:pPr>
              <w:widowControl/>
              <w:jc w:val="center"/>
              <w:rPr>
                <w:color w:val="000000"/>
                <w:szCs w:val="21"/>
              </w:rPr>
            </w:pPr>
            <w:r>
              <w:rPr>
                <w:color w:val="000000"/>
                <w:szCs w:val="21"/>
              </w:rPr>
              <w:t>实施位置</w:t>
            </w:r>
          </w:p>
        </w:tc>
        <w:tc>
          <w:tcPr>
            <w:tcW w:w="2258" w:type="pct"/>
            <w:tcBorders>
              <w:top w:val="single" w:color="000000" w:sz="12" w:space="0"/>
              <w:left w:val="nil"/>
              <w:bottom w:val="single" w:color="000000" w:sz="4" w:space="0"/>
              <w:right w:val="nil"/>
            </w:tcBorders>
            <w:shd w:val="clear" w:color="auto" w:fill="FFFFFF"/>
            <w:vAlign w:val="center"/>
          </w:tcPr>
          <w:p w14:paraId="49BC18A3">
            <w:pPr>
              <w:widowControl/>
              <w:jc w:val="center"/>
              <w:rPr>
                <w:color w:val="000000"/>
                <w:szCs w:val="21"/>
              </w:rPr>
            </w:pPr>
            <w:r>
              <w:rPr>
                <w:color w:val="000000"/>
                <w:szCs w:val="21"/>
              </w:rPr>
              <w:t>不适用污染物</w:t>
            </w:r>
          </w:p>
        </w:tc>
        <w:tc>
          <w:tcPr>
            <w:tcW w:w="652" w:type="pct"/>
            <w:tcBorders>
              <w:top w:val="single" w:color="000000" w:sz="12" w:space="0"/>
              <w:left w:val="nil"/>
              <w:bottom w:val="single" w:color="000000" w:sz="4" w:space="0"/>
              <w:right w:val="nil"/>
            </w:tcBorders>
            <w:shd w:val="clear" w:color="auto" w:fill="FFFFFF"/>
            <w:vAlign w:val="center"/>
          </w:tcPr>
          <w:p w14:paraId="500A0C51">
            <w:pPr>
              <w:widowControl/>
              <w:jc w:val="center"/>
              <w:rPr>
                <w:color w:val="000000"/>
                <w:szCs w:val="21"/>
              </w:rPr>
            </w:pPr>
            <w:r>
              <w:rPr>
                <w:color w:val="000000"/>
                <w:szCs w:val="21"/>
              </w:rPr>
              <w:t>不适用土壤质地</w:t>
            </w:r>
          </w:p>
        </w:tc>
      </w:tr>
      <w:tr w14:paraId="2B4D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single" w:color="000000" w:sz="4" w:space="0"/>
              <w:left w:val="nil"/>
              <w:bottom w:val="nil"/>
              <w:right w:val="nil"/>
            </w:tcBorders>
            <w:shd w:val="clear" w:color="auto" w:fill="FFFFFF"/>
            <w:vAlign w:val="center"/>
          </w:tcPr>
          <w:p w14:paraId="5F1C5B83">
            <w:pPr>
              <w:widowControl/>
              <w:jc w:val="center"/>
              <w:rPr>
                <w:color w:val="000000"/>
                <w:szCs w:val="21"/>
              </w:rPr>
            </w:pPr>
            <w:r>
              <w:rPr>
                <w:color w:val="000000"/>
                <w:szCs w:val="21"/>
              </w:rPr>
              <w:t>制度控制</w:t>
            </w:r>
          </w:p>
        </w:tc>
        <w:tc>
          <w:tcPr>
            <w:tcW w:w="621" w:type="pct"/>
            <w:tcBorders>
              <w:top w:val="single" w:color="000000" w:sz="4" w:space="0"/>
              <w:left w:val="nil"/>
              <w:bottom w:val="nil"/>
              <w:right w:val="nil"/>
            </w:tcBorders>
            <w:shd w:val="clear" w:color="auto" w:fill="FFFFFF"/>
            <w:vAlign w:val="center"/>
          </w:tcPr>
          <w:p w14:paraId="5DEF9AC3">
            <w:pPr>
              <w:widowControl/>
              <w:jc w:val="center"/>
              <w:rPr>
                <w:color w:val="000000"/>
                <w:szCs w:val="21"/>
              </w:rPr>
            </w:pPr>
            <w:r>
              <w:rPr>
                <w:color w:val="000000"/>
                <w:szCs w:val="21"/>
              </w:rPr>
              <w:t>风险管控</w:t>
            </w:r>
          </w:p>
        </w:tc>
        <w:tc>
          <w:tcPr>
            <w:tcW w:w="387" w:type="pct"/>
            <w:tcBorders>
              <w:top w:val="single" w:color="000000" w:sz="4" w:space="0"/>
              <w:left w:val="nil"/>
              <w:bottom w:val="nil"/>
              <w:right w:val="nil"/>
            </w:tcBorders>
            <w:shd w:val="clear" w:color="auto" w:fill="FFFFFF"/>
            <w:vAlign w:val="center"/>
          </w:tcPr>
          <w:p w14:paraId="4C111370">
            <w:pPr>
              <w:widowControl/>
              <w:jc w:val="center"/>
              <w:rPr>
                <w:color w:val="000000"/>
                <w:szCs w:val="21"/>
              </w:rPr>
            </w:pPr>
            <w:r>
              <w:rPr>
                <w:color w:val="000000"/>
                <w:szCs w:val="21"/>
              </w:rPr>
              <w:t>原位</w:t>
            </w:r>
          </w:p>
        </w:tc>
        <w:tc>
          <w:tcPr>
            <w:tcW w:w="2258" w:type="pct"/>
            <w:tcBorders>
              <w:top w:val="single" w:color="000000" w:sz="4" w:space="0"/>
              <w:left w:val="nil"/>
              <w:bottom w:val="nil"/>
              <w:right w:val="nil"/>
            </w:tcBorders>
            <w:shd w:val="clear" w:color="auto" w:fill="FFFFFF"/>
            <w:vAlign w:val="center"/>
          </w:tcPr>
          <w:p w14:paraId="46239F68">
            <w:pPr>
              <w:widowControl/>
              <w:jc w:val="center"/>
              <w:rPr>
                <w:color w:val="000000"/>
                <w:szCs w:val="21"/>
              </w:rPr>
            </w:pPr>
            <w:r>
              <w:rPr>
                <w:rFonts w:eastAsia="等线"/>
                <w:color w:val="000000"/>
                <w:szCs w:val="21"/>
              </w:rPr>
              <w:t>/</w:t>
            </w:r>
          </w:p>
        </w:tc>
        <w:tc>
          <w:tcPr>
            <w:tcW w:w="652" w:type="pct"/>
            <w:tcBorders>
              <w:top w:val="single" w:color="000000" w:sz="4" w:space="0"/>
              <w:left w:val="nil"/>
              <w:bottom w:val="nil"/>
              <w:right w:val="nil"/>
            </w:tcBorders>
            <w:shd w:val="clear" w:color="auto" w:fill="FFFFFF"/>
            <w:vAlign w:val="center"/>
          </w:tcPr>
          <w:p w14:paraId="5FA72BF3">
            <w:pPr>
              <w:widowControl/>
              <w:jc w:val="center"/>
              <w:rPr>
                <w:color w:val="000000"/>
                <w:szCs w:val="21"/>
              </w:rPr>
            </w:pPr>
            <w:r>
              <w:rPr>
                <w:rFonts w:eastAsia="等线"/>
                <w:color w:val="000000"/>
                <w:szCs w:val="21"/>
              </w:rPr>
              <w:t>/</w:t>
            </w:r>
          </w:p>
        </w:tc>
      </w:tr>
      <w:tr w14:paraId="7953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69A0DE71">
            <w:pPr>
              <w:widowControl/>
              <w:jc w:val="center"/>
              <w:rPr>
                <w:color w:val="000000"/>
                <w:szCs w:val="21"/>
              </w:rPr>
            </w:pPr>
            <w:r>
              <w:rPr>
                <w:color w:val="000000"/>
                <w:szCs w:val="21"/>
              </w:rPr>
              <w:t>原位阻隔</w:t>
            </w:r>
          </w:p>
        </w:tc>
        <w:tc>
          <w:tcPr>
            <w:tcW w:w="621" w:type="pct"/>
            <w:tcBorders>
              <w:top w:val="nil"/>
              <w:left w:val="nil"/>
              <w:bottom w:val="nil"/>
              <w:right w:val="nil"/>
            </w:tcBorders>
            <w:shd w:val="clear" w:color="auto" w:fill="FFFFFF"/>
            <w:vAlign w:val="center"/>
          </w:tcPr>
          <w:p w14:paraId="5B828EA8">
            <w:pPr>
              <w:widowControl/>
              <w:jc w:val="center"/>
              <w:rPr>
                <w:color w:val="000000"/>
                <w:szCs w:val="21"/>
              </w:rPr>
            </w:pPr>
            <w:r>
              <w:rPr>
                <w:color w:val="000000"/>
                <w:szCs w:val="21"/>
              </w:rPr>
              <w:t>风险管控</w:t>
            </w:r>
          </w:p>
        </w:tc>
        <w:tc>
          <w:tcPr>
            <w:tcW w:w="387" w:type="pct"/>
            <w:tcBorders>
              <w:top w:val="nil"/>
              <w:left w:val="nil"/>
              <w:bottom w:val="nil"/>
              <w:right w:val="nil"/>
            </w:tcBorders>
            <w:shd w:val="clear" w:color="auto" w:fill="FFFFFF"/>
            <w:vAlign w:val="center"/>
          </w:tcPr>
          <w:p w14:paraId="3AA7BBAB">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4FD75388">
            <w:pPr>
              <w:widowControl/>
              <w:jc w:val="center"/>
              <w:rPr>
                <w:color w:val="000000"/>
                <w:szCs w:val="21"/>
              </w:rPr>
            </w:pPr>
            <w:r>
              <w:rPr>
                <w:color w:val="000000"/>
                <w:szCs w:val="21"/>
              </w:rPr>
              <w:t>易溶性污染物</w:t>
            </w:r>
          </w:p>
        </w:tc>
        <w:tc>
          <w:tcPr>
            <w:tcW w:w="652" w:type="pct"/>
            <w:tcBorders>
              <w:top w:val="nil"/>
              <w:left w:val="nil"/>
              <w:bottom w:val="nil"/>
              <w:right w:val="nil"/>
            </w:tcBorders>
            <w:shd w:val="clear" w:color="auto" w:fill="FFFFFF"/>
            <w:vAlign w:val="center"/>
          </w:tcPr>
          <w:p w14:paraId="12AC5C08">
            <w:pPr>
              <w:widowControl/>
              <w:jc w:val="center"/>
              <w:rPr>
                <w:color w:val="000000"/>
                <w:szCs w:val="21"/>
              </w:rPr>
            </w:pPr>
            <w:r>
              <w:rPr>
                <w:rFonts w:eastAsia="等线"/>
                <w:color w:val="000000"/>
                <w:szCs w:val="21"/>
              </w:rPr>
              <w:t>/</w:t>
            </w:r>
          </w:p>
        </w:tc>
      </w:tr>
      <w:tr w14:paraId="0212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0AE2DE6B">
            <w:pPr>
              <w:widowControl/>
              <w:jc w:val="center"/>
              <w:rPr>
                <w:color w:val="000000"/>
                <w:szCs w:val="21"/>
              </w:rPr>
            </w:pPr>
            <w:r>
              <w:rPr>
                <w:color w:val="000000"/>
                <w:szCs w:val="21"/>
              </w:rPr>
              <w:t>异位阻隔</w:t>
            </w:r>
          </w:p>
        </w:tc>
        <w:tc>
          <w:tcPr>
            <w:tcW w:w="621" w:type="pct"/>
            <w:tcBorders>
              <w:top w:val="nil"/>
              <w:left w:val="nil"/>
              <w:bottom w:val="nil"/>
              <w:right w:val="nil"/>
            </w:tcBorders>
            <w:shd w:val="clear" w:color="auto" w:fill="FFFFFF"/>
            <w:vAlign w:val="center"/>
          </w:tcPr>
          <w:p w14:paraId="3C7B5E27">
            <w:pPr>
              <w:widowControl/>
              <w:jc w:val="center"/>
              <w:rPr>
                <w:color w:val="000000"/>
                <w:szCs w:val="21"/>
              </w:rPr>
            </w:pPr>
            <w:r>
              <w:rPr>
                <w:color w:val="000000"/>
                <w:szCs w:val="21"/>
              </w:rPr>
              <w:t>风险管控</w:t>
            </w:r>
          </w:p>
        </w:tc>
        <w:tc>
          <w:tcPr>
            <w:tcW w:w="387" w:type="pct"/>
            <w:tcBorders>
              <w:top w:val="nil"/>
              <w:left w:val="nil"/>
              <w:bottom w:val="nil"/>
              <w:right w:val="nil"/>
            </w:tcBorders>
            <w:shd w:val="clear" w:color="auto" w:fill="FFFFFF"/>
            <w:vAlign w:val="center"/>
          </w:tcPr>
          <w:p w14:paraId="63D7C93F">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68504FE0">
            <w:pPr>
              <w:widowControl/>
              <w:jc w:val="center"/>
              <w:rPr>
                <w:color w:val="000000"/>
                <w:szCs w:val="21"/>
              </w:rPr>
            </w:pPr>
            <w:r>
              <w:rPr>
                <w:color w:val="000000"/>
                <w:szCs w:val="21"/>
              </w:rPr>
              <w:t>易溶性污染物</w:t>
            </w:r>
          </w:p>
        </w:tc>
        <w:tc>
          <w:tcPr>
            <w:tcW w:w="652" w:type="pct"/>
            <w:tcBorders>
              <w:top w:val="nil"/>
              <w:left w:val="nil"/>
              <w:bottom w:val="nil"/>
              <w:right w:val="nil"/>
            </w:tcBorders>
            <w:shd w:val="clear" w:color="auto" w:fill="FFFFFF"/>
            <w:vAlign w:val="center"/>
          </w:tcPr>
          <w:p w14:paraId="6C1523FB">
            <w:pPr>
              <w:widowControl/>
              <w:jc w:val="center"/>
              <w:rPr>
                <w:color w:val="000000"/>
                <w:szCs w:val="21"/>
              </w:rPr>
            </w:pPr>
            <w:r>
              <w:rPr>
                <w:rFonts w:eastAsia="等线"/>
                <w:color w:val="000000"/>
                <w:szCs w:val="21"/>
              </w:rPr>
              <w:t>/</w:t>
            </w:r>
          </w:p>
        </w:tc>
      </w:tr>
      <w:tr w14:paraId="7720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12EEBAB7">
            <w:pPr>
              <w:widowControl/>
              <w:jc w:val="center"/>
              <w:rPr>
                <w:color w:val="000000"/>
                <w:szCs w:val="21"/>
              </w:rPr>
            </w:pPr>
            <w:r>
              <w:rPr>
                <w:color w:val="000000"/>
                <w:szCs w:val="21"/>
              </w:rPr>
              <w:t>原位固化稳定化</w:t>
            </w:r>
          </w:p>
        </w:tc>
        <w:tc>
          <w:tcPr>
            <w:tcW w:w="621" w:type="pct"/>
            <w:tcBorders>
              <w:top w:val="nil"/>
              <w:left w:val="nil"/>
              <w:bottom w:val="nil"/>
              <w:right w:val="nil"/>
            </w:tcBorders>
            <w:shd w:val="clear" w:color="auto" w:fill="FFFFFF"/>
            <w:vAlign w:val="center"/>
          </w:tcPr>
          <w:p w14:paraId="6B7DCA28">
            <w:pPr>
              <w:widowControl/>
              <w:jc w:val="center"/>
              <w:rPr>
                <w:color w:val="000000"/>
                <w:szCs w:val="21"/>
              </w:rPr>
            </w:pPr>
            <w:r>
              <w:rPr>
                <w:color w:val="000000"/>
                <w:szCs w:val="21"/>
              </w:rPr>
              <w:t>风险管控</w:t>
            </w:r>
          </w:p>
        </w:tc>
        <w:tc>
          <w:tcPr>
            <w:tcW w:w="387" w:type="pct"/>
            <w:tcBorders>
              <w:top w:val="nil"/>
              <w:left w:val="nil"/>
              <w:bottom w:val="nil"/>
              <w:right w:val="nil"/>
            </w:tcBorders>
            <w:shd w:val="clear" w:color="auto" w:fill="FFFFFF"/>
            <w:vAlign w:val="center"/>
          </w:tcPr>
          <w:p w14:paraId="53C162E8">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3CFC3A38">
            <w:pPr>
              <w:widowControl/>
              <w:jc w:val="center"/>
              <w:rPr>
                <w:color w:val="000000"/>
                <w:szCs w:val="21"/>
              </w:rPr>
            </w:pPr>
            <w:r>
              <w:rPr>
                <w:color w:val="000000"/>
                <w:szCs w:val="21"/>
              </w:rPr>
              <w:t>挥发性有机物、半挥发性有机物</w:t>
            </w:r>
          </w:p>
        </w:tc>
        <w:tc>
          <w:tcPr>
            <w:tcW w:w="652" w:type="pct"/>
            <w:tcBorders>
              <w:top w:val="nil"/>
              <w:left w:val="nil"/>
              <w:bottom w:val="nil"/>
              <w:right w:val="nil"/>
            </w:tcBorders>
            <w:shd w:val="clear" w:color="auto" w:fill="FFFFFF"/>
            <w:vAlign w:val="center"/>
          </w:tcPr>
          <w:p w14:paraId="33524B50">
            <w:pPr>
              <w:widowControl/>
              <w:jc w:val="center"/>
              <w:rPr>
                <w:color w:val="000000"/>
                <w:szCs w:val="21"/>
              </w:rPr>
            </w:pPr>
            <w:r>
              <w:rPr>
                <w:rFonts w:eastAsia="等线"/>
                <w:color w:val="000000"/>
                <w:szCs w:val="21"/>
              </w:rPr>
              <w:t>/</w:t>
            </w:r>
          </w:p>
        </w:tc>
      </w:tr>
      <w:tr w14:paraId="05F7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24D851E3">
            <w:pPr>
              <w:widowControl/>
              <w:jc w:val="center"/>
              <w:rPr>
                <w:color w:val="000000"/>
                <w:szCs w:val="21"/>
              </w:rPr>
            </w:pPr>
            <w:r>
              <w:rPr>
                <w:color w:val="000000"/>
                <w:szCs w:val="21"/>
              </w:rPr>
              <w:t>异位固化稳定化</w:t>
            </w:r>
          </w:p>
        </w:tc>
        <w:tc>
          <w:tcPr>
            <w:tcW w:w="621" w:type="pct"/>
            <w:tcBorders>
              <w:top w:val="nil"/>
              <w:left w:val="nil"/>
              <w:bottom w:val="nil"/>
              <w:right w:val="nil"/>
            </w:tcBorders>
            <w:shd w:val="clear" w:color="auto" w:fill="FFFFFF"/>
            <w:vAlign w:val="center"/>
          </w:tcPr>
          <w:p w14:paraId="19CA2757">
            <w:pPr>
              <w:widowControl/>
              <w:jc w:val="center"/>
              <w:rPr>
                <w:color w:val="000000"/>
                <w:szCs w:val="21"/>
              </w:rPr>
            </w:pPr>
            <w:r>
              <w:rPr>
                <w:color w:val="000000"/>
                <w:szCs w:val="21"/>
              </w:rPr>
              <w:t>风险管控</w:t>
            </w:r>
          </w:p>
        </w:tc>
        <w:tc>
          <w:tcPr>
            <w:tcW w:w="387" w:type="pct"/>
            <w:tcBorders>
              <w:top w:val="nil"/>
              <w:left w:val="nil"/>
              <w:bottom w:val="nil"/>
              <w:right w:val="nil"/>
            </w:tcBorders>
            <w:shd w:val="clear" w:color="auto" w:fill="FFFFFF"/>
            <w:vAlign w:val="center"/>
          </w:tcPr>
          <w:p w14:paraId="7B53FF15">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606DB799">
            <w:pPr>
              <w:widowControl/>
              <w:jc w:val="center"/>
              <w:rPr>
                <w:color w:val="000000"/>
                <w:szCs w:val="21"/>
              </w:rPr>
            </w:pPr>
            <w:r>
              <w:rPr>
                <w:color w:val="000000"/>
                <w:szCs w:val="21"/>
              </w:rPr>
              <w:t>挥发性有机物、半挥发性有机物</w:t>
            </w:r>
          </w:p>
        </w:tc>
        <w:tc>
          <w:tcPr>
            <w:tcW w:w="652" w:type="pct"/>
            <w:tcBorders>
              <w:top w:val="nil"/>
              <w:left w:val="nil"/>
              <w:bottom w:val="nil"/>
              <w:right w:val="nil"/>
            </w:tcBorders>
            <w:shd w:val="clear" w:color="auto" w:fill="FFFFFF"/>
            <w:vAlign w:val="center"/>
          </w:tcPr>
          <w:p w14:paraId="6C2942DE">
            <w:pPr>
              <w:widowControl/>
              <w:jc w:val="center"/>
              <w:rPr>
                <w:color w:val="000000"/>
                <w:szCs w:val="21"/>
              </w:rPr>
            </w:pPr>
            <w:r>
              <w:rPr>
                <w:rFonts w:eastAsia="等线"/>
                <w:color w:val="000000"/>
                <w:szCs w:val="21"/>
              </w:rPr>
              <w:t>/</w:t>
            </w:r>
          </w:p>
        </w:tc>
      </w:tr>
      <w:tr w14:paraId="3FC8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787DEB03">
            <w:pPr>
              <w:widowControl/>
              <w:jc w:val="center"/>
              <w:rPr>
                <w:color w:val="000000"/>
                <w:szCs w:val="21"/>
              </w:rPr>
            </w:pPr>
            <w:r>
              <w:rPr>
                <w:color w:val="000000"/>
                <w:szCs w:val="21"/>
              </w:rPr>
              <w:t>原位热脱附</w:t>
            </w:r>
          </w:p>
        </w:tc>
        <w:tc>
          <w:tcPr>
            <w:tcW w:w="621" w:type="pct"/>
            <w:tcBorders>
              <w:top w:val="nil"/>
              <w:left w:val="nil"/>
              <w:bottom w:val="nil"/>
              <w:right w:val="nil"/>
            </w:tcBorders>
            <w:shd w:val="clear" w:color="auto" w:fill="FFFFFF"/>
            <w:vAlign w:val="center"/>
          </w:tcPr>
          <w:p w14:paraId="11ADC8EE">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5302093C">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1029142C">
            <w:pPr>
              <w:widowControl/>
              <w:jc w:val="center"/>
              <w:rPr>
                <w:color w:val="000000"/>
                <w:szCs w:val="21"/>
              </w:rPr>
            </w:pPr>
            <w:r>
              <w:rPr>
                <w:color w:val="000000"/>
                <w:szCs w:val="21"/>
              </w:rPr>
              <w:t>腐蚀性污染物、重金属及无机物（汞除外）</w:t>
            </w:r>
          </w:p>
        </w:tc>
        <w:tc>
          <w:tcPr>
            <w:tcW w:w="652" w:type="pct"/>
            <w:tcBorders>
              <w:top w:val="nil"/>
              <w:left w:val="nil"/>
              <w:bottom w:val="nil"/>
              <w:right w:val="nil"/>
            </w:tcBorders>
            <w:shd w:val="clear" w:color="auto" w:fill="FFFFFF"/>
            <w:vAlign w:val="center"/>
          </w:tcPr>
          <w:p w14:paraId="12F79981">
            <w:pPr>
              <w:widowControl/>
              <w:jc w:val="center"/>
              <w:rPr>
                <w:color w:val="000000"/>
                <w:szCs w:val="21"/>
              </w:rPr>
            </w:pPr>
            <w:r>
              <w:rPr>
                <w:rFonts w:eastAsia="等线"/>
                <w:color w:val="000000"/>
                <w:szCs w:val="21"/>
              </w:rPr>
              <w:t>/</w:t>
            </w:r>
          </w:p>
        </w:tc>
      </w:tr>
      <w:tr w14:paraId="38B8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0F03BBE0">
            <w:pPr>
              <w:widowControl/>
              <w:jc w:val="center"/>
              <w:rPr>
                <w:color w:val="000000"/>
                <w:szCs w:val="21"/>
              </w:rPr>
            </w:pPr>
            <w:r>
              <w:rPr>
                <w:color w:val="000000"/>
                <w:szCs w:val="21"/>
              </w:rPr>
              <w:t>异位热脱附</w:t>
            </w:r>
          </w:p>
        </w:tc>
        <w:tc>
          <w:tcPr>
            <w:tcW w:w="621" w:type="pct"/>
            <w:tcBorders>
              <w:top w:val="nil"/>
              <w:left w:val="nil"/>
              <w:bottom w:val="nil"/>
              <w:right w:val="nil"/>
            </w:tcBorders>
            <w:shd w:val="clear" w:color="auto" w:fill="FFFFFF"/>
            <w:vAlign w:val="center"/>
          </w:tcPr>
          <w:p w14:paraId="1D4B3414">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6919A37A">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17A172B6">
            <w:pPr>
              <w:widowControl/>
              <w:jc w:val="center"/>
              <w:rPr>
                <w:color w:val="000000"/>
                <w:szCs w:val="21"/>
              </w:rPr>
            </w:pPr>
            <w:r>
              <w:rPr>
                <w:color w:val="000000"/>
                <w:szCs w:val="21"/>
              </w:rPr>
              <w:t>腐蚀性污染物、重金属及无机物（汞除外）</w:t>
            </w:r>
          </w:p>
        </w:tc>
        <w:tc>
          <w:tcPr>
            <w:tcW w:w="652" w:type="pct"/>
            <w:tcBorders>
              <w:top w:val="nil"/>
              <w:left w:val="nil"/>
              <w:bottom w:val="nil"/>
              <w:right w:val="nil"/>
            </w:tcBorders>
            <w:shd w:val="clear" w:color="auto" w:fill="FFFFFF"/>
            <w:vAlign w:val="center"/>
          </w:tcPr>
          <w:p w14:paraId="27BA7F78">
            <w:pPr>
              <w:widowControl/>
              <w:jc w:val="center"/>
              <w:rPr>
                <w:color w:val="000000"/>
                <w:szCs w:val="21"/>
              </w:rPr>
            </w:pPr>
            <w:r>
              <w:rPr>
                <w:rFonts w:eastAsia="等线"/>
                <w:color w:val="000000"/>
                <w:szCs w:val="21"/>
              </w:rPr>
              <w:t>/</w:t>
            </w:r>
          </w:p>
        </w:tc>
      </w:tr>
      <w:tr w14:paraId="57B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276DD68C">
            <w:pPr>
              <w:widowControl/>
              <w:jc w:val="center"/>
              <w:rPr>
                <w:color w:val="000000"/>
                <w:szCs w:val="21"/>
              </w:rPr>
            </w:pPr>
            <w:r>
              <w:rPr>
                <w:color w:val="000000"/>
                <w:szCs w:val="21"/>
              </w:rPr>
              <w:t>工业窑炉协同处置</w:t>
            </w:r>
          </w:p>
        </w:tc>
        <w:tc>
          <w:tcPr>
            <w:tcW w:w="621" w:type="pct"/>
            <w:tcBorders>
              <w:top w:val="nil"/>
              <w:left w:val="nil"/>
              <w:bottom w:val="nil"/>
              <w:right w:val="nil"/>
            </w:tcBorders>
            <w:shd w:val="clear" w:color="auto" w:fill="FFFFFF"/>
            <w:vAlign w:val="center"/>
          </w:tcPr>
          <w:p w14:paraId="3BCC7900">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2E4ABB0F">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03F701EC">
            <w:pPr>
              <w:widowControl/>
              <w:jc w:val="center"/>
              <w:rPr>
                <w:color w:val="000000"/>
                <w:szCs w:val="21"/>
              </w:rPr>
            </w:pPr>
            <w:r>
              <w:rPr>
                <w:rFonts w:eastAsia="等线"/>
                <w:color w:val="000000"/>
                <w:szCs w:val="21"/>
              </w:rPr>
              <w:t>/</w:t>
            </w:r>
          </w:p>
        </w:tc>
        <w:tc>
          <w:tcPr>
            <w:tcW w:w="652" w:type="pct"/>
            <w:tcBorders>
              <w:top w:val="nil"/>
              <w:left w:val="nil"/>
              <w:bottom w:val="nil"/>
              <w:right w:val="nil"/>
            </w:tcBorders>
            <w:shd w:val="clear" w:color="auto" w:fill="FFFFFF"/>
            <w:vAlign w:val="center"/>
          </w:tcPr>
          <w:p w14:paraId="36117B8C">
            <w:pPr>
              <w:widowControl/>
              <w:jc w:val="center"/>
              <w:rPr>
                <w:color w:val="000000"/>
                <w:szCs w:val="21"/>
              </w:rPr>
            </w:pPr>
            <w:r>
              <w:rPr>
                <w:rFonts w:eastAsia="等线"/>
                <w:color w:val="000000"/>
                <w:szCs w:val="21"/>
              </w:rPr>
              <w:t>/</w:t>
            </w:r>
          </w:p>
        </w:tc>
      </w:tr>
      <w:tr w14:paraId="1C47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1D2193D0">
            <w:pPr>
              <w:widowControl/>
              <w:jc w:val="center"/>
              <w:rPr>
                <w:color w:val="000000"/>
                <w:szCs w:val="21"/>
              </w:rPr>
            </w:pPr>
            <w:r>
              <w:rPr>
                <w:color w:val="000000"/>
                <w:szCs w:val="21"/>
              </w:rPr>
              <w:t>玻璃化</w:t>
            </w:r>
          </w:p>
        </w:tc>
        <w:tc>
          <w:tcPr>
            <w:tcW w:w="621" w:type="pct"/>
            <w:tcBorders>
              <w:top w:val="nil"/>
              <w:left w:val="nil"/>
              <w:bottom w:val="nil"/>
              <w:right w:val="nil"/>
            </w:tcBorders>
            <w:shd w:val="clear" w:color="auto" w:fill="FFFFFF"/>
            <w:vAlign w:val="center"/>
          </w:tcPr>
          <w:p w14:paraId="2C3056C0">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557CC277">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2E3D2A58">
            <w:pPr>
              <w:widowControl/>
              <w:jc w:val="center"/>
              <w:rPr>
                <w:color w:val="000000"/>
                <w:szCs w:val="21"/>
              </w:rPr>
            </w:pPr>
            <w:r>
              <w:rPr>
                <w:rFonts w:eastAsia="等线"/>
                <w:color w:val="000000"/>
                <w:szCs w:val="21"/>
              </w:rPr>
              <w:t>/</w:t>
            </w:r>
          </w:p>
        </w:tc>
        <w:tc>
          <w:tcPr>
            <w:tcW w:w="652" w:type="pct"/>
            <w:tcBorders>
              <w:top w:val="nil"/>
              <w:left w:val="nil"/>
              <w:bottom w:val="nil"/>
              <w:right w:val="nil"/>
            </w:tcBorders>
            <w:shd w:val="clear" w:color="auto" w:fill="FFFFFF"/>
            <w:vAlign w:val="center"/>
          </w:tcPr>
          <w:p w14:paraId="7B8E4702">
            <w:pPr>
              <w:widowControl/>
              <w:jc w:val="center"/>
              <w:rPr>
                <w:color w:val="000000"/>
                <w:szCs w:val="21"/>
              </w:rPr>
            </w:pPr>
            <w:r>
              <w:rPr>
                <w:rFonts w:eastAsia="等线"/>
                <w:color w:val="000000"/>
                <w:szCs w:val="21"/>
              </w:rPr>
              <w:t>/</w:t>
            </w:r>
          </w:p>
        </w:tc>
      </w:tr>
      <w:bookmarkEnd w:id="65"/>
      <w:tr w14:paraId="47FB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6F5C6C8C">
            <w:pPr>
              <w:widowControl/>
              <w:jc w:val="center"/>
              <w:rPr>
                <w:color w:val="000000"/>
                <w:szCs w:val="21"/>
              </w:rPr>
            </w:pPr>
            <w:r>
              <w:rPr>
                <w:color w:val="000000"/>
                <w:szCs w:val="21"/>
              </w:rPr>
              <w:t>气相抽提</w:t>
            </w:r>
          </w:p>
        </w:tc>
        <w:tc>
          <w:tcPr>
            <w:tcW w:w="621" w:type="pct"/>
            <w:tcBorders>
              <w:top w:val="nil"/>
              <w:left w:val="nil"/>
              <w:bottom w:val="nil"/>
              <w:right w:val="nil"/>
            </w:tcBorders>
            <w:shd w:val="clear" w:color="auto" w:fill="FFFFFF"/>
            <w:vAlign w:val="center"/>
          </w:tcPr>
          <w:p w14:paraId="47BD2168">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3DB77803">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4283CDC7">
            <w:pPr>
              <w:widowControl/>
              <w:jc w:val="center"/>
              <w:rPr>
                <w:color w:val="000000"/>
                <w:szCs w:val="21"/>
              </w:rPr>
            </w:pPr>
            <w:r>
              <w:rPr>
                <w:color w:val="000000"/>
                <w:szCs w:val="21"/>
              </w:rPr>
              <w:t>重金属及无机物</w:t>
            </w:r>
          </w:p>
        </w:tc>
        <w:tc>
          <w:tcPr>
            <w:tcW w:w="652" w:type="pct"/>
            <w:tcBorders>
              <w:top w:val="nil"/>
              <w:left w:val="nil"/>
              <w:bottom w:val="nil"/>
              <w:right w:val="nil"/>
            </w:tcBorders>
            <w:shd w:val="clear" w:color="auto" w:fill="FFFFFF"/>
            <w:vAlign w:val="center"/>
          </w:tcPr>
          <w:p w14:paraId="557A1818">
            <w:pPr>
              <w:widowControl/>
              <w:jc w:val="center"/>
              <w:rPr>
                <w:color w:val="000000"/>
                <w:szCs w:val="21"/>
              </w:rPr>
            </w:pPr>
            <w:r>
              <w:rPr>
                <w:color w:val="000000"/>
                <w:szCs w:val="21"/>
              </w:rPr>
              <w:t>粘土</w:t>
            </w:r>
          </w:p>
        </w:tc>
      </w:tr>
      <w:tr w14:paraId="0CC3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0AA7D599">
            <w:pPr>
              <w:widowControl/>
              <w:jc w:val="center"/>
              <w:rPr>
                <w:color w:val="000000"/>
                <w:szCs w:val="21"/>
              </w:rPr>
            </w:pPr>
            <w:r>
              <w:rPr>
                <w:color w:val="000000"/>
                <w:szCs w:val="21"/>
              </w:rPr>
              <w:t>电动修复</w:t>
            </w:r>
          </w:p>
        </w:tc>
        <w:tc>
          <w:tcPr>
            <w:tcW w:w="621" w:type="pct"/>
            <w:tcBorders>
              <w:top w:val="nil"/>
              <w:left w:val="nil"/>
              <w:bottom w:val="nil"/>
              <w:right w:val="nil"/>
            </w:tcBorders>
            <w:shd w:val="clear" w:color="auto" w:fill="FFFFFF"/>
            <w:vAlign w:val="center"/>
          </w:tcPr>
          <w:p w14:paraId="63BA01FB">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71EAEB3F">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5C4FD3C2">
            <w:pPr>
              <w:widowControl/>
              <w:jc w:val="center"/>
              <w:rPr>
                <w:color w:val="000000"/>
                <w:szCs w:val="21"/>
              </w:rPr>
            </w:pPr>
            <w:r>
              <w:rPr>
                <w:color w:val="000000"/>
                <w:szCs w:val="21"/>
              </w:rPr>
              <w:t>难溶性有机污染物、石油烃</w:t>
            </w:r>
          </w:p>
        </w:tc>
        <w:tc>
          <w:tcPr>
            <w:tcW w:w="652" w:type="pct"/>
            <w:tcBorders>
              <w:top w:val="nil"/>
              <w:left w:val="nil"/>
              <w:bottom w:val="nil"/>
              <w:right w:val="nil"/>
            </w:tcBorders>
            <w:shd w:val="clear" w:color="auto" w:fill="FFFFFF"/>
            <w:vAlign w:val="center"/>
          </w:tcPr>
          <w:p w14:paraId="7D7BADB0">
            <w:pPr>
              <w:widowControl/>
              <w:jc w:val="center"/>
              <w:rPr>
                <w:color w:val="000000"/>
                <w:szCs w:val="21"/>
              </w:rPr>
            </w:pPr>
            <w:r>
              <w:rPr>
                <w:rFonts w:eastAsia="等线"/>
                <w:color w:val="000000"/>
                <w:szCs w:val="21"/>
              </w:rPr>
              <w:t>/</w:t>
            </w:r>
          </w:p>
        </w:tc>
      </w:tr>
      <w:tr w14:paraId="2F63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36DE9E23">
            <w:pPr>
              <w:widowControl/>
              <w:jc w:val="center"/>
              <w:rPr>
                <w:color w:val="000000"/>
                <w:szCs w:val="21"/>
              </w:rPr>
            </w:pPr>
            <w:r>
              <w:rPr>
                <w:color w:val="000000"/>
                <w:szCs w:val="21"/>
              </w:rPr>
              <w:t>原位化学氧化</w:t>
            </w:r>
          </w:p>
        </w:tc>
        <w:tc>
          <w:tcPr>
            <w:tcW w:w="621" w:type="pct"/>
            <w:tcBorders>
              <w:top w:val="nil"/>
              <w:left w:val="nil"/>
              <w:bottom w:val="nil"/>
              <w:right w:val="nil"/>
            </w:tcBorders>
            <w:shd w:val="clear" w:color="auto" w:fill="FFFFFF"/>
            <w:vAlign w:val="center"/>
          </w:tcPr>
          <w:p w14:paraId="15656B4D">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6ED2207E">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0E357278">
            <w:pPr>
              <w:widowControl/>
              <w:jc w:val="center"/>
              <w:rPr>
                <w:color w:val="000000"/>
                <w:szCs w:val="21"/>
              </w:rPr>
            </w:pPr>
            <w:r>
              <w:rPr>
                <w:color w:val="000000"/>
                <w:szCs w:val="21"/>
              </w:rPr>
              <w:t>重金属及无机物（除氰化物）、氯代有机物（除氯代有机溶剂）</w:t>
            </w:r>
          </w:p>
        </w:tc>
        <w:tc>
          <w:tcPr>
            <w:tcW w:w="652" w:type="pct"/>
            <w:tcBorders>
              <w:top w:val="nil"/>
              <w:left w:val="nil"/>
              <w:bottom w:val="nil"/>
              <w:right w:val="nil"/>
            </w:tcBorders>
            <w:shd w:val="clear" w:color="auto" w:fill="FFFFFF"/>
            <w:vAlign w:val="center"/>
          </w:tcPr>
          <w:p w14:paraId="33752044">
            <w:pPr>
              <w:widowControl/>
              <w:jc w:val="center"/>
              <w:rPr>
                <w:color w:val="000000"/>
                <w:szCs w:val="21"/>
              </w:rPr>
            </w:pPr>
            <w:r>
              <w:rPr>
                <w:rFonts w:eastAsia="等线"/>
                <w:color w:val="000000"/>
                <w:szCs w:val="21"/>
              </w:rPr>
              <w:t>/</w:t>
            </w:r>
          </w:p>
        </w:tc>
      </w:tr>
      <w:tr w14:paraId="4628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191D3B83">
            <w:pPr>
              <w:widowControl/>
              <w:jc w:val="center"/>
              <w:rPr>
                <w:color w:val="000000"/>
                <w:szCs w:val="21"/>
              </w:rPr>
            </w:pPr>
            <w:r>
              <w:rPr>
                <w:color w:val="000000"/>
                <w:szCs w:val="21"/>
              </w:rPr>
              <w:t>异位化学氧化</w:t>
            </w:r>
          </w:p>
        </w:tc>
        <w:tc>
          <w:tcPr>
            <w:tcW w:w="621" w:type="pct"/>
            <w:tcBorders>
              <w:top w:val="nil"/>
              <w:left w:val="nil"/>
              <w:bottom w:val="nil"/>
              <w:right w:val="nil"/>
            </w:tcBorders>
            <w:shd w:val="clear" w:color="auto" w:fill="FFFFFF"/>
            <w:vAlign w:val="center"/>
          </w:tcPr>
          <w:p w14:paraId="1180DC6C">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1794C7D2">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41C279B0">
            <w:pPr>
              <w:widowControl/>
              <w:jc w:val="center"/>
              <w:rPr>
                <w:color w:val="000000"/>
                <w:szCs w:val="21"/>
              </w:rPr>
            </w:pPr>
            <w:r>
              <w:rPr>
                <w:color w:val="000000"/>
                <w:szCs w:val="21"/>
              </w:rPr>
              <w:t>重金属及无机物（除氰化物）、氯代有机物（除氯代有机溶剂）</w:t>
            </w:r>
          </w:p>
        </w:tc>
        <w:tc>
          <w:tcPr>
            <w:tcW w:w="652" w:type="pct"/>
            <w:tcBorders>
              <w:top w:val="nil"/>
              <w:left w:val="nil"/>
              <w:bottom w:val="nil"/>
              <w:right w:val="nil"/>
            </w:tcBorders>
            <w:shd w:val="clear" w:color="auto" w:fill="FFFFFF"/>
            <w:vAlign w:val="center"/>
          </w:tcPr>
          <w:p w14:paraId="5CC329D4">
            <w:pPr>
              <w:widowControl/>
              <w:jc w:val="center"/>
              <w:rPr>
                <w:color w:val="000000"/>
                <w:szCs w:val="21"/>
              </w:rPr>
            </w:pPr>
            <w:r>
              <w:rPr>
                <w:rFonts w:eastAsia="等线"/>
                <w:color w:val="000000"/>
                <w:szCs w:val="21"/>
              </w:rPr>
              <w:t>/</w:t>
            </w:r>
          </w:p>
        </w:tc>
      </w:tr>
      <w:tr w14:paraId="19D7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1FEEE557">
            <w:pPr>
              <w:widowControl/>
              <w:jc w:val="center"/>
              <w:rPr>
                <w:color w:val="000000"/>
                <w:szCs w:val="21"/>
              </w:rPr>
            </w:pPr>
            <w:r>
              <w:rPr>
                <w:color w:val="000000"/>
                <w:szCs w:val="21"/>
              </w:rPr>
              <w:t>原位化学还原</w:t>
            </w:r>
          </w:p>
        </w:tc>
        <w:tc>
          <w:tcPr>
            <w:tcW w:w="621" w:type="pct"/>
            <w:tcBorders>
              <w:top w:val="nil"/>
              <w:left w:val="nil"/>
              <w:bottom w:val="nil"/>
              <w:right w:val="nil"/>
            </w:tcBorders>
            <w:shd w:val="clear" w:color="auto" w:fill="FFFFFF"/>
            <w:vAlign w:val="center"/>
          </w:tcPr>
          <w:p w14:paraId="2AE0F01B">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126809D0">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3C4D2769">
            <w:pPr>
              <w:widowControl/>
              <w:jc w:val="center"/>
              <w:rPr>
                <w:color w:val="000000"/>
                <w:szCs w:val="21"/>
              </w:rPr>
            </w:pPr>
            <w:r>
              <w:rPr>
                <w:color w:val="000000"/>
                <w:szCs w:val="21"/>
              </w:rPr>
              <w:t>挥发性有机物+半挥发性有机物（除氯代有机物）、石油烃</w:t>
            </w:r>
          </w:p>
        </w:tc>
        <w:tc>
          <w:tcPr>
            <w:tcW w:w="652" w:type="pct"/>
            <w:tcBorders>
              <w:top w:val="nil"/>
              <w:left w:val="nil"/>
              <w:bottom w:val="nil"/>
              <w:right w:val="nil"/>
            </w:tcBorders>
            <w:shd w:val="clear" w:color="auto" w:fill="FFFFFF"/>
            <w:vAlign w:val="center"/>
          </w:tcPr>
          <w:p w14:paraId="76EDBF7B">
            <w:pPr>
              <w:widowControl/>
              <w:jc w:val="center"/>
              <w:rPr>
                <w:color w:val="000000"/>
                <w:szCs w:val="21"/>
              </w:rPr>
            </w:pPr>
            <w:r>
              <w:rPr>
                <w:rFonts w:eastAsia="等线"/>
                <w:color w:val="000000"/>
                <w:szCs w:val="21"/>
              </w:rPr>
              <w:t>/</w:t>
            </w:r>
          </w:p>
        </w:tc>
      </w:tr>
      <w:tr w14:paraId="0791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087ED913">
            <w:pPr>
              <w:widowControl/>
              <w:jc w:val="center"/>
              <w:rPr>
                <w:color w:val="000000"/>
                <w:szCs w:val="21"/>
              </w:rPr>
            </w:pPr>
            <w:r>
              <w:rPr>
                <w:color w:val="000000"/>
                <w:szCs w:val="21"/>
              </w:rPr>
              <w:t>异位化学还原</w:t>
            </w:r>
          </w:p>
        </w:tc>
        <w:tc>
          <w:tcPr>
            <w:tcW w:w="621" w:type="pct"/>
            <w:tcBorders>
              <w:top w:val="nil"/>
              <w:left w:val="nil"/>
              <w:bottom w:val="nil"/>
              <w:right w:val="nil"/>
            </w:tcBorders>
            <w:shd w:val="clear" w:color="auto" w:fill="FFFFFF"/>
            <w:vAlign w:val="center"/>
          </w:tcPr>
          <w:p w14:paraId="055A5C36">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769040D5">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17141495">
            <w:pPr>
              <w:widowControl/>
              <w:jc w:val="center"/>
              <w:rPr>
                <w:color w:val="000000"/>
                <w:szCs w:val="21"/>
              </w:rPr>
            </w:pPr>
            <w:r>
              <w:rPr>
                <w:color w:val="000000"/>
                <w:szCs w:val="21"/>
              </w:rPr>
              <w:t>挥发性有机物+半挥发性有机物（除氯代有机物）、石油烃</w:t>
            </w:r>
          </w:p>
        </w:tc>
        <w:tc>
          <w:tcPr>
            <w:tcW w:w="652" w:type="pct"/>
            <w:tcBorders>
              <w:top w:val="nil"/>
              <w:left w:val="nil"/>
              <w:bottom w:val="nil"/>
              <w:right w:val="nil"/>
            </w:tcBorders>
            <w:shd w:val="clear" w:color="auto" w:fill="FFFFFF"/>
            <w:vAlign w:val="center"/>
          </w:tcPr>
          <w:p w14:paraId="78664C80">
            <w:pPr>
              <w:widowControl/>
              <w:jc w:val="center"/>
              <w:rPr>
                <w:color w:val="000000"/>
                <w:szCs w:val="21"/>
              </w:rPr>
            </w:pPr>
            <w:r>
              <w:rPr>
                <w:rFonts w:eastAsia="等线"/>
                <w:color w:val="000000"/>
                <w:szCs w:val="21"/>
              </w:rPr>
              <w:t>/</w:t>
            </w:r>
          </w:p>
        </w:tc>
      </w:tr>
      <w:tr w14:paraId="084A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7EE94F68">
            <w:pPr>
              <w:widowControl/>
              <w:jc w:val="center"/>
              <w:rPr>
                <w:color w:val="000000"/>
                <w:szCs w:val="21"/>
              </w:rPr>
            </w:pPr>
            <w:r>
              <w:rPr>
                <w:color w:val="000000"/>
                <w:szCs w:val="21"/>
              </w:rPr>
              <w:t>原位土壤淋洗</w:t>
            </w:r>
          </w:p>
        </w:tc>
        <w:tc>
          <w:tcPr>
            <w:tcW w:w="621" w:type="pct"/>
            <w:tcBorders>
              <w:top w:val="nil"/>
              <w:left w:val="nil"/>
              <w:bottom w:val="nil"/>
              <w:right w:val="nil"/>
            </w:tcBorders>
            <w:shd w:val="clear" w:color="auto" w:fill="FFFFFF"/>
            <w:vAlign w:val="center"/>
          </w:tcPr>
          <w:p w14:paraId="57984FCD">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093A519B">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1D594A87">
            <w:pPr>
              <w:widowControl/>
              <w:jc w:val="center"/>
              <w:rPr>
                <w:color w:val="000000"/>
                <w:szCs w:val="21"/>
              </w:rPr>
            </w:pPr>
            <w:r>
              <w:rPr>
                <w:rFonts w:eastAsia="等线"/>
                <w:color w:val="000000"/>
                <w:szCs w:val="21"/>
              </w:rPr>
              <w:t>/</w:t>
            </w:r>
          </w:p>
        </w:tc>
        <w:tc>
          <w:tcPr>
            <w:tcW w:w="652" w:type="pct"/>
            <w:tcBorders>
              <w:top w:val="nil"/>
              <w:left w:val="nil"/>
              <w:bottom w:val="nil"/>
              <w:right w:val="nil"/>
            </w:tcBorders>
            <w:shd w:val="clear" w:color="auto" w:fill="FFFFFF"/>
            <w:vAlign w:val="center"/>
          </w:tcPr>
          <w:p w14:paraId="058CDEC2">
            <w:pPr>
              <w:widowControl/>
              <w:jc w:val="center"/>
              <w:rPr>
                <w:color w:val="000000"/>
                <w:szCs w:val="21"/>
              </w:rPr>
            </w:pPr>
            <w:r>
              <w:rPr>
                <w:color w:val="000000"/>
                <w:szCs w:val="21"/>
              </w:rPr>
              <w:t>粘土</w:t>
            </w:r>
          </w:p>
        </w:tc>
      </w:tr>
      <w:tr w14:paraId="09B1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2BD40D87">
            <w:pPr>
              <w:widowControl/>
              <w:jc w:val="center"/>
              <w:rPr>
                <w:color w:val="000000"/>
                <w:szCs w:val="21"/>
              </w:rPr>
            </w:pPr>
            <w:r>
              <w:rPr>
                <w:color w:val="000000"/>
                <w:szCs w:val="21"/>
              </w:rPr>
              <w:t>异位土壤洗脱</w:t>
            </w:r>
          </w:p>
        </w:tc>
        <w:tc>
          <w:tcPr>
            <w:tcW w:w="621" w:type="pct"/>
            <w:tcBorders>
              <w:top w:val="nil"/>
              <w:left w:val="nil"/>
              <w:bottom w:val="nil"/>
              <w:right w:val="nil"/>
            </w:tcBorders>
            <w:shd w:val="clear" w:color="auto" w:fill="FFFFFF"/>
            <w:vAlign w:val="center"/>
          </w:tcPr>
          <w:p w14:paraId="0117BCBA">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06AFE665">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2526545C">
            <w:pPr>
              <w:widowControl/>
              <w:jc w:val="center"/>
              <w:rPr>
                <w:color w:val="000000"/>
                <w:szCs w:val="21"/>
              </w:rPr>
            </w:pPr>
            <w:r>
              <w:rPr>
                <w:color w:val="000000"/>
                <w:szCs w:val="21"/>
              </w:rPr>
              <w:t>挥发性有机物、难溶性有机污染物</w:t>
            </w:r>
          </w:p>
        </w:tc>
        <w:tc>
          <w:tcPr>
            <w:tcW w:w="652" w:type="pct"/>
            <w:tcBorders>
              <w:top w:val="nil"/>
              <w:left w:val="nil"/>
              <w:bottom w:val="nil"/>
              <w:right w:val="nil"/>
            </w:tcBorders>
            <w:shd w:val="clear" w:color="auto" w:fill="FFFFFF"/>
            <w:vAlign w:val="center"/>
          </w:tcPr>
          <w:p w14:paraId="4A7F1E15">
            <w:pPr>
              <w:widowControl/>
              <w:jc w:val="center"/>
              <w:rPr>
                <w:color w:val="000000"/>
                <w:szCs w:val="21"/>
              </w:rPr>
            </w:pPr>
            <w:r>
              <w:rPr>
                <w:color w:val="000000"/>
                <w:szCs w:val="21"/>
              </w:rPr>
              <w:t>粘土</w:t>
            </w:r>
          </w:p>
        </w:tc>
      </w:tr>
      <w:tr w14:paraId="40C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08F22BD7">
            <w:pPr>
              <w:widowControl/>
              <w:jc w:val="center"/>
              <w:rPr>
                <w:color w:val="000000"/>
                <w:szCs w:val="21"/>
              </w:rPr>
            </w:pPr>
            <w:r>
              <w:rPr>
                <w:color w:val="000000"/>
                <w:szCs w:val="21"/>
              </w:rPr>
              <w:t>低温热解吸</w:t>
            </w:r>
          </w:p>
        </w:tc>
        <w:tc>
          <w:tcPr>
            <w:tcW w:w="621" w:type="pct"/>
            <w:tcBorders>
              <w:top w:val="nil"/>
              <w:left w:val="nil"/>
              <w:bottom w:val="nil"/>
              <w:right w:val="nil"/>
            </w:tcBorders>
            <w:shd w:val="clear" w:color="auto" w:fill="FFFFFF"/>
            <w:vAlign w:val="center"/>
          </w:tcPr>
          <w:p w14:paraId="4D888722">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09B50DC1">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01DD55E5">
            <w:pPr>
              <w:widowControl/>
              <w:jc w:val="center"/>
              <w:rPr>
                <w:color w:val="000000"/>
                <w:szCs w:val="21"/>
              </w:rPr>
            </w:pPr>
            <w:r>
              <w:rPr>
                <w:color w:val="000000"/>
                <w:szCs w:val="21"/>
              </w:rPr>
              <w:t>重金属及无机物、半挥发性有机物、石油烃</w:t>
            </w:r>
          </w:p>
        </w:tc>
        <w:tc>
          <w:tcPr>
            <w:tcW w:w="652" w:type="pct"/>
            <w:tcBorders>
              <w:top w:val="nil"/>
              <w:left w:val="nil"/>
              <w:bottom w:val="nil"/>
              <w:right w:val="nil"/>
            </w:tcBorders>
            <w:shd w:val="clear" w:color="auto" w:fill="FFFFFF"/>
            <w:vAlign w:val="center"/>
          </w:tcPr>
          <w:p w14:paraId="2334EF2F">
            <w:pPr>
              <w:widowControl/>
              <w:jc w:val="center"/>
              <w:rPr>
                <w:color w:val="000000"/>
                <w:szCs w:val="21"/>
              </w:rPr>
            </w:pPr>
            <w:r>
              <w:rPr>
                <w:rFonts w:eastAsia="等线"/>
                <w:color w:val="000000"/>
                <w:szCs w:val="21"/>
              </w:rPr>
              <w:t>/</w:t>
            </w:r>
          </w:p>
        </w:tc>
      </w:tr>
      <w:tr w14:paraId="5EA8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6E6FBE40">
            <w:pPr>
              <w:widowControl/>
              <w:jc w:val="center"/>
              <w:rPr>
                <w:color w:val="000000"/>
                <w:szCs w:val="21"/>
              </w:rPr>
            </w:pPr>
            <w:r>
              <w:rPr>
                <w:color w:val="000000"/>
                <w:szCs w:val="21"/>
              </w:rPr>
              <w:t>生物堆</w:t>
            </w:r>
          </w:p>
        </w:tc>
        <w:tc>
          <w:tcPr>
            <w:tcW w:w="621" w:type="pct"/>
            <w:tcBorders>
              <w:top w:val="nil"/>
              <w:left w:val="nil"/>
              <w:bottom w:val="nil"/>
              <w:right w:val="nil"/>
            </w:tcBorders>
            <w:shd w:val="clear" w:color="auto" w:fill="FFFFFF"/>
            <w:vAlign w:val="center"/>
          </w:tcPr>
          <w:p w14:paraId="4FE291FD">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420770C0">
            <w:pPr>
              <w:widowControl/>
              <w:jc w:val="center"/>
              <w:rPr>
                <w:color w:val="000000"/>
                <w:szCs w:val="21"/>
              </w:rPr>
            </w:pPr>
            <w:r>
              <w:rPr>
                <w:color w:val="000000"/>
                <w:szCs w:val="21"/>
              </w:rPr>
              <w:t>异位</w:t>
            </w:r>
          </w:p>
        </w:tc>
        <w:tc>
          <w:tcPr>
            <w:tcW w:w="2258" w:type="pct"/>
            <w:tcBorders>
              <w:top w:val="nil"/>
              <w:left w:val="nil"/>
              <w:bottom w:val="nil"/>
              <w:right w:val="nil"/>
            </w:tcBorders>
            <w:shd w:val="clear" w:color="auto" w:fill="FFFFFF"/>
            <w:vAlign w:val="center"/>
          </w:tcPr>
          <w:p w14:paraId="327D476C">
            <w:pPr>
              <w:widowControl/>
              <w:jc w:val="center"/>
              <w:rPr>
                <w:color w:val="000000"/>
                <w:szCs w:val="21"/>
              </w:rPr>
            </w:pPr>
            <w:r>
              <w:rPr>
                <w:color w:val="000000"/>
                <w:szCs w:val="21"/>
              </w:rPr>
              <w:t>重金属及无机物、难降解有机物</w:t>
            </w:r>
          </w:p>
        </w:tc>
        <w:tc>
          <w:tcPr>
            <w:tcW w:w="652" w:type="pct"/>
            <w:tcBorders>
              <w:top w:val="nil"/>
              <w:left w:val="nil"/>
              <w:bottom w:val="nil"/>
              <w:right w:val="nil"/>
            </w:tcBorders>
            <w:shd w:val="clear" w:color="auto" w:fill="FFFFFF"/>
            <w:vAlign w:val="center"/>
          </w:tcPr>
          <w:p w14:paraId="0B29D3A1">
            <w:pPr>
              <w:widowControl/>
              <w:jc w:val="center"/>
              <w:rPr>
                <w:color w:val="000000"/>
                <w:szCs w:val="21"/>
              </w:rPr>
            </w:pPr>
            <w:r>
              <w:rPr>
                <w:color w:val="000000"/>
                <w:szCs w:val="21"/>
              </w:rPr>
              <w:t>粘土</w:t>
            </w:r>
          </w:p>
        </w:tc>
      </w:tr>
      <w:tr w14:paraId="058B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nil"/>
              <w:right w:val="nil"/>
            </w:tcBorders>
            <w:shd w:val="clear" w:color="auto" w:fill="FFFFFF"/>
            <w:vAlign w:val="center"/>
          </w:tcPr>
          <w:p w14:paraId="7EC49B72">
            <w:pPr>
              <w:widowControl/>
              <w:jc w:val="center"/>
              <w:rPr>
                <w:color w:val="000000"/>
                <w:szCs w:val="21"/>
              </w:rPr>
            </w:pPr>
            <w:r>
              <w:rPr>
                <w:color w:val="000000"/>
                <w:szCs w:val="21"/>
              </w:rPr>
              <w:t>植物修复</w:t>
            </w:r>
          </w:p>
        </w:tc>
        <w:tc>
          <w:tcPr>
            <w:tcW w:w="621" w:type="pct"/>
            <w:tcBorders>
              <w:top w:val="nil"/>
              <w:left w:val="nil"/>
              <w:bottom w:val="nil"/>
              <w:right w:val="nil"/>
            </w:tcBorders>
            <w:shd w:val="clear" w:color="auto" w:fill="FFFFFF"/>
            <w:vAlign w:val="center"/>
          </w:tcPr>
          <w:p w14:paraId="578C56C1">
            <w:pPr>
              <w:widowControl/>
              <w:jc w:val="center"/>
              <w:rPr>
                <w:color w:val="000000"/>
                <w:szCs w:val="21"/>
              </w:rPr>
            </w:pPr>
            <w:r>
              <w:rPr>
                <w:color w:val="000000"/>
                <w:szCs w:val="21"/>
              </w:rPr>
              <w:t>修复</w:t>
            </w:r>
          </w:p>
        </w:tc>
        <w:tc>
          <w:tcPr>
            <w:tcW w:w="387" w:type="pct"/>
            <w:tcBorders>
              <w:top w:val="nil"/>
              <w:left w:val="nil"/>
              <w:bottom w:val="nil"/>
              <w:right w:val="nil"/>
            </w:tcBorders>
            <w:shd w:val="clear" w:color="auto" w:fill="FFFFFF"/>
            <w:vAlign w:val="center"/>
          </w:tcPr>
          <w:p w14:paraId="3DE90B25">
            <w:pPr>
              <w:widowControl/>
              <w:jc w:val="center"/>
              <w:rPr>
                <w:color w:val="000000"/>
                <w:szCs w:val="21"/>
              </w:rPr>
            </w:pPr>
            <w:r>
              <w:rPr>
                <w:color w:val="000000"/>
                <w:szCs w:val="21"/>
              </w:rPr>
              <w:t>原位</w:t>
            </w:r>
          </w:p>
        </w:tc>
        <w:tc>
          <w:tcPr>
            <w:tcW w:w="2258" w:type="pct"/>
            <w:tcBorders>
              <w:top w:val="nil"/>
              <w:left w:val="nil"/>
              <w:bottom w:val="nil"/>
              <w:right w:val="nil"/>
            </w:tcBorders>
            <w:shd w:val="clear" w:color="auto" w:fill="FFFFFF"/>
            <w:vAlign w:val="center"/>
          </w:tcPr>
          <w:p w14:paraId="305D6CE6">
            <w:pPr>
              <w:widowControl/>
              <w:jc w:val="center"/>
              <w:rPr>
                <w:color w:val="000000"/>
                <w:szCs w:val="21"/>
              </w:rPr>
            </w:pPr>
            <w:r>
              <w:rPr>
                <w:color w:val="000000"/>
                <w:szCs w:val="21"/>
              </w:rPr>
              <w:t>挥发性有机物、半挥发性有机物（除五氯酚、苯并[a]蒽、苯并[a]芘、苯并[b]荧蒽、苯并[k]荧蒽、䓛、二苯并[a,h]蒽、茚并[1,2,3-cd]芘、萘、蒽、荧蒽）</w:t>
            </w:r>
          </w:p>
        </w:tc>
        <w:tc>
          <w:tcPr>
            <w:tcW w:w="652" w:type="pct"/>
            <w:tcBorders>
              <w:top w:val="nil"/>
              <w:left w:val="nil"/>
              <w:bottom w:val="nil"/>
              <w:right w:val="nil"/>
            </w:tcBorders>
            <w:shd w:val="clear" w:color="auto" w:fill="FFFFFF"/>
            <w:vAlign w:val="center"/>
          </w:tcPr>
          <w:p w14:paraId="0B2780F6">
            <w:pPr>
              <w:widowControl/>
              <w:jc w:val="center"/>
              <w:rPr>
                <w:color w:val="000000"/>
                <w:szCs w:val="21"/>
              </w:rPr>
            </w:pPr>
            <w:r>
              <w:rPr>
                <w:color w:val="000000"/>
                <w:szCs w:val="21"/>
              </w:rPr>
              <w:t>粘土</w:t>
            </w:r>
          </w:p>
        </w:tc>
      </w:tr>
      <w:tr w14:paraId="2C26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83" w:type="pct"/>
            <w:tcBorders>
              <w:top w:val="nil"/>
              <w:left w:val="nil"/>
              <w:bottom w:val="single" w:color="000000" w:sz="12" w:space="0"/>
              <w:right w:val="nil"/>
            </w:tcBorders>
            <w:shd w:val="clear" w:color="auto" w:fill="FFFFFF"/>
            <w:vAlign w:val="center"/>
          </w:tcPr>
          <w:p w14:paraId="40F87853">
            <w:pPr>
              <w:widowControl/>
              <w:jc w:val="center"/>
              <w:rPr>
                <w:color w:val="000000"/>
                <w:szCs w:val="21"/>
              </w:rPr>
            </w:pPr>
            <w:r>
              <w:rPr>
                <w:color w:val="000000"/>
                <w:szCs w:val="21"/>
              </w:rPr>
              <w:t>泥浆相生物处理</w:t>
            </w:r>
          </w:p>
        </w:tc>
        <w:tc>
          <w:tcPr>
            <w:tcW w:w="621" w:type="pct"/>
            <w:tcBorders>
              <w:top w:val="nil"/>
              <w:left w:val="nil"/>
              <w:bottom w:val="single" w:color="000000" w:sz="12" w:space="0"/>
              <w:right w:val="nil"/>
            </w:tcBorders>
            <w:shd w:val="clear" w:color="auto" w:fill="FFFFFF"/>
            <w:vAlign w:val="center"/>
          </w:tcPr>
          <w:p w14:paraId="172CE4EB">
            <w:pPr>
              <w:widowControl/>
              <w:jc w:val="center"/>
              <w:rPr>
                <w:color w:val="000000"/>
                <w:szCs w:val="21"/>
              </w:rPr>
            </w:pPr>
            <w:r>
              <w:rPr>
                <w:color w:val="000000"/>
                <w:szCs w:val="21"/>
              </w:rPr>
              <w:t>修复</w:t>
            </w:r>
          </w:p>
        </w:tc>
        <w:tc>
          <w:tcPr>
            <w:tcW w:w="387" w:type="pct"/>
            <w:tcBorders>
              <w:top w:val="nil"/>
              <w:left w:val="nil"/>
              <w:bottom w:val="single" w:color="000000" w:sz="12" w:space="0"/>
              <w:right w:val="nil"/>
            </w:tcBorders>
            <w:shd w:val="clear" w:color="auto" w:fill="FFFFFF"/>
            <w:vAlign w:val="center"/>
          </w:tcPr>
          <w:p w14:paraId="3056B9E7">
            <w:pPr>
              <w:widowControl/>
              <w:jc w:val="center"/>
              <w:rPr>
                <w:color w:val="000000"/>
                <w:szCs w:val="21"/>
              </w:rPr>
            </w:pPr>
            <w:r>
              <w:rPr>
                <w:color w:val="000000"/>
                <w:szCs w:val="21"/>
              </w:rPr>
              <w:t>异位</w:t>
            </w:r>
          </w:p>
        </w:tc>
        <w:tc>
          <w:tcPr>
            <w:tcW w:w="2258" w:type="pct"/>
            <w:tcBorders>
              <w:top w:val="nil"/>
              <w:left w:val="nil"/>
              <w:bottom w:val="single" w:color="000000" w:sz="12" w:space="0"/>
              <w:right w:val="nil"/>
            </w:tcBorders>
            <w:shd w:val="clear" w:color="auto" w:fill="FFFFFF"/>
            <w:vAlign w:val="center"/>
          </w:tcPr>
          <w:p w14:paraId="0A26A50B">
            <w:pPr>
              <w:widowControl/>
              <w:jc w:val="center"/>
              <w:rPr>
                <w:color w:val="000000"/>
                <w:szCs w:val="21"/>
              </w:rPr>
            </w:pPr>
            <w:r>
              <w:rPr>
                <w:color w:val="000000"/>
                <w:szCs w:val="21"/>
              </w:rPr>
              <w:t>重金属及无机物</w:t>
            </w:r>
          </w:p>
        </w:tc>
        <w:tc>
          <w:tcPr>
            <w:tcW w:w="652" w:type="pct"/>
            <w:tcBorders>
              <w:top w:val="nil"/>
              <w:left w:val="nil"/>
              <w:bottom w:val="single" w:color="000000" w:sz="12" w:space="0"/>
              <w:right w:val="nil"/>
            </w:tcBorders>
            <w:shd w:val="clear" w:color="auto" w:fill="FFFFFF"/>
            <w:vAlign w:val="center"/>
          </w:tcPr>
          <w:p w14:paraId="07964D79">
            <w:pPr>
              <w:widowControl/>
              <w:jc w:val="center"/>
              <w:rPr>
                <w:color w:val="000000"/>
                <w:szCs w:val="21"/>
              </w:rPr>
            </w:pPr>
            <w:r>
              <w:rPr>
                <w:rFonts w:eastAsia="等线"/>
                <w:color w:val="000000"/>
                <w:szCs w:val="21"/>
              </w:rPr>
              <w:t>/</w:t>
            </w:r>
          </w:p>
        </w:tc>
      </w:tr>
    </w:tbl>
    <w:p w14:paraId="6817E681">
      <w:pPr>
        <w:jc w:val="left"/>
        <w:rPr>
          <w:kern w:val="2"/>
          <w:szCs w:val="24"/>
        </w:rPr>
      </w:pPr>
      <w:r>
        <w:rPr>
          <w:kern w:val="2"/>
          <w:szCs w:val="24"/>
        </w:rPr>
        <w:t>注：/表示技术在任何情况适用或匹配该指标，本表所列技术及适用条件可根据技术发展和工程实践动态调整。</w:t>
      </w:r>
    </w:p>
    <w:p w14:paraId="77F2C012">
      <w:pPr>
        <w:jc w:val="left"/>
        <w:rPr>
          <w:kern w:val="2"/>
          <w:szCs w:val="24"/>
        </w:rPr>
      </w:pPr>
    </w:p>
    <w:p w14:paraId="36BF713E">
      <w:pPr>
        <w:jc w:val="left"/>
        <w:rPr>
          <w:kern w:val="2"/>
          <w:szCs w:val="24"/>
        </w:rPr>
      </w:pPr>
    </w:p>
    <w:p w14:paraId="6968375B">
      <w:pPr>
        <w:jc w:val="left"/>
        <w:rPr>
          <w:kern w:val="2"/>
          <w:szCs w:val="24"/>
        </w:rPr>
      </w:pPr>
    </w:p>
    <w:p w14:paraId="5E20841C">
      <w:pPr>
        <w:jc w:val="left"/>
        <w:rPr>
          <w:kern w:val="2"/>
          <w:szCs w:val="24"/>
        </w:rPr>
      </w:pPr>
    </w:p>
    <w:p w14:paraId="20790F26">
      <w:pPr>
        <w:jc w:val="left"/>
        <w:rPr>
          <w:rFonts w:eastAsia="黑体"/>
          <w:color w:val="000000"/>
          <w:kern w:val="2"/>
          <w:szCs w:val="21"/>
        </w:rPr>
      </w:pPr>
    </w:p>
    <w:p w14:paraId="5F46EAA3">
      <w:pPr>
        <w:spacing w:line="360" w:lineRule="auto"/>
        <w:ind w:firstLine="420" w:firstLineChars="200"/>
        <w:jc w:val="center"/>
      </w:pPr>
      <w:r>
        <w:rPr>
          <w:rFonts w:eastAsia="黑体"/>
          <w:color w:val="000000"/>
          <w:kern w:val="2"/>
          <w:szCs w:val="21"/>
        </w:rPr>
        <w:t>续表A.1 土壤污染风险管控与修复技术初筛表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1449"/>
        <w:gridCol w:w="1451"/>
        <w:gridCol w:w="2668"/>
        <w:gridCol w:w="1247"/>
      </w:tblGrid>
      <w:tr w14:paraId="11BC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single" w:color="000000" w:sz="12" w:space="0"/>
              <w:left w:val="nil"/>
              <w:bottom w:val="single" w:color="000000" w:sz="4" w:space="0"/>
              <w:right w:val="nil"/>
              <w:tl2br w:val="nil"/>
            </w:tcBorders>
            <w:shd w:val="clear" w:color="auto" w:fill="FFFFFF"/>
            <w:vAlign w:val="center"/>
          </w:tcPr>
          <w:p w14:paraId="3EA45425">
            <w:pPr>
              <w:widowControl/>
              <w:jc w:val="center"/>
              <w:rPr>
                <w:color w:val="000000"/>
                <w:szCs w:val="21"/>
              </w:rPr>
            </w:pPr>
            <w:r>
              <w:rPr>
                <w:color w:val="000000"/>
                <w:szCs w:val="21"/>
              </w:rPr>
              <w:t>技术</w:t>
            </w:r>
          </w:p>
        </w:tc>
        <w:tc>
          <w:tcPr>
            <w:tcW w:w="757" w:type="pct"/>
            <w:tcBorders>
              <w:top w:val="single" w:color="000000" w:sz="12" w:space="0"/>
              <w:left w:val="nil"/>
              <w:bottom w:val="single" w:color="000000" w:sz="4" w:space="0"/>
              <w:right w:val="nil"/>
            </w:tcBorders>
            <w:shd w:val="clear" w:color="auto" w:fill="FFFFFF"/>
            <w:vAlign w:val="center"/>
          </w:tcPr>
          <w:p w14:paraId="413CDC9E">
            <w:pPr>
              <w:widowControl/>
              <w:jc w:val="center"/>
              <w:rPr>
                <w:color w:val="000000"/>
                <w:szCs w:val="21"/>
              </w:rPr>
            </w:pPr>
            <w:r>
              <w:rPr>
                <w:color w:val="000000"/>
                <w:szCs w:val="21"/>
              </w:rPr>
              <w:t>模式</w:t>
            </w:r>
          </w:p>
        </w:tc>
        <w:tc>
          <w:tcPr>
            <w:tcW w:w="758" w:type="pct"/>
            <w:tcBorders>
              <w:top w:val="single" w:color="000000" w:sz="12" w:space="0"/>
              <w:left w:val="nil"/>
              <w:bottom w:val="single" w:color="000000" w:sz="4" w:space="0"/>
              <w:right w:val="nil"/>
            </w:tcBorders>
            <w:shd w:val="clear" w:color="auto" w:fill="FFFFFF"/>
            <w:vAlign w:val="center"/>
          </w:tcPr>
          <w:p w14:paraId="56E876AF">
            <w:pPr>
              <w:widowControl/>
              <w:jc w:val="center"/>
              <w:rPr>
                <w:color w:val="000000"/>
                <w:szCs w:val="21"/>
              </w:rPr>
            </w:pPr>
            <w:r>
              <w:rPr>
                <w:color w:val="000000"/>
                <w:szCs w:val="21"/>
              </w:rPr>
              <w:t>实施位置</w:t>
            </w:r>
          </w:p>
        </w:tc>
        <w:tc>
          <w:tcPr>
            <w:tcW w:w="1394" w:type="pct"/>
            <w:tcBorders>
              <w:top w:val="single" w:color="000000" w:sz="12" w:space="0"/>
              <w:left w:val="nil"/>
              <w:bottom w:val="single" w:color="000000" w:sz="4" w:space="0"/>
              <w:right w:val="nil"/>
            </w:tcBorders>
            <w:shd w:val="clear" w:color="auto" w:fill="FFFFFF"/>
            <w:vAlign w:val="center"/>
          </w:tcPr>
          <w:p w14:paraId="2F1DF6E2">
            <w:pPr>
              <w:widowControl/>
              <w:jc w:val="center"/>
              <w:rPr>
                <w:color w:val="000000"/>
                <w:szCs w:val="21"/>
              </w:rPr>
            </w:pPr>
            <w:r>
              <w:rPr>
                <w:color w:val="000000"/>
                <w:szCs w:val="21"/>
              </w:rPr>
              <w:t>不适用污染物</w:t>
            </w:r>
          </w:p>
        </w:tc>
        <w:tc>
          <w:tcPr>
            <w:tcW w:w="651" w:type="pct"/>
            <w:tcBorders>
              <w:top w:val="single" w:color="000000" w:sz="12" w:space="0"/>
              <w:left w:val="nil"/>
              <w:bottom w:val="single" w:color="000000" w:sz="4" w:space="0"/>
              <w:right w:val="nil"/>
            </w:tcBorders>
            <w:shd w:val="clear" w:color="auto" w:fill="FFFFFF"/>
            <w:vAlign w:val="center"/>
          </w:tcPr>
          <w:p w14:paraId="2B9517BE">
            <w:pPr>
              <w:widowControl/>
              <w:jc w:val="center"/>
              <w:rPr>
                <w:color w:val="000000"/>
                <w:szCs w:val="21"/>
              </w:rPr>
            </w:pPr>
            <w:r>
              <w:rPr>
                <w:color w:val="000000"/>
                <w:szCs w:val="21"/>
              </w:rPr>
              <w:t>不适用土壤质地</w:t>
            </w:r>
          </w:p>
        </w:tc>
      </w:tr>
      <w:tr w14:paraId="09E8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single" w:color="000000" w:sz="4" w:space="0"/>
              <w:left w:val="nil"/>
              <w:bottom w:val="nil"/>
              <w:right w:val="nil"/>
            </w:tcBorders>
            <w:shd w:val="clear" w:color="auto" w:fill="FFFFFF"/>
            <w:vAlign w:val="center"/>
          </w:tcPr>
          <w:p w14:paraId="097EA17A">
            <w:pPr>
              <w:widowControl/>
              <w:jc w:val="center"/>
              <w:rPr>
                <w:color w:val="000000"/>
                <w:szCs w:val="21"/>
              </w:rPr>
            </w:pPr>
            <w:r>
              <w:rPr>
                <w:color w:val="000000"/>
                <w:szCs w:val="21"/>
              </w:rPr>
              <w:t>原位固化稳定化+阻隔</w:t>
            </w:r>
          </w:p>
        </w:tc>
        <w:tc>
          <w:tcPr>
            <w:tcW w:w="757" w:type="pct"/>
            <w:tcBorders>
              <w:top w:val="single" w:color="000000" w:sz="4" w:space="0"/>
              <w:left w:val="nil"/>
              <w:bottom w:val="nil"/>
              <w:right w:val="nil"/>
            </w:tcBorders>
            <w:shd w:val="clear" w:color="auto" w:fill="FFFFFF"/>
            <w:vAlign w:val="center"/>
          </w:tcPr>
          <w:p w14:paraId="5A05762C">
            <w:pPr>
              <w:widowControl/>
              <w:jc w:val="center"/>
              <w:rPr>
                <w:color w:val="000000"/>
                <w:szCs w:val="21"/>
              </w:rPr>
            </w:pPr>
            <w:r>
              <w:rPr>
                <w:color w:val="000000"/>
                <w:szCs w:val="21"/>
              </w:rPr>
              <w:t>风险管控</w:t>
            </w:r>
          </w:p>
        </w:tc>
        <w:tc>
          <w:tcPr>
            <w:tcW w:w="758" w:type="pct"/>
            <w:tcBorders>
              <w:top w:val="single" w:color="000000" w:sz="4" w:space="0"/>
              <w:left w:val="nil"/>
              <w:bottom w:val="nil"/>
              <w:right w:val="nil"/>
            </w:tcBorders>
            <w:shd w:val="clear" w:color="auto" w:fill="FFFFFF"/>
            <w:vAlign w:val="center"/>
          </w:tcPr>
          <w:p w14:paraId="1E93604F">
            <w:pPr>
              <w:widowControl/>
              <w:jc w:val="center"/>
              <w:rPr>
                <w:color w:val="000000"/>
                <w:szCs w:val="21"/>
              </w:rPr>
            </w:pPr>
            <w:r>
              <w:rPr>
                <w:color w:val="000000"/>
                <w:szCs w:val="21"/>
              </w:rPr>
              <w:t>原位</w:t>
            </w:r>
          </w:p>
        </w:tc>
        <w:tc>
          <w:tcPr>
            <w:tcW w:w="1394" w:type="pct"/>
            <w:tcBorders>
              <w:top w:val="single" w:color="000000" w:sz="4" w:space="0"/>
              <w:left w:val="nil"/>
              <w:bottom w:val="nil"/>
              <w:right w:val="nil"/>
            </w:tcBorders>
            <w:shd w:val="clear" w:color="auto" w:fill="FFFFFF"/>
            <w:vAlign w:val="center"/>
          </w:tcPr>
          <w:p w14:paraId="16E286E0">
            <w:pPr>
              <w:widowControl/>
              <w:jc w:val="center"/>
              <w:rPr>
                <w:color w:val="000000"/>
                <w:szCs w:val="21"/>
              </w:rPr>
            </w:pPr>
            <w:r>
              <w:rPr>
                <w:color w:val="000000"/>
                <w:szCs w:val="21"/>
              </w:rPr>
              <w:t>易溶性污染物、挥发性有机物、半挥发性有机物</w:t>
            </w:r>
          </w:p>
        </w:tc>
        <w:tc>
          <w:tcPr>
            <w:tcW w:w="651" w:type="pct"/>
            <w:tcBorders>
              <w:top w:val="single" w:color="000000" w:sz="4" w:space="0"/>
              <w:left w:val="nil"/>
              <w:bottom w:val="nil"/>
              <w:right w:val="nil"/>
            </w:tcBorders>
            <w:shd w:val="clear" w:color="auto" w:fill="FFFFFF"/>
            <w:vAlign w:val="center"/>
          </w:tcPr>
          <w:p w14:paraId="0B5D007E">
            <w:pPr>
              <w:widowControl/>
              <w:jc w:val="center"/>
              <w:rPr>
                <w:rFonts w:eastAsia="等线"/>
                <w:color w:val="000000"/>
                <w:szCs w:val="21"/>
              </w:rPr>
            </w:pPr>
            <w:r>
              <w:rPr>
                <w:rFonts w:eastAsia="等线"/>
                <w:color w:val="000000"/>
                <w:szCs w:val="21"/>
              </w:rPr>
              <w:t>/</w:t>
            </w:r>
          </w:p>
        </w:tc>
      </w:tr>
      <w:tr w14:paraId="263C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nil"/>
              <w:right w:val="nil"/>
            </w:tcBorders>
            <w:shd w:val="clear" w:color="auto" w:fill="FFFFFF"/>
            <w:vAlign w:val="center"/>
          </w:tcPr>
          <w:p w14:paraId="39CF7424">
            <w:pPr>
              <w:widowControl/>
              <w:jc w:val="center"/>
              <w:rPr>
                <w:color w:val="000000"/>
                <w:szCs w:val="21"/>
              </w:rPr>
            </w:pPr>
            <w:r>
              <w:rPr>
                <w:color w:val="000000"/>
                <w:szCs w:val="21"/>
              </w:rPr>
              <w:t>原位热脱附+原位化学氧化</w:t>
            </w:r>
          </w:p>
        </w:tc>
        <w:tc>
          <w:tcPr>
            <w:tcW w:w="757" w:type="pct"/>
            <w:tcBorders>
              <w:top w:val="nil"/>
              <w:left w:val="nil"/>
              <w:bottom w:val="nil"/>
              <w:right w:val="nil"/>
            </w:tcBorders>
            <w:shd w:val="clear" w:color="auto" w:fill="FFFFFF"/>
            <w:vAlign w:val="center"/>
          </w:tcPr>
          <w:p w14:paraId="66A74EC2">
            <w:pPr>
              <w:widowControl/>
              <w:jc w:val="center"/>
              <w:rPr>
                <w:color w:val="000000"/>
                <w:szCs w:val="21"/>
              </w:rPr>
            </w:pPr>
            <w:r>
              <w:rPr>
                <w:color w:val="000000"/>
                <w:szCs w:val="21"/>
              </w:rPr>
              <w:t>修复</w:t>
            </w:r>
          </w:p>
        </w:tc>
        <w:tc>
          <w:tcPr>
            <w:tcW w:w="758" w:type="pct"/>
            <w:tcBorders>
              <w:top w:val="nil"/>
              <w:left w:val="nil"/>
              <w:bottom w:val="nil"/>
              <w:right w:val="nil"/>
            </w:tcBorders>
            <w:shd w:val="clear" w:color="auto" w:fill="FFFFFF"/>
            <w:vAlign w:val="center"/>
          </w:tcPr>
          <w:p w14:paraId="3B8565D5">
            <w:pPr>
              <w:widowControl/>
              <w:jc w:val="center"/>
              <w:rPr>
                <w:color w:val="000000"/>
                <w:szCs w:val="21"/>
              </w:rPr>
            </w:pPr>
            <w:r>
              <w:rPr>
                <w:color w:val="000000"/>
                <w:szCs w:val="21"/>
              </w:rPr>
              <w:t>原位</w:t>
            </w:r>
          </w:p>
        </w:tc>
        <w:tc>
          <w:tcPr>
            <w:tcW w:w="1394" w:type="pct"/>
            <w:tcBorders>
              <w:top w:val="nil"/>
              <w:left w:val="nil"/>
              <w:bottom w:val="nil"/>
              <w:right w:val="nil"/>
            </w:tcBorders>
            <w:shd w:val="clear" w:color="auto" w:fill="FFFFFF"/>
            <w:vAlign w:val="center"/>
          </w:tcPr>
          <w:p w14:paraId="07A071CD">
            <w:pPr>
              <w:widowControl/>
              <w:jc w:val="center"/>
              <w:rPr>
                <w:color w:val="000000"/>
                <w:szCs w:val="21"/>
              </w:rPr>
            </w:pPr>
            <w:r>
              <w:rPr>
                <w:color w:val="000000"/>
                <w:szCs w:val="21"/>
              </w:rPr>
              <w:t>重金属及无机物</w:t>
            </w:r>
          </w:p>
          <w:p w14:paraId="313A7BA6">
            <w:pPr>
              <w:widowControl/>
              <w:jc w:val="center"/>
              <w:rPr>
                <w:color w:val="000000"/>
                <w:szCs w:val="21"/>
              </w:rPr>
            </w:pPr>
            <w:r>
              <w:rPr>
                <w:color w:val="000000"/>
                <w:szCs w:val="21"/>
              </w:rPr>
              <w:t>（汞、氰化物除外）</w:t>
            </w:r>
          </w:p>
        </w:tc>
        <w:tc>
          <w:tcPr>
            <w:tcW w:w="651" w:type="pct"/>
            <w:tcBorders>
              <w:top w:val="nil"/>
              <w:left w:val="nil"/>
              <w:bottom w:val="nil"/>
              <w:right w:val="nil"/>
            </w:tcBorders>
            <w:shd w:val="clear" w:color="auto" w:fill="FFFFFF"/>
            <w:vAlign w:val="center"/>
          </w:tcPr>
          <w:p w14:paraId="2BA64F4C">
            <w:pPr>
              <w:widowControl/>
              <w:jc w:val="center"/>
              <w:rPr>
                <w:rFonts w:eastAsia="等线"/>
                <w:color w:val="000000"/>
                <w:szCs w:val="21"/>
              </w:rPr>
            </w:pPr>
            <w:r>
              <w:rPr>
                <w:rFonts w:eastAsia="等线"/>
                <w:color w:val="000000"/>
                <w:szCs w:val="21"/>
              </w:rPr>
              <w:t>/</w:t>
            </w:r>
          </w:p>
        </w:tc>
      </w:tr>
      <w:tr w14:paraId="206C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nil"/>
              <w:right w:val="nil"/>
            </w:tcBorders>
            <w:shd w:val="clear" w:color="auto" w:fill="FFFFFF"/>
            <w:vAlign w:val="center"/>
          </w:tcPr>
          <w:p w14:paraId="05D3B7A6">
            <w:pPr>
              <w:widowControl/>
              <w:jc w:val="center"/>
              <w:rPr>
                <w:color w:val="000000"/>
                <w:szCs w:val="21"/>
              </w:rPr>
            </w:pPr>
            <w:r>
              <w:rPr>
                <w:color w:val="000000"/>
                <w:szCs w:val="21"/>
              </w:rPr>
              <w:t>原位热脱附+气相抽提</w:t>
            </w:r>
          </w:p>
        </w:tc>
        <w:tc>
          <w:tcPr>
            <w:tcW w:w="757" w:type="pct"/>
            <w:tcBorders>
              <w:top w:val="nil"/>
              <w:left w:val="nil"/>
              <w:bottom w:val="nil"/>
              <w:right w:val="nil"/>
            </w:tcBorders>
            <w:shd w:val="clear" w:color="auto" w:fill="FFFFFF"/>
            <w:vAlign w:val="center"/>
          </w:tcPr>
          <w:p w14:paraId="26391B5F">
            <w:pPr>
              <w:widowControl/>
              <w:jc w:val="center"/>
              <w:rPr>
                <w:color w:val="000000"/>
                <w:szCs w:val="21"/>
              </w:rPr>
            </w:pPr>
            <w:r>
              <w:rPr>
                <w:color w:val="000000"/>
                <w:szCs w:val="21"/>
              </w:rPr>
              <w:t>修复</w:t>
            </w:r>
          </w:p>
        </w:tc>
        <w:tc>
          <w:tcPr>
            <w:tcW w:w="758" w:type="pct"/>
            <w:tcBorders>
              <w:top w:val="nil"/>
              <w:left w:val="nil"/>
              <w:bottom w:val="nil"/>
              <w:right w:val="nil"/>
            </w:tcBorders>
            <w:shd w:val="clear" w:color="auto" w:fill="FFFFFF"/>
            <w:vAlign w:val="center"/>
          </w:tcPr>
          <w:p w14:paraId="77DBCA99">
            <w:pPr>
              <w:widowControl/>
              <w:jc w:val="center"/>
              <w:rPr>
                <w:color w:val="000000"/>
                <w:szCs w:val="21"/>
              </w:rPr>
            </w:pPr>
            <w:r>
              <w:rPr>
                <w:color w:val="000000"/>
                <w:szCs w:val="21"/>
              </w:rPr>
              <w:t>原位</w:t>
            </w:r>
          </w:p>
        </w:tc>
        <w:tc>
          <w:tcPr>
            <w:tcW w:w="1394" w:type="pct"/>
            <w:tcBorders>
              <w:top w:val="nil"/>
              <w:left w:val="nil"/>
              <w:bottom w:val="nil"/>
              <w:right w:val="nil"/>
            </w:tcBorders>
            <w:shd w:val="clear" w:color="auto" w:fill="FFFFFF"/>
            <w:vAlign w:val="center"/>
          </w:tcPr>
          <w:p w14:paraId="45F84D89">
            <w:pPr>
              <w:widowControl/>
              <w:jc w:val="center"/>
              <w:rPr>
                <w:color w:val="000000"/>
                <w:szCs w:val="21"/>
              </w:rPr>
            </w:pPr>
            <w:r>
              <w:rPr>
                <w:color w:val="000000"/>
                <w:szCs w:val="21"/>
              </w:rPr>
              <w:t>重金属及无机物</w:t>
            </w:r>
          </w:p>
        </w:tc>
        <w:tc>
          <w:tcPr>
            <w:tcW w:w="651" w:type="pct"/>
            <w:tcBorders>
              <w:top w:val="nil"/>
              <w:left w:val="nil"/>
              <w:bottom w:val="nil"/>
              <w:right w:val="nil"/>
            </w:tcBorders>
            <w:shd w:val="clear" w:color="auto" w:fill="FFFFFF"/>
            <w:vAlign w:val="center"/>
          </w:tcPr>
          <w:p w14:paraId="61C367A5">
            <w:pPr>
              <w:widowControl/>
              <w:jc w:val="center"/>
              <w:rPr>
                <w:rFonts w:eastAsia="等线"/>
                <w:color w:val="000000"/>
                <w:szCs w:val="21"/>
              </w:rPr>
            </w:pPr>
            <w:r>
              <w:rPr>
                <w:rFonts w:eastAsia="等线"/>
                <w:color w:val="000000"/>
                <w:szCs w:val="21"/>
              </w:rPr>
              <w:t>/</w:t>
            </w:r>
          </w:p>
        </w:tc>
      </w:tr>
      <w:tr w14:paraId="7D2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nil"/>
              <w:right w:val="nil"/>
            </w:tcBorders>
            <w:shd w:val="clear" w:color="auto" w:fill="FFFFFF"/>
            <w:vAlign w:val="center"/>
          </w:tcPr>
          <w:p w14:paraId="6C5BD655">
            <w:pPr>
              <w:widowControl/>
              <w:jc w:val="center"/>
              <w:rPr>
                <w:color w:val="000000"/>
                <w:szCs w:val="21"/>
              </w:rPr>
            </w:pPr>
            <w:r>
              <w:rPr>
                <w:color w:val="000000"/>
                <w:szCs w:val="21"/>
              </w:rPr>
              <w:t>气相抽提+原位化学氧化</w:t>
            </w:r>
          </w:p>
        </w:tc>
        <w:tc>
          <w:tcPr>
            <w:tcW w:w="757" w:type="pct"/>
            <w:tcBorders>
              <w:top w:val="nil"/>
              <w:left w:val="nil"/>
              <w:bottom w:val="nil"/>
              <w:right w:val="nil"/>
            </w:tcBorders>
            <w:shd w:val="clear" w:color="auto" w:fill="FFFFFF"/>
            <w:vAlign w:val="center"/>
          </w:tcPr>
          <w:p w14:paraId="1A3A63EE">
            <w:pPr>
              <w:widowControl/>
              <w:jc w:val="center"/>
              <w:rPr>
                <w:color w:val="000000"/>
                <w:szCs w:val="21"/>
              </w:rPr>
            </w:pPr>
            <w:r>
              <w:rPr>
                <w:color w:val="000000"/>
                <w:szCs w:val="21"/>
              </w:rPr>
              <w:t>修复</w:t>
            </w:r>
          </w:p>
        </w:tc>
        <w:tc>
          <w:tcPr>
            <w:tcW w:w="758" w:type="pct"/>
            <w:tcBorders>
              <w:top w:val="nil"/>
              <w:left w:val="nil"/>
              <w:bottom w:val="nil"/>
              <w:right w:val="nil"/>
            </w:tcBorders>
            <w:shd w:val="clear" w:color="auto" w:fill="FFFFFF"/>
            <w:vAlign w:val="center"/>
          </w:tcPr>
          <w:p w14:paraId="4D186E69">
            <w:pPr>
              <w:widowControl/>
              <w:jc w:val="center"/>
              <w:rPr>
                <w:color w:val="000000"/>
                <w:szCs w:val="21"/>
              </w:rPr>
            </w:pPr>
            <w:r>
              <w:rPr>
                <w:color w:val="000000"/>
                <w:szCs w:val="21"/>
              </w:rPr>
              <w:t>原位</w:t>
            </w:r>
          </w:p>
        </w:tc>
        <w:tc>
          <w:tcPr>
            <w:tcW w:w="1394" w:type="pct"/>
            <w:tcBorders>
              <w:top w:val="nil"/>
              <w:left w:val="nil"/>
              <w:bottom w:val="nil"/>
              <w:right w:val="nil"/>
            </w:tcBorders>
            <w:shd w:val="clear" w:color="auto" w:fill="FFFFFF"/>
            <w:vAlign w:val="center"/>
          </w:tcPr>
          <w:p w14:paraId="3D50A0E4">
            <w:pPr>
              <w:widowControl/>
              <w:jc w:val="center"/>
              <w:rPr>
                <w:color w:val="000000"/>
                <w:szCs w:val="21"/>
              </w:rPr>
            </w:pPr>
            <w:r>
              <w:rPr>
                <w:color w:val="000000"/>
                <w:szCs w:val="21"/>
              </w:rPr>
              <w:t>重金属及无机物</w:t>
            </w:r>
          </w:p>
        </w:tc>
        <w:tc>
          <w:tcPr>
            <w:tcW w:w="651" w:type="pct"/>
            <w:tcBorders>
              <w:top w:val="nil"/>
              <w:left w:val="nil"/>
              <w:bottom w:val="nil"/>
              <w:right w:val="nil"/>
            </w:tcBorders>
            <w:shd w:val="clear" w:color="auto" w:fill="FFFFFF"/>
            <w:vAlign w:val="center"/>
          </w:tcPr>
          <w:p w14:paraId="59391023">
            <w:pPr>
              <w:widowControl/>
              <w:jc w:val="center"/>
              <w:rPr>
                <w:color w:val="000000"/>
                <w:szCs w:val="21"/>
              </w:rPr>
            </w:pPr>
            <w:r>
              <w:rPr>
                <w:rFonts w:eastAsia="等线"/>
                <w:color w:val="000000"/>
                <w:szCs w:val="21"/>
              </w:rPr>
              <w:t>/</w:t>
            </w:r>
          </w:p>
        </w:tc>
      </w:tr>
      <w:tr w14:paraId="12D7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nil"/>
              <w:right w:val="nil"/>
            </w:tcBorders>
            <w:shd w:val="clear" w:color="auto" w:fill="FFFFFF"/>
            <w:vAlign w:val="center"/>
          </w:tcPr>
          <w:p w14:paraId="3EFC4018">
            <w:pPr>
              <w:widowControl/>
              <w:jc w:val="center"/>
              <w:rPr>
                <w:color w:val="000000"/>
                <w:szCs w:val="21"/>
              </w:rPr>
            </w:pPr>
            <w:r>
              <w:rPr>
                <w:color w:val="000000"/>
                <w:szCs w:val="21"/>
              </w:rPr>
              <w:t>原位热脱附+微生物修复</w:t>
            </w:r>
          </w:p>
        </w:tc>
        <w:tc>
          <w:tcPr>
            <w:tcW w:w="757" w:type="pct"/>
            <w:tcBorders>
              <w:top w:val="nil"/>
              <w:left w:val="nil"/>
              <w:bottom w:val="nil"/>
              <w:right w:val="nil"/>
            </w:tcBorders>
            <w:shd w:val="clear" w:color="auto" w:fill="FFFFFF"/>
            <w:vAlign w:val="center"/>
          </w:tcPr>
          <w:p w14:paraId="6E33B374">
            <w:pPr>
              <w:widowControl/>
              <w:jc w:val="center"/>
              <w:rPr>
                <w:color w:val="000000"/>
                <w:szCs w:val="21"/>
              </w:rPr>
            </w:pPr>
            <w:r>
              <w:rPr>
                <w:color w:val="000000"/>
                <w:szCs w:val="21"/>
              </w:rPr>
              <w:t>修复</w:t>
            </w:r>
          </w:p>
        </w:tc>
        <w:tc>
          <w:tcPr>
            <w:tcW w:w="758" w:type="pct"/>
            <w:tcBorders>
              <w:top w:val="nil"/>
              <w:left w:val="nil"/>
              <w:bottom w:val="nil"/>
              <w:right w:val="nil"/>
            </w:tcBorders>
            <w:shd w:val="clear" w:color="auto" w:fill="FFFFFF"/>
            <w:vAlign w:val="center"/>
          </w:tcPr>
          <w:p w14:paraId="50786812">
            <w:pPr>
              <w:widowControl/>
              <w:jc w:val="center"/>
              <w:rPr>
                <w:color w:val="000000"/>
                <w:szCs w:val="21"/>
              </w:rPr>
            </w:pPr>
            <w:r>
              <w:rPr>
                <w:color w:val="000000"/>
                <w:szCs w:val="21"/>
              </w:rPr>
              <w:t>原位</w:t>
            </w:r>
          </w:p>
        </w:tc>
        <w:tc>
          <w:tcPr>
            <w:tcW w:w="1394" w:type="pct"/>
            <w:tcBorders>
              <w:top w:val="nil"/>
              <w:left w:val="nil"/>
              <w:bottom w:val="nil"/>
              <w:right w:val="nil"/>
            </w:tcBorders>
            <w:shd w:val="clear" w:color="auto" w:fill="FFFFFF"/>
            <w:vAlign w:val="center"/>
          </w:tcPr>
          <w:p w14:paraId="363D48FD">
            <w:pPr>
              <w:widowControl/>
              <w:jc w:val="center"/>
              <w:rPr>
                <w:color w:val="000000"/>
                <w:szCs w:val="21"/>
              </w:rPr>
            </w:pPr>
            <w:r>
              <w:rPr>
                <w:color w:val="000000"/>
                <w:szCs w:val="21"/>
              </w:rPr>
              <w:t>重金属及无机物</w:t>
            </w:r>
          </w:p>
        </w:tc>
        <w:tc>
          <w:tcPr>
            <w:tcW w:w="651" w:type="pct"/>
            <w:tcBorders>
              <w:top w:val="nil"/>
              <w:left w:val="nil"/>
              <w:bottom w:val="nil"/>
              <w:right w:val="nil"/>
            </w:tcBorders>
            <w:shd w:val="clear" w:color="auto" w:fill="FFFFFF"/>
            <w:vAlign w:val="center"/>
          </w:tcPr>
          <w:p w14:paraId="6825F291">
            <w:pPr>
              <w:widowControl/>
              <w:jc w:val="center"/>
              <w:rPr>
                <w:rFonts w:eastAsia="等线"/>
                <w:color w:val="000000"/>
                <w:szCs w:val="21"/>
              </w:rPr>
            </w:pPr>
            <w:r>
              <w:rPr>
                <w:rFonts w:eastAsia="等线"/>
                <w:color w:val="000000"/>
                <w:szCs w:val="21"/>
              </w:rPr>
              <w:t>/</w:t>
            </w:r>
          </w:p>
        </w:tc>
      </w:tr>
      <w:tr w14:paraId="58F1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nil"/>
              <w:right w:val="nil"/>
            </w:tcBorders>
            <w:shd w:val="clear" w:color="auto" w:fill="FFFFFF"/>
            <w:vAlign w:val="center"/>
          </w:tcPr>
          <w:p w14:paraId="71EF0AAC">
            <w:pPr>
              <w:widowControl/>
              <w:jc w:val="center"/>
              <w:rPr>
                <w:color w:val="000000"/>
                <w:szCs w:val="21"/>
              </w:rPr>
            </w:pPr>
            <w:r>
              <w:rPr>
                <w:color w:val="000000"/>
                <w:szCs w:val="21"/>
              </w:rPr>
              <w:t>原位化学氧化+微生物修复</w:t>
            </w:r>
          </w:p>
        </w:tc>
        <w:tc>
          <w:tcPr>
            <w:tcW w:w="757" w:type="pct"/>
            <w:tcBorders>
              <w:top w:val="nil"/>
              <w:left w:val="nil"/>
              <w:bottom w:val="nil"/>
              <w:right w:val="nil"/>
            </w:tcBorders>
            <w:shd w:val="clear" w:color="auto" w:fill="FFFFFF"/>
            <w:vAlign w:val="center"/>
          </w:tcPr>
          <w:p w14:paraId="7A7958CC">
            <w:pPr>
              <w:widowControl/>
              <w:jc w:val="center"/>
              <w:rPr>
                <w:color w:val="000000"/>
                <w:szCs w:val="21"/>
              </w:rPr>
            </w:pPr>
            <w:r>
              <w:rPr>
                <w:color w:val="000000"/>
                <w:szCs w:val="21"/>
              </w:rPr>
              <w:t>修复</w:t>
            </w:r>
          </w:p>
        </w:tc>
        <w:tc>
          <w:tcPr>
            <w:tcW w:w="758" w:type="pct"/>
            <w:tcBorders>
              <w:top w:val="nil"/>
              <w:left w:val="nil"/>
              <w:bottom w:val="nil"/>
              <w:right w:val="nil"/>
            </w:tcBorders>
            <w:shd w:val="clear" w:color="auto" w:fill="FFFFFF"/>
            <w:vAlign w:val="center"/>
          </w:tcPr>
          <w:p w14:paraId="1C50951B">
            <w:pPr>
              <w:widowControl/>
              <w:jc w:val="center"/>
              <w:rPr>
                <w:color w:val="000000"/>
                <w:szCs w:val="21"/>
              </w:rPr>
            </w:pPr>
            <w:r>
              <w:rPr>
                <w:color w:val="000000"/>
                <w:szCs w:val="21"/>
              </w:rPr>
              <w:t>原位</w:t>
            </w:r>
          </w:p>
        </w:tc>
        <w:tc>
          <w:tcPr>
            <w:tcW w:w="1394" w:type="pct"/>
            <w:tcBorders>
              <w:top w:val="nil"/>
              <w:left w:val="nil"/>
              <w:bottom w:val="nil"/>
              <w:right w:val="nil"/>
            </w:tcBorders>
            <w:shd w:val="clear" w:color="auto" w:fill="FFFFFF"/>
            <w:vAlign w:val="center"/>
          </w:tcPr>
          <w:p w14:paraId="5A74DE2F">
            <w:pPr>
              <w:widowControl/>
              <w:jc w:val="center"/>
              <w:rPr>
                <w:color w:val="000000"/>
                <w:szCs w:val="21"/>
              </w:rPr>
            </w:pPr>
            <w:r>
              <w:rPr>
                <w:color w:val="000000"/>
                <w:szCs w:val="21"/>
              </w:rPr>
              <w:t>重金属及无机物</w:t>
            </w:r>
          </w:p>
        </w:tc>
        <w:tc>
          <w:tcPr>
            <w:tcW w:w="651" w:type="pct"/>
            <w:tcBorders>
              <w:top w:val="nil"/>
              <w:left w:val="nil"/>
              <w:bottom w:val="nil"/>
              <w:right w:val="nil"/>
            </w:tcBorders>
            <w:shd w:val="clear" w:color="auto" w:fill="FFFFFF"/>
            <w:vAlign w:val="center"/>
          </w:tcPr>
          <w:p w14:paraId="507CA5D0">
            <w:pPr>
              <w:widowControl/>
              <w:jc w:val="center"/>
              <w:rPr>
                <w:rFonts w:eastAsia="等线"/>
                <w:color w:val="000000"/>
                <w:szCs w:val="21"/>
              </w:rPr>
            </w:pPr>
            <w:r>
              <w:rPr>
                <w:rFonts w:eastAsia="等线"/>
                <w:color w:val="000000"/>
                <w:szCs w:val="21"/>
              </w:rPr>
              <w:t>/</w:t>
            </w:r>
          </w:p>
        </w:tc>
      </w:tr>
      <w:tr w14:paraId="1504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40" w:type="pct"/>
            <w:tcBorders>
              <w:top w:val="nil"/>
              <w:left w:val="nil"/>
              <w:bottom w:val="single" w:color="000000" w:sz="12" w:space="0"/>
              <w:right w:val="nil"/>
            </w:tcBorders>
            <w:shd w:val="clear" w:color="auto" w:fill="FFFFFF"/>
            <w:vAlign w:val="center"/>
          </w:tcPr>
          <w:p w14:paraId="5580DF59">
            <w:pPr>
              <w:widowControl/>
              <w:jc w:val="center"/>
              <w:rPr>
                <w:color w:val="000000"/>
                <w:szCs w:val="21"/>
              </w:rPr>
            </w:pPr>
            <w:r>
              <w:rPr>
                <w:color w:val="000000"/>
                <w:szCs w:val="21"/>
              </w:rPr>
              <w:t>原位化学还原+微生物修复</w:t>
            </w:r>
          </w:p>
        </w:tc>
        <w:tc>
          <w:tcPr>
            <w:tcW w:w="757" w:type="pct"/>
            <w:tcBorders>
              <w:top w:val="nil"/>
              <w:left w:val="nil"/>
              <w:bottom w:val="single" w:color="000000" w:sz="12" w:space="0"/>
              <w:right w:val="nil"/>
            </w:tcBorders>
            <w:shd w:val="clear" w:color="auto" w:fill="FFFFFF"/>
            <w:vAlign w:val="center"/>
          </w:tcPr>
          <w:p w14:paraId="4C053AF7">
            <w:pPr>
              <w:widowControl/>
              <w:jc w:val="center"/>
              <w:rPr>
                <w:color w:val="000000"/>
                <w:szCs w:val="21"/>
              </w:rPr>
            </w:pPr>
            <w:r>
              <w:rPr>
                <w:color w:val="000000"/>
                <w:szCs w:val="21"/>
              </w:rPr>
              <w:t>修复</w:t>
            </w:r>
          </w:p>
        </w:tc>
        <w:tc>
          <w:tcPr>
            <w:tcW w:w="758" w:type="pct"/>
            <w:tcBorders>
              <w:top w:val="nil"/>
              <w:left w:val="nil"/>
              <w:bottom w:val="single" w:color="000000" w:sz="12" w:space="0"/>
              <w:right w:val="nil"/>
            </w:tcBorders>
            <w:shd w:val="clear" w:color="auto" w:fill="FFFFFF"/>
            <w:vAlign w:val="center"/>
          </w:tcPr>
          <w:p w14:paraId="7FB3E334">
            <w:pPr>
              <w:widowControl/>
              <w:jc w:val="center"/>
              <w:rPr>
                <w:color w:val="000000"/>
                <w:szCs w:val="21"/>
              </w:rPr>
            </w:pPr>
            <w:r>
              <w:rPr>
                <w:color w:val="000000"/>
                <w:szCs w:val="21"/>
              </w:rPr>
              <w:t>原位</w:t>
            </w:r>
          </w:p>
        </w:tc>
        <w:tc>
          <w:tcPr>
            <w:tcW w:w="1394" w:type="pct"/>
            <w:tcBorders>
              <w:top w:val="nil"/>
              <w:left w:val="nil"/>
              <w:bottom w:val="single" w:color="000000" w:sz="12" w:space="0"/>
              <w:right w:val="nil"/>
            </w:tcBorders>
            <w:shd w:val="clear" w:color="auto" w:fill="FFFFFF"/>
            <w:vAlign w:val="center"/>
          </w:tcPr>
          <w:p w14:paraId="33203B0D">
            <w:pPr>
              <w:widowControl/>
              <w:jc w:val="center"/>
              <w:rPr>
                <w:color w:val="000000"/>
                <w:szCs w:val="21"/>
              </w:rPr>
            </w:pPr>
            <w:r>
              <w:rPr>
                <w:color w:val="000000"/>
                <w:szCs w:val="21"/>
              </w:rPr>
              <w:t>重金属及无机物</w:t>
            </w:r>
          </w:p>
        </w:tc>
        <w:tc>
          <w:tcPr>
            <w:tcW w:w="651" w:type="pct"/>
            <w:tcBorders>
              <w:top w:val="nil"/>
              <w:left w:val="nil"/>
              <w:bottom w:val="single" w:color="000000" w:sz="12" w:space="0"/>
              <w:right w:val="nil"/>
            </w:tcBorders>
            <w:shd w:val="clear" w:color="auto" w:fill="FFFFFF"/>
            <w:vAlign w:val="center"/>
          </w:tcPr>
          <w:p w14:paraId="7686309F">
            <w:pPr>
              <w:widowControl/>
              <w:jc w:val="center"/>
              <w:rPr>
                <w:rFonts w:eastAsia="等线"/>
                <w:color w:val="000000"/>
                <w:szCs w:val="21"/>
              </w:rPr>
            </w:pPr>
            <w:r>
              <w:rPr>
                <w:rFonts w:eastAsia="等线"/>
                <w:color w:val="000000"/>
                <w:szCs w:val="21"/>
              </w:rPr>
              <w:t>/</w:t>
            </w:r>
          </w:p>
        </w:tc>
      </w:tr>
    </w:tbl>
    <w:p w14:paraId="5B7A3CE6">
      <w:pPr>
        <w:rPr>
          <w:kern w:val="2"/>
          <w:szCs w:val="24"/>
        </w:rPr>
      </w:pPr>
      <w:r>
        <w:rPr>
          <w:kern w:val="2"/>
          <w:szCs w:val="24"/>
        </w:rPr>
        <w:t>注：/表示技术在任何情况适用或匹配该指标</w:t>
      </w:r>
      <w:bookmarkStart w:id="66" w:name="OLE_LINK31"/>
      <w:r>
        <w:rPr>
          <w:kern w:val="2"/>
          <w:szCs w:val="24"/>
        </w:rPr>
        <w:t>，本表所列技术及适用条件可根据技术发展和工程实践动态调整。</w:t>
      </w:r>
      <w:bookmarkEnd w:id="66"/>
    </w:p>
    <w:p w14:paraId="7B7F27CE">
      <w:pPr>
        <w:rPr>
          <w:kern w:val="2"/>
          <w:szCs w:val="24"/>
        </w:rPr>
      </w:pPr>
    </w:p>
    <w:p w14:paraId="58270B63">
      <w:pPr>
        <w:spacing w:line="360" w:lineRule="auto"/>
        <w:ind w:firstLine="420" w:firstLineChars="200"/>
        <w:jc w:val="center"/>
        <w:rPr>
          <w:rFonts w:eastAsia="黑体"/>
          <w:color w:val="000000"/>
          <w:kern w:val="2"/>
          <w:szCs w:val="21"/>
        </w:rPr>
      </w:pPr>
      <w:r>
        <w:rPr>
          <w:rFonts w:eastAsia="黑体"/>
          <w:color w:val="000000"/>
          <w:kern w:val="2"/>
          <w:szCs w:val="21"/>
        </w:rPr>
        <w:t xml:space="preserve">表A.2 </w:t>
      </w:r>
      <w:bookmarkStart w:id="67" w:name="OLE_LINK1"/>
      <w:r>
        <w:rPr>
          <w:rFonts w:eastAsia="黑体"/>
          <w:color w:val="000000"/>
          <w:kern w:val="2"/>
          <w:szCs w:val="21"/>
        </w:rPr>
        <w:t>地下水污染风险管控与修复技术</w:t>
      </w:r>
      <w:bookmarkEnd w:id="67"/>
      <w:r>
        <w:rPr>
          <w:rFonts w:eastAsia="黑体"/>
          <w:color w:val="000000"/>
          <w:kern w:val="2"/>
          <w:szCs w:val="21"/>
        </w:rPr>
        <w:t>初筛表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5"/>
        <w:gridCol w:w="1740"/>
        <w:gridCol w:w="3562"/>
        <w:gridCol w:w="1224"/>
      </w:tblGrid>
      <w:tr w14:paraId="1F7D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91" w:type="pct"/>
            <w:tcBorders>
              <w:top w:val="single" w:color="000000" w:sz="12" w:space="0"/>
              <w:left w:val="nil"/>
              <w:bottom w:val="single" w:color="000000" w:sz="4" w:space="0"/>
              <w:right w:val="nil"/>
              <w:tl2br w:val="nil"/>
            </w:tcBorders>
            <w:shd w:val="clear" w:color="auto" w:fill="FFFFFF"/>
            <w:vAlign w:val="center"/>
          </w:tcPr>
          <w:p w14:paraId="6CECB10D">
            <w:pPr>
              <w:widowControl/>
              <w:jc w:val="center"/>
              <w:rPr>
                <w:color w:val="000000"/>
                <w:szCs w:val="21"/>
              </w:rPr>
            </w:pPr>
            <w:bookmarkStart w:id="68" w:name="OLE_LINK37"/>
            <w:r>
              <w:rPr>
                <w:color w:val="000000"/>
                <w:szCs w:val="21"/>
              </w:rPr>
              <w:t>技术</w:t>
            </w:r>
          </w:p>
        </w:tc>
        <w:tc>
          <w:tcPr>
            <w:tcW w:w="909" w:type="pct"/>
            <w:tcBorders>
              <w:top w:val="single" w:color="000000" w:sz="12" w:space="0"/>
              <w:left w:val="nil"/>
              <w:bottom w:val="single" w:color="000000" w:sz="4" w:space="0"/>
              <w:right w:val="nil"/>
            </w:tcBorders>
            <w:shd w:val="clear" w:color="auto" w:fill="FFFFFF"/>
            <w:vAlign w:val="center"/>
          </w:tcPr>
          <w:p w14:paraId="4F5122A1">
            <w:pPr>
              <w:widowControl/>
              <w:jc w:val="center"/>
              <w:rPr>
                <w:color w:val="000000"/>
                <w:szCs w:val="21"/>
              </w:rPr>
            </w:pPr>
            <w:r>
              <w:rPr>
                <w:color w:val="000000"/>
                <w:szCs w:val="21"/>
              </w:rPr>
              <w:t>模式</w:t>
            </w:r>
          </w:p>
        </w:tc>
        <w:tc>
          <w:tcPr>
            <w:tcW w:w="1861" w:type="pct"/>
            <w:tcBorders>
              <w:top w:val="single" w:color="000000" w:sz="12" w:space="0"/>
              <w:left w:val="nil"/>
              <w:bottom w:val="single" w:color="000000" w:sz="4" w:space="0"/>
              <w:right w:val="nil"/>
            </w:tcBorders>
            <w:shd w:val="clear" w:color="auto" w:fill="FFFFFF"/>
            <w:vAlign w:val="center"/>
          </w:tcPr>
          <w:p w14:paraId="76AA4B55">
            <w:pPr>
              <w:widowControl/>
              <w:jc w:val="center"/>
              <w:rPr>
                <w:color w:val="000000"/>
                <w:szCs w:val="21"/>
              </w:rPr>
            </w:pPr>
            <w:r>
              <w:rPr>
                <w:color w:val="000000"/>
                <w:szCs w:val="21"/>
              </w:rPr>
              <w:t>不适用污染物</w:t>
            </w:r>
          </w:p>
        </w:tc>
        <w:tc>
          <w:tcPr>
            <w:tcW w:w="639" w:type="pct"/>
            <w:tcBorders>
              <w:top w:val="single" w:color="000000" w:sz="12" w:space="0"/>
              <w:left w:val="nil"/>
              <w:bottom w:val="single" w:color="000000" w:sz="4" w:space="0"/>
              <w:right w:val="nil"/>
            </w:tcBorders>
            <w:shd w:val="clear" w:color="auto" w:fill="FFFFFF"/>
            <w:vAlign w:val="center"/>
          </w:tcPr>
          <w:p w14:paraId="7E18FBB4">
            <w:pPr>
              <w:widowControl/>
              <w:jc w:val="center"/>
              <w:rPr>
                <w:color w:val="000000"/>
                <w:szCs w:val="21"/>
              </w:rPr>
            </w:pPr>
            <w:r>
              <w:rPr>
                <w:color w:val="000000"/>
                <w:szCs w:val="21"/>
              </w:rPr>
              <w:t>不适用含水层介质</w:t>
            </w:r>
          </w:p>
        </w:tc>
      </w:tr>
      <w:tr w14:paraId="2C03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single" w:color="000000" w:sz="4" w:space="0"/>
              <w:left w:val="nil"/>
              <w:bottom w:val="nil"/>
              <w:right w:val="nil"/>
            </w:tcBorders>
            <w:shd w:val="clear" w:color="auto" w:fill="FFFFFF"/>
            <w:vAlign w:val="center"/>
          </w:tcPr>
          <w:p w14:paraId="1EDEA8BA">
            <w:pPr>
              <w:widowControl/>
              <w:jc w:val="center"/>
              <w:rPr>
                <w:color w:val="000000"/>
                <w:szCs w:val="21"/>
              </w:rPr>
            </w:pPr>
            <w:r>
              <w:rPr>
                <w:color w:val="000000"/>
                <w:kern w:val="2"/>
                <w:szCs w:val="24"/>
              </w:rPr>
              <w:t>制度控制</w:t>
            </w:r>
          </w:p>
        </w:tc>
        <w:tc>
          <w:tcPr>
            <w:tcW w:w="909" w:type="pct"/>
            <w:tcBorders>
              <w:top w:val="single" w:color="000000" w:sz="4" w:space="0"/>
              <w:left w:val="nil"/>
              <w:bottom w:val="nil"/>
              <w:right w:val="nil"/>
            </w:tcBorders>
            <w:shd w:val="clear" w:color="auto" w:fill="FFFFFF"/>
            <w:vAlign w:val="center"/>
          </w:tcPr>
          <w:p w14:paraId="5EFBB2A6">
            <w:pPr>
              <w:widowControl/>
              <w:jc w:val="center"/>
              <w:rPr>
                <w:color w:val="000000"/>
                <w:szCs w:val="21"/>
              </w:rPr>
            </w:pPr>
            <w:r>
              <w:rPr>
                <w:color w:val="000000"/>
                <w:kern w:val="2"/>
                <w:szCs w:val="24"/>
              </w:rPr>
              <w:t>风险管控</w:t>
            </w:r>
          </w:p>
        </w:tc>
        <w:tc>
          <w:tcPr>
            <w:tcW w:w="1861" w:type="pct"/>
            <w:tcBorders>
              <w:top w:val="single" w:color="000000" w:sz="4" w:space="0"/>
              <w:left w:val="nil"/>
              <w:bottom w:val="nil"/>
              <w:right w:val="nil"/>
            </w:tcBorders>
            <w:shd w:val="clear" w:color="auto" w:fill="FFFFFF"/>
            <w:vAlign w:val="center"/>
          </w:tcPr>
          <w:p w14:paraId="7901644A">
            <w:pPr>
              <w:widowControl/>
              <w:jc w:val="center"/>
              <w:rPr>
                <w:color w:val="000000"/>
                <w:szCs w:val="21"/>
              </w:rPr>
            </w:pPr>
            <w:r>
              <w:rPr>
                <w:color w:val="000000"/>
                <w:kern w:val="2"/>
                <w:szCs w:val="24"/>
              </w:rPr>
              <w:t>/</w:t>
            </w:r>
          </w:p>
        </w:tc>
        <w:tc>
          <w:tcPr>
            <w:tcW w:w="639" w:type="pct"/>
            <w:tcBorders>
              <w:top w:val="single" w:color="000000" w:sz="4" w:space="0"/>
              <w:left w:val="nil"/>
              <w:bottom w:val="nil"/>
              <w:right w:val="nil"/>
            </w:tcBorders>
            <w:shd w:val="clear" w:color="auto" w:fill="FFFFFF"/>
            <w:vAlign w:val="center"/>
          </w:tcPr>
          <w:p w14:paraId="457170DB">
            <w:pPr>
              <w:widowControl/>
              <w:jc w:val="center"/>
              <w:rPr>
                <w:color w:val="000000"/>
                <w:szCs w:val="21"/>
              </w:rPr>
            </w:pPr>
            <w:r>
              <w:rPr>
                <w:color w:val="000000"/>
                <w:kern w:val="2"/>
                <w:szCs w:val="24"/>
              </w:rPr>
              <w:t>/</w:t>
            </w:r>
          </w:p>
        </w:tc>
      </w:tr>
      <w:tr w14:paraId="4A94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1688B8BB">
            <w:pPr>
              <w:widowControl/>
              <w:jc w:val="center"/>
              <w:rPr>
                <w:color w:val="000000"/>
                <w:szCs w:val="21"/>
              </w:rPr>
            </w:pPr>
            <w:r>
              <w:rPr>
                <w:color w:val="000000"/>
                <w:kern w:val="2"/>
                <w:szCs w:val="24"/>
              </w:rPr>
              <w:t>阻隔</w:t>
            </w:r>
          </w:p>
        </w:tc>
        <w:tc>
          <w:tcPr>
            <w:tcW w:w="909" w:type="pct"/>
            <w:tcBorders>
              <w:top w:val="nil"/>
              <w:left w:val="nil"/>
              <w:bottom w:val="nil"/>
              <w:right w:val="nil"/>
            </w:tcBorders>
            <w:shd w:val="clear" w:color="auto" w:fill="FFFFFF"/>
            <w:vAlign w:val="center"/>
          </w:tcPr>
          <w:p w14:paraId="1623A2A5">
            <w:pPr>
              <w:widowControl/>
              <w:jc w:val="center"/>
              <w:rPr>
                <w:color w:val="000000"/>
                <w:szCs w:val="21"/>
              </w:rPr>
            </w:pPr>
            <w:r>
              <w:rPr>
                <w:color w:val="000000"/>
                <w:kern w:val="2"/>
                <w:szCs w:val="24"/>
              </w:rPr>
              <w:t>风险管控</w:t>
            </w:r>
          </w:p>
        </w:tc>
        <w:tc>
          <w:tcPr>
            <w:tcW w:w="1861" w:type="pct"/>
            <w:tcBorders>
              <w:top w:val="nil"/>
              <w:left w:val="nil"/>
              <w:bottom w:val="nil"/>
              <w:right w:val="nil"/>
            </w:tcBorders>
            <w:shd w:val="clear" w:color="auto" w:fill="FFFFFF"/>
            <w:vAlign w:val="center"/>
          </w:tcPr>
          <w:p w14:paraId="70235D12">
            <w:pPr>
              <w:widowControl/>
              <w:jc w:val="center"/>
              <w:rPr>
                <w:color w:val="000000"/>
                <w:szCs w:val="21"/>
              </w:rPr>
            </w:pPr>
            <w:r>
              <w:rPr>
                <w:color w:val="000000"/>
                <w:kern w:val="2"/>
                <w:szCs w:val="24"/>
              </w:rPr>
              <w:t>易溶性污染物</w:t>
            </w:r>
          </w:p>
        </w:tc>
        <w:tc>
          <w:tcPr>
            <w:tcW w:w="639" w:type="pct"/>
            <w:tcBorders>
              <w:top w:val="nil"/>
              <w:left w:val="nil"/>
              <w:bottom w:val="nil"/>
              <w:right w:val="nil"/>
            </w:tcBorders>
            <w:shd w:val="clear" w:color="auto" w:fill="FFFFFF"/>
            <w:vAlign w:val="center"/>
          </w:tcPr>
          <w:p w14:paraId="17B6602C">
            <w:pPr>
              <w:widowControl/>
              <w:jc w:val="center"/>
              <w:rPr>
                <w:color w:val="000000"/>
                <w:szCs w:val="21"/>
              </w:rPr>
            </w:pPr>
            <w:r>
              <w:rPr>
                <w:color w:val="000000"/>
                <w:kern w:val="2"/>
                <w:szCs w:val="24"/>
              </w:rPr>
              <w:t>/</w:t>
            </w:r>
          </w:p>
        </w:tc>
      </w:tr>
      <w:tr w14:paraId="7DA4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3103A329">
            <w:pPr>
              <w:widowControl/>
              <w:jc w:val="center"/>
              <w:rPr>
                <w:color w:val="000000"/>
                <w:szCs w:val="21"/>
              </w:rPr>
            </w:pPr>
            <w:r>
              <w:rPr>
                <w:color w:val="000000"/>
                <w:kern w:val="2"/>
                <w:szCs w:val="24"/>
              </w:rPr>
              <w:t>监控自然衰减</w:t>
            </w:r>
          </w:p>
        </w:tc>
        <w:tc>
          <w:tcPr>
            <w:tcW w:w="909" w:type="pct"/>
            <w:tcBorders>
              <w:top w:val="nil"/>
              <w:left w:val="nil"/>
              <w:bottom w:val="nil"/>
              <w:right w:val="nil"/>
            </w:tcBorders>
            <w:shd w:val="clear" w:color="auto" w:fill="FFFFFF"/>
            <w:vAlign w:val="center"/>
          </w:tcPr>
          <w:p w14:paraId="73973595">
            <w:pPr>
              <w:widowControl/>
              <w:jc w:val="center"/>
              <w:rPr>
                <w:color w:val="000000"/>
                <w:szCs w:val="21"/>
              </w:rPr>
            </w:pPr>
            <w:r>
              <w:rPr>
                <w:color w:val="000000"/>
                <w:kern w:val="2"/>
                <w:szCs w:val="24"/>
              </w:rPr>
              <w:t>风险管控</w:t>
            </w:r>
          </w:p>
        </w:tc>
        <w:tc>
          <w:tcPr>
            <w:tcW w:w="1861" w:type="pct"/>
            <w:tcBorders>
              <w:top w:val="nil"/>
              <w:left w:val="nil"/>
              <w:bottom w:val="nil"/>
              <w:right w:val="nil"/>
            </w:tcBorders>
            <w:shd w:val="clear" w:color="auto" w:fill="FFFFFF"/>
            <w:vAlign w:val="center"/>
          </w:tcPr>
          <w:p w14:paraId="0AEF7F3B">
            <w:pPr>
              <w:widowControl/>
              <w:jc w:val="center"/>
              <w:rPr>
                <w:color w:val="000000"/>
                <w:kern w:val="2"/>
                <w:szCs w:val="24"/>
              </w:rPr>
            </w:pPr>
            <w:r>
              <w:rPr>
                <w:color w:val="000000"/>
                <w:kern w:val="2"/>
                <w:szCs w:val="24"/>
              </w:rPr>
              <w:t>轻非水相液体、重非水相液体、</w:t>
            </w:r>
          </w:p>
          <w:p w14:paraId="20F0B5B4">
            <w:pPr>
              <w:widowControl/>
              <w:jc w:val="center"/>
              <w:rPr>
                <w:color w:val="000000"/>
                <w:szCs w:val="21"/>
              </w:rPr>
            </w:pPr>
            <w:r>
              <w:rPr>
                <w:color w:val="000000"/>
                <w:kern w:val="2"/>
                <w:szCs w:val="24"/>
              </w:rPr>
              <w:t>难降解有机物</w:t>
            </w:r>
          </w:p>
        </w:tc>
        <w:tc>
          <w:tcPr>
            <w:tcW w:w="639" w:type="pct"/>
            <w:tcBorders>
              <w:top w:val="nil"/>
              <w:left w:val="nil"/>
              <w:bottom w:val="nil"/>
              <w:right w:val="nil"/>
            </w:tcBorders>
            <w:shd w:val="clear" w:color="auto" w:fill="FFFFFF"/>
            <w:vAlign w:val="center"/>
          </w:tcPr>
          <w:p w14:paraId="4D7787DE">
            <w:pPr>
              <w:widowControl/>
              <w:jc w:val="center"/>
              <w:rPr>
                <w:color w:val="000000"/>
                <w:szCs w:val="21"/>
              </w:rPr>
            </w:pPr>
            <w:r>
              <w:rPr>
                <w:color w:val="000000"/>
                <w:kern w:val="2"/>
                <w:szCs w:val="24"/>
              </w:rPr>
              <w:t>/</w:t>
            </w:r>
          </w:p>
        </w:tc>
      </w:tr>
      <w:tr w14:paraId="1737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1CCA3E3E">
            <w:pPr>
              <w:widowControl/>
              <w:jc w:val="center"/>
              <w:rPr>
                <w:color w:val="000000"/>
                <w:szCs w:val="21"/>
              </w:rPr>
            </w:pPr>
            <w:r>
              <w:rPr>
                <w:color w:val="000000"/>
                <w:kern w:val="2"/>
                <w:szCs w:val="24"/>
              </w:rPr>
              <w:t>水力截获</w:t>
            </w:r>
          </w:p>
        </w:tc>
        <w:tc>
          <w:tcPr>
            <w:tcW w:w="909" w:type="pct"/>
            <w:tcBorders>
              <w:top w:val="nil"/>
              <w:left w:val="nil"/>
              <w:bottom w:val="nil"/>
              <w:right w:val="nil"/>
            </w:tcBorders>
            <w:shd w:val="clear" w:color="auto" w:fill="FFFFFF"/>
            <w:vAlign w:val="center"/>
          </w:tcPr>
          <w:p w14:paraId="15C2874D">
            <w:pPr>
              <w:widowControl/>
              <w:jc w:val="center"/>
              <w:rPr>
                <w:color w:val="000000"/>
                <w:szCs w:val="21"/>
              </w:rPr>
            </w:pPr>
            <w:r>
              <w:rPr>
                <w:color w:val="000000"/>
                <w:kern w:val="2"/>
                <w:szCs w:val="24"/>
              </w:rPr>
              <w:t>风险管控</w:t>
            </w:r>
          </w:p>
        </w:tc>
        <w:tc>
          <w:tcPr>
            <w:tcW w:w="1861" w:type="pct"/>
            <w:tcBorders>
              <w:top w:val="nil"/>
              <w:left w:val="nil"/>
              <w:bottom w:val="nil"/>
              <w:right w:val="nil"/>
            </w:tcBorders>
            <w:shd w:val="clear" w:color="auto" w:fill="FFFFFF"/>
            <w:vAlign w:val="center"/>
          </w:tcPr>
          <w:p w14:paraId="62CD3FFB">
            <w:pPr>
              <w:widowControl/>
              <w:jc w:val="center"/>
              <w:rPr>
                <w:color w:val="000000"/>
                <w:szCs w:val="21"/>
              </w:rPr>
            </w:pPr>
            <w:r>
              <w:rPr>
                <w:color w:val="000000"/>
                <w:kern w:val="2"/>
                <w:szCs w:val="24"/>
              </w:rPr>
              <w:t>/</w:t>
            </w:r>
          </w:p>
        </w:tc>
        <w:tc>
          <w:tcPr>
            <w:tcW w:w="639" w:type="pct"/>
            <w:tcBorders>
              <w:top w:val="nil"/>
              <w:left w:val="nil"/>
              <w:bottom w:val="nil"/>
              <w:right w:val="nil"/>
            </w:tcBorders>
            <w:shd w:val="clear" w:color="auto" w:fill="FFFFFF"/>
            <w:vAlign w:val="center"/>
          </w:tcPr>
          <w:p w14:paraId="771C640F">
            <w:pPr>
              <w:widowControl/>
              <w:jc w:val="center"/>
              <w:rPr>
                <w:color w:val="000000"/>
                <w:szCs w:val="21"/>
              </w:rPr>
            </w:pPr>
            <w:r>
              <w:rPr>
                <w:color w:val="000000"/>
                <w:kern w:val="2"/>
                <w:szCs w:val="24"/>
              </w:rPr>
              <w:t>/</w:t>
            </w:r>
          </w:p>
        </w:tc>
      </w:tr>
      <w:tr w14:paraId="50B7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4AE316EF">
            <w:pPr>
              <w:widowControl/>
              <w:jc w:val="center"/>
              <w:rPr>
                <w:color w:val="000000"/>
                <w:szCs w:val="21"/>
              </w:rPr>
            </w:pPr>
            <w:r>
              <w:rPr>
                <w:color w:val="000000"/>
                <w:kern w:val="2"/>
                <w:szCs w:val="24"/>
              </w:rPr>
              <w:t>可渗透反应墙</w:t>
            </w:r>
          </w:p>
        </w:tc>
        <w:tc>
          <w:tcPr>
            <w:tcW w:w="909" w:type="pct"/>
            <w:tcBorders>
              <w:top w:val="nil"/>
              <w:left w:val="nil"/>
              <w:bottom w:val="nil"/>
              <w:right w:val="nil"/>
            </w:tcBorders>
            <w:shd w:val="clear" w:color="auto" w:fill="FFFFFF"/>
            <w:vAlign w:val="center"/>
          </w:tcPr>
          <w:p w14:paraId="04F3A8E4">
            <w:pPr>
              <w:widowControl/>
              <w:jc w:val="center"/>
              <w:rPr>
                <w:color w:val="000000"/>
                <w:szCs w:val="21"/>
              </w:rPr>
            </w:pPr>
            <w:r>
              <w:rPr>
                <w:color w:val="000000"/>
                <w:kern w:val="2"/>
                <w:szCs w:val="24"/>
              </w:rPr>
              <w:t>风险管控</w:t>
            </w:r>
          </w:p>
        </w:tc>
        <w:tc>
          <w:tcPr>
            <w:tcW w:w="1861" w:type="pct"/>
            <w:tcBorders>
              <w:top w:val="nil"/>
              <w:left w:val="nil"/>
              <w:bottom w:val="nil"/>
              <w:right w:val="nil"/>
            </w:tcBorders>
            <w:shd w:val="clear" w:color="auto" w:fill="FFFFFF"/>
            <w:vAlign w:val="center"/>
          </w:tcPr>
          <w:p w14:paraId="12A2F30B">
            <w:pPr>
              <w:widowControl/>
              <w:jc w:val="center"/>
              <w:rPr>
                <w:color w:val="000000"/>
                <w:szCs w:val="21"/>
              </w:rPr>
            </w:pPr>
            <w:r>
              <w:rPr>
                <w:color w:val="000000"/>
                <w:kern w:val="2"/>
                <w:szCs w:val="24"/>
              </w:rPr>
              <w:t>/</w:t>
            </w:r>
          </w:p>
        </w:tc>
        <w:tc>
          <w:tcPr>
            <w:tcW w:w="639" w:type="pct"/>
            <w:tcBorders>
              <w:top w:val="nil"/>
              <w:left w:val="nil"/>
              <w:bottom w:val="nil"/>
              <w:right w:val="nil"/>
            </w:tcBorders>
            <w:shd w:val="clear" w:color="auto" w:fill="FFFFFF"/>
            <w:vAlign w:val="center"/>
          </w:tcPr>
          <w:p w14:paraId="1052BA07">
            <w:pPr>
              <w:widowControl/>
              <w:jc w:val="center"/>
              <w:rPr>
                <w:color w:val="000000"/>
                <w:szCs w:val="21"/>
              </w:rPr>
            </w:pPr>
            <w:r>
              <w:rPr>
                <w:color w:val="000000"/>
                <w:kern w:val="2"/>
                <w:szCs w:val="24"/>
              </w:rPr>
              <w:t>/</w:t>
            </w:r>
          </w:p>
        </w:tc>
      </w:tr>
      <w:tr w14:paraId="23C7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223FED99">
            <w:pPr>
              <w:widowControl/>
              <w:jc w:val="center"/>
              <w:rPr>
                <w:color w:val="000000"/>
                <w:szCs w:val="21"/>
              </w:rPr>
            </w:pPr>
            <w:r>
              <w:rPr>
                <w:color w:val="000000"/>
                <w:kern w:val="2"/>
                <w:szCs w:val="24"/>
              </w:rPr>
              <w:t>抽出处理</w:t>
            </w:r>
          </w:p>
        </w:tc>
        <w:tc>
          <w:tcPr>
            <w:tcW w:w="909" w:type="pct"/>
            <w:tcBorders>
              <w:top w:val="nil"/>
              <w:left w:val="nil"/>
              <w:bottom w:val="nil"/>
              <w:right w:val="nil"/>
            </w:tcBorders>
            <w:shd w:val="clear" w:color="auto" w:fill="FFFFFF"/>
            <w:vAlign w:val="center"/>
          </w:tcPr>
          <w:p w14:paraId="098ABB1C">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2A38E150">
            <w:pPr>
              <w:widowControl/>
              <w:jc w:val="center"/>
              <w:rPr>
                <w:color w:val="000000"/>
                <w:szCs w:val="21"/>
              </w:rPr>
            </w:pPr>
            <w:r>
              <w:rPr>
                <w:color w:val="000000"/>
                <w:kern w:val="2"/>
                <w:szCs w:val="24"/>
              </w:rPr>
              <w:t>/</w:t>
            </w:r>
          </w:p>
        </w:tc>
        <w:tc>
          <w:tcPr>
            <w:tcW w:w="639" w:type="pct"/>
            <w:tcBorders>
              <w:top w:val="nil"/>
              <w:left w:val="nil"/>
              <w:bottom w:val="nil"/>
              <w:right w:val="nil"/>
            </w:tcBorders>
            <w:shd w:val="clear" w:color="auto" w:fill="FFFFFF"/>
            <w:vAlign w:val="center"/>
          </w:tcPr>
          <w:p w14:paraId="6328801E">
            <w:pPr>
              <w:widowControl/>
              <w:jc w:val="center"/>
              <w:rPr>
                <w:color w:val="000000"/>
                <w:szCs w:val="21"/>
              </w:rPr>
            </w:pPr>
            <w:r>
              <w:rPr>
                <w:color w:val="000000"/>
                <w:kern w:val="2"/>
                <w:szCs w:val="24"/>
              </w:rPr>
              <w:t>/</w:t>
            </w:r>
          </w:p>
        </w:tc>
      </w:tr>
      <w:tr w14:paraId="5092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499E051C">
            <w:pPr>
              <w:widowControl/>
              <w:jc w:val="center"/>
              <w:rPr>
                <w:color w:val="000000"/>
                <w:szCs w:val="21"/>
              </w:rPr>
            </w:pPr>
            <w:r>
              <w:rPr>
                <w:color w:val="000000"/>
                <w:kern w:val="2"/>
                <w:szCs w:val="24"/>
              </w:rPr>
              <w:t>原位热脱附</w:t>
            </w:r>
          </w:p>
        </w:tc>
        <w:tc>
          <w:tcPr>
            <w:tcW w:w="909" w:type="pct"/>
            <w:tcBorders>
              <w:top w:val="nil"/>
              <w:left w:val="nil"/>
              <w:bottom w:val="nil"/>
              <w:right w:val="nil"/>
            </w:tcBorders>
            <w:shd w:val="clear" w:color="auto" w:fill="FFFFFF"/>
            <w:vAlign w:val="center"/>
          </w:tcPr>
          <w:p w14:paraId="4E36E195">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2A78E5E0">
            <w:pPr>
              <w:widowControl/>
              <w:jc w:val="center"/>
              <w:rPr>
                <w:color w:val="000000"/>
                <w:szCs w:val="21"/>
              </w:rPr>
            </w:pPr>
            <w:r>
              <w:rPr>
                <w:color w:val="000000"/>
                <w:kern w:val="2"/>
                <w:szCs w:val="24"/>
              </w:rPr>
              <w:t>腐蚀性污染物、重金属及无机物（汞除外）</w:t>
            </w:r>
          </w:p>
        </w:tc>
        <w:tc>
          <w:tcPr>
            <w:tcW w:w="639" w:type="pct"/>
            <w:tcBorders>
              <w:top w:val="nil"/>
              <w:left w:val="nil"/>
              <w:bottom w:val="nil"/>
              <w:right w:val="nil"/>
            </w:tcBorders>
            <w:shd w:val="clear" w:color="auto" w:fill="FFFFFF"/>
            <w:vAlign w:val="center"/>
          </w:tcPr>
          <w:p w14:paraId="7B17868E">
            <w:pPr>
              <w:widowControl/>
              <w:jc w:val="center"/>
              <w:rPr>
                <w:color w:val="000000"/>
                <w:szCs w:val="21"/>
              </w:rPr>
            </w:pPr>
            <w:r>
              <w:rPr>
                <w:color w:val="000000"/>
                <w:kern w:val="2"/>
                <w:szCs w:val="24"/>
              </w:rPr>
              <w:t>粘土</w:t>
            </w:r>
          </w:p>
        </w:tc>
      </w:tr>
      <w:tr w14:paraId="3249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0C3E44BC">
            <w:pPr>
              <w:widowControl/>
              <w:jc w:val="center"/>
              <w:rPr>
                <w:color w:val="000000"/>
                <w:szCs w:val="21"/>
              </w:rPr>
            </w:pPr>
            <w:r>
              <w:rPr>
                <w:color w:val="000000"/>
                <w:kern w:val="2"/>
                <w:szCs w:val="24"/>
              </w:rPr>
              <w:t>原位化学氧化</w:t>
            </w:r>
          </w:p>
        </w:tc>
        <w:tc>
          <w:tcPr>
            <w:tcW w:w="909" w:type="pct"/>
            <w:tcBorders>
              <w:top w:val="nil"/>
              <w:left w:val="nil"/>
              <w:bottom w:val="nil"/>
              <w:right w:val="nil"/>
            </w:tcBorders>
            <w:shd w:val="clear" w:color="auto" w:fill="FFFFFF"/>
            <w:vAlign w:val="center"/>
          </w:tcPr>
          <w:p w14:paraId="4BDF95F2">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5B8840DA">
            <w:pPr>
              <w:widowControl/>
              <w:jc w:val="center"/>
              <w:rPr>
                <w:color w:val="000000"/>
                <w:kern w:val="2"/>
                <w:szCs w:val="24"/>
              </w:rPr>
            </w:pPr>
            <w:r>
              <w:rPr>
                <w:color w:val="000000"/>
                <w:kern w:val="2"/>
                <w:szCs w:val="24"/>
              </w:rPr>
              <w:t>重金属及无机物（除氰化物）、</w:t>
            </w:r>
          </w:p>
          <w:p w14:paraId="152CC02B">
            <w:pPr>
              <w:widowControl/>
              <w:jc w:val="center"/>
              <w:rPr>
                <w:color w:val="000000"/>
                <w:szCs w:val="21"/>
              </w:rPr>
            </w:pPr>
            <w:r>
              <w:rPr>
                <w:color w:val="000000"/>
                <w:kern w:val="2"/>
                <w:szCs w:val="24"/>
              </w:rPr>
              <w:t>氯代有机物（除氯代有机溶剂）</w:t>
            </w:r>
          </w:p>
        </w:tc>
        <w:tc>
          <w:tcPr>
            <w:tcW w:w="639" w:type="pct"/>
            <w:tcBorders>
              <w:top w:val="nil"/>
              <w:left w:val="nil"/>
              <w:bottom w:val="nil"/>
              <w:right w:val="nil"/>
            </w:tcBorders>
            <w:shd w:val="clear" w:color="auto" w:fill="FFFFFF"/>
            <w:vAlign w:val="center"/>
          </w:tcPr>
          <w:p w14:paraId="70D4E458">
            <w:pPr>
              <w:widowControl/>
              <w:jc w:val="center"/>
              <w:rPr>
                <w:color w:val="000000"/>
                <w:szCs w:val="21"/>
              </w:rPr>
            </w:pPr>
            <w:r>
              <w:rPr>
                <w:color w:val="000000"/>
                <w:kern w:val="2"/>
                <w:szCs w:val="24"/>
              </w:rPr>
              <w:t>/</w:t>
            </w:r>
          </w:p>
        </w:tc>
      </w:tr>
      <w:tr w14:paraId="4DEF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3606BF99">
            <w:pPr>
              <w:widowControl/>
              <w:jc w:val="center"/>
              <w:rPr>
                <w:color w:val="000000"/>
                <w:szCs w:val="21"/>
              </w:rPr>
            </w:pPr>
            <w:r>
              <w:rPr>
                <w:color w:val="000000"/>
                <w:kern w:val="2"/>
                <w:szCs w:val="24"/>
              </w:rPr>
              <w:t>原位化学还原</w:t>
            </w:r>
          </w:p>
        </w:tc>
        <w:tc>
          <w:tcPr>
            <w:tcW w:w="909" w:type="pct"/>
            <w:tcBorders>
              <w:top w:val="nil"/>
              <w:left w:val="nil"/>
              <w:bottom w:val="nil"/>
              <w:right w:val="nil"/>
            </w:tcBorders>
            <w:shd w:val="clear" w:color="auto" w:fill="FFFFFF"/>
            <w:vAlign w:val="center"/>
          </w:tcPr>
          <w:p w14:paraId="3BF11B10">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2BA7FD6B">
            <w:pPr>
              <w:widowControl/>
              <w:jc w:val="center"/>
              <w:rPr>
                <w:color w:val="000000"/>
                <w:szCs w:val="21"/>
              </w:rPr>
            </w:pPr>
            <w:r>
              <w:rPr>
                <w:color w:val="000000"/>
                <w:kern w:val="2"/>
                <w:szCs w:val="24"/>
              </w:rPr>
              <w:t>挥发性有机物+半挥发性有机物（除氯代有机物）、石油烃</w:t>
            </w:r>
          </w:p>
        </w:tc>
        <w:tc>
          <w:tcPr>
            <w:tcW w:w="639" w:type="pct"/>
            <w:tcBorders>
              <w:top w:val="nil"/>
              <w:left w:val="nil"/>
              <w:bottom w:val="nil"/>
              <w:right w:val="nil"/>
            </w:tcBorders>
            <w:shd w:val="clear" w:color="auto" w:fill="FFFFFF"/>
            <w:vAlign w:val="center"/>
          </w:tcPr>
          <w:p w14:paraId="66B1CC15">
            <w:pPr>
              <w:widowControl/>
              <w:jc w:val="center"/>
              <w:rPr>
                <w:color w:val="000000"/>
                <w:szCs w:val="21"/>
              </w:rPr>
            </w:pPr>
            <w:r>
              <w:rPr>
                <w:color w:val="000000"/>
                <w:kern w:val="2"/>
                <w:szCs w:val="24"/>
              </w:rPr>
              <w:t>/</w:t>
            </w:r>
          </w:p>
        </w:tc>
      </w:tr>
      <w:bookmarkEnd w:id="68"/>
      <w:tr w14:paraId="5BEF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6CFCEE39">
            <w:pPr>
              <w:widowControl/>
              <w:jc w:val="center"/>
              <w:rPr>
                <w:color w:val="000000"/>
                <w:szCs w:val="21"/>
              </w:rPr>
            </w:pPr>
            <w:r>
              <w:rPr>
                <w:color w:val="000000"/>
                <w:kern w:val="2"/>
                <w:szCs w:val="24"/>
              </w:rPr>
              <w:t>曝气</w:t>
            </w:r>
          </w:p>
        </w:tc>
        <w:tc>
          <w:tcPr>
            <w:tcW w:w="909" w:type="pct"/>
            <w:tcBorders>
              <w:top w:val="nil"/>
              <w:left w:val="nil"/>
              <w:bottom w:val="nil"/>
              <w:right w:val="nil"/>
            </w:tcBorders>
            <w:shd w:val="clear" w:color="auto" w:fill="FFFFFF"/>
            <w:vAlign w:val="center"/>
          </w:tcPr>
          <w:p w14:paraId="3E4BF72B">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03560D35">
            <w:pPr>
              <w:widowControl/>
              <w:jc w:val="center"/>
              <w:rPr>
                <w:color w:val="000000"/>
                <w:szCs w:val="21"/>
              </w:rPr>
            </w:pPr>
            <w:r>
              <w:rPr>
                <w:color w:val="000000"/>
                <w:kern w:val="2"/>
                <w:szCs w:val="24"/>
              </w:rPr>
              <w:t>重金属及无机物、难降解有机物、轻非水相液体、重非水相液体</w:t>
            </w:r>
          </w:p>
        </w:tc>
        <w:tc>
          <w:tcPr>
            <w:tcW w:w="639" w:type="pct"/>
            <w:tcBorders>
              <w:top w:val="nil"/>
              <w:left w:val="nil"/>
              <w:bottom w:val="nil"/>
              <w:right w:val="nil"/>
            </w:tcBorders>
            <w:shd w:val="clear" w:color="auto" w:fill="FFFFFF"/>
            <w:vAlign w:val="center"/>
          </w:tcPr>
          <w:p w14:paraId="174562E7">
            <w:pPr>
              <w:widowControl/>
              <w:jc w:val="center"/>
              <w:rPr>
                <w:color w:val="000000"/>
                <w:szCs w:val="21"/>
              </w:rPr>
            </w:pPr>
            <w:r>
              <w:rPr>
                <w:color w:val="000000"/>
                <w:kern w:val="2"/>
                <w:szCs w:val="24"/>
              </w:rPr>
              <w:t>粘土</w:t>
            </w:r>
          </w:p>
        </w:tc>
      </w:tr>
      <w:tr w14:paraId="30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1FFDBE28">
            <w:pPr>
              <w:widowControl/>
              <w:jc w:val="center"/>
              <w:rPr>
                <w:color w:val="000000"/>
                <w:szCs w:val="21"/>
              </w:rPr>
            </w:pPr>
            <w:r>
              <w:rPr>
                <w:color w:val="000000"/>
                <w:kern w:val="2"/>
                <w:szCs w:val="24"/>
              </w:rPr>
              <w:t>原位生物修复</w:t>
            </w:r>
          </w:p>
        </w:tc>
        <w:tc>
          <w:tcPr>
            <w:tcW w:w="909" w:type="pct"/>
            <w:tcBorders>
              <w:top w:val="nil"/>
              <w:left w:val="nil"/>
              <w:bottom w:val="nil"/>
              <w:right w:val="nil"/>
            </w:tcBorders>
            <w:shd w:val="clear" w:color="auto" w:fill="FFFFFF"/>
            <w:vAlign w:val="center"/>
          </w:tcPr>
          <w:p w14:paraId="6474C63E">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6EE61DD3">
            <w:pPr>
              <w:widowControl/>
              <w:jc w:val="center"/>
              <w:rPr>
                <w:color w:val="000000"/>
                <w:szCs w:val="21"/>
              </w:rPr>
            </w:pPr>
            <w:r>
              <w:rPr>
                <w:color w:val="000000"/>
                <w:kern w:val="2"/>
                <w:szCs w:val="24"/>
              </w:rPr>
              <w:t>重金属及无机物</w:t>
            </w:r>
          </w:p>
        </w:tc>
        <w:tc>
          <w:tcPr>
            <w:tcW w:w="639" w:type="pct"/>
            <w:tcBorders>
              <w:top w:val="nil"/>
              <w:left w:val="nil"/>
              <w:bottom w:val="nil"/>
              <w:right w:val="nil"/>
            </w:tcBorders>
            <w:shd w:val="clear" w:color="auto" w:fill="FFFFFF"/>
            <w:vAlign w:val="center"/>
          </w:tcPr>
          <w:p w14:paraId="0D1317AC">
            <w:pPr>
              <w:widowControl/>
              <w:jc w:val="center"/>
              <w:rPr>
                <w:color w:val="000000"/>
                <w:szCs w:val="21"/>
              </w:rPr>
            </w:pPr>
            <w:r>
              <w:rPr>
                <w:color w:val="000000"/>
                <w:kern w:val="2"/>
                <w:szCs w:val="24"/>
              </w:rPr>
              <w:t>/</w:t>
            </w:r>
          </w:p>
        </w:tc>
      </w:tr>
      <w:tr w14:paraId="2ABE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364A0E50">
            <w:pPr>
              <w:widowControl/>
              <w:jc w:val="center"/>
              <w:rPr>
                <w:color w:val="000000"/>
                <w:szCs w:val="21"/>
              </w:rPr>
            </w:pPr>
            <w:r>
              <w:rPr>
                <w:color w:val="000000"/>
                <w:kern w:val="2"/>
                <w:szCs w:val="24"/>
              </w:rPr>
              <w:t>循环井</w:t>
            </w:r>
          </w:p>
        </w:tc>
        <w:tc>
          <w:tcPr>
            <w:tcW w:w="909" w:type="pct"/>
            <w:tcBorders>
              <w:top w:val="nil"/>
              <w:left w:val="nil"/>
              <w:bottom w:val="nil"/>
              <w:right w:val="nil"/>
            </w:tcBorders>
            <w:shd w:val="clear" w:color="auto" w:fill="FFFFFF"/>
            <w:vAlign w:val="center"/>
          </w:tcPr>
          <w:p w14:paraId="5213D8F8">
            <w:pPr>
              <w:widowControl/>
              <w:jc w:val="center"/>
              <w:rPr>
                <w:color w:val="000000"/>
                <w:szCs w:val="21"/>
              </w:rPr>
            </w:pPr>
            <w:r>
              <w:rPr>
                <w:color w:val="000000"/>
                <w:kern w:val="2"/>
                <w:szCs w:val="24"/>
              </w:rPr>
              <w:t>修复</w:t>
            </w:r>
          </w:p>
        </w:tc>
        <w:tc>
          <w:tcPr>
            <w:tcW w:w="1861" w:type="pct"/>
            <w:tcBorders>
              <w:top w:val="nil"/>
              <w:left w:val="nil"/>
              <w:bottom w:val="nil"/>
              <w:right w:val="nil"/>
            </w:tcBorders>
            <w:shd w:val="clear" w:color="auto" w:fill="FFFFFF"/>
            <w:vAlign w:val="center"/>
          </w:tcPr>
          <w:p w14:paraId="5E778DFD">
            <w:pPr>
              <w:widowControl/>
              <w:jc w:val="center"/>
              <w:rPr>
                <w:color w:val="000000"/>
                <w:szCs w:val="21"/>
              </w:rPr>
            </w:pPr>
            <w:r>
              <w:rPr>
                <w:color w:val="000000"/>
                <w:kern w:val="2"/>
                <w:szCs w:val="24"/>
              </w:rPr>
              <w:t>重金属及无机物</w:t>
            </w:r>
          </w:p>
        </w:tc>
        <w:tc>
          <w:tcPr>
            <w:tcW w:w="639" w:type="pct"/>
            <w:tcBorders>
              <w:top w:val="nil"/>
              <w:left w:val="nil"/>
              <w:bottom w:val="nil"/>
              <w:right w:val="nil"/>
            </w:tcBorders>
            <w:shd w:val="clear" w:color="auto" w:fill="FFFFFF"/>
            <w:vAlign w:val="center"/>
          </w:tcPr>
          <w:p w14:paraId="2B8F1255">
            <w:pPr>
              <w:widowControl/>
              <w:jc w:val="center"/>
              <w:rPr>
                <w:color w:val="000000"/>
                <w:szCs w:val="21"/>
              </w:rPr>
            </w:pPr>
            <w:r>
              <w:rPr>
                <w:color w:val="000000"/>
                <w:kern w:val="2"/>
                <w:szCs w:val="24"/>
              </w:rPr>
              <w:t>/</w:t>
            </w:r>
          </w:p>
        </w:tc>
      </w:tr>
      <w:tr w14:paraId="6140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7C29E022">
            <w:pPr>
              <w:widowControl/>
              <w:jc w:val="center"/>
              <w:rPr>
                <w:color w:val="000000"/>
                <w:kern w:val="2"/>
                <w:szCs w:val="24"/>
              </w:rPr>
            </w:pPr>
            <w:r>
              <w:rPr>
                <w:color w:val="000000"/>
                <w:kern w:val="2"/>
                <w:szCs w:val="24"/>
              </w:rPr>
              <w:t>多相抽提</w:t>
            </w:r>
          </w:p>
        </w:tc>
        <w:tc>
          <w:tcPr>
            <w:tcW w:w="909" w:type="pct"/>
            <w:tcBorders>
              <w:top w:val="nil"/>
              <w:left w:val="nil"/>
              <w:bottom w:val="nil"/>
              <w:right w:val="nil"/>
            </w:tcBorders>
            <w:shd w:val="clear" w:color="auto" w:fill="FFFFFF"/>
            <w:vAlign w:val="center"/>
          </w:tcPr>
          <w:p w14:paraId="6D8865BF">
            <w:pPr>
              <w:widowControl/>
              <w:jc w:val="center"/>
              <w:rPr>
                <w:color w:val="000000"/>
                <w:kern w:val="2"/>
                <w:szCs w:val="24"/>
              </w:rPr>
            </w:pPr>
            <w:r>
              <w:rPr>
                <w:color w:val="000000"/>
                <w:kern w:val="2"/>
                <w:szCs w:val="24"/>
              </w:rPr>
              <w:t>修复</w:t>
            </w:r>
          </w:p>
        </w:tc>
        <w:tc>
          <w:tcPr>
            <w:tcW w:w="1861" w:type="pct"/>
            <w:tcBorders>
              <w:top w:val="nil"/>
              <w:left w:val="nil"/>
              <w:bottom w:val="nil"/>
              <w:right w:val="nil"/>
            </w:tcBorders>
            <w:shd w:val="clear" w:color="auto" w:fill="FFFFFF"/>
            <w:vAlign w:val="center"/>
          </w:tcPr>
          <w:p w14:paraId="24B431B8">
            <w:pPr>
              <w:widowControl/>
              <w:jc w:val="center"/>
              <w:rPr>
                <w:color w:val="000000"/>
                <w:kern w:val="2"/>
                <w:szCs w:val="24"/>
              </w:rPr>
            </w:pPr>
            <w:r>
              <w:rPr>
                <w:color w:val="000000"/>
                <w:kern w:val="2"/>
                <w:szCs w:val="24"/>
              </w:rPr>
              <w:t>重金属及无机物</w:t>
            </w:r>
          </w:p>
        </w:tc>
        <w:tc>
          <w:tcPr>
            <w:tcW w:w="639" w:type="pct"/>
            <w:tcBorders>
              <w:top w:val="nil"/>
              <w:left w:val="nil"/>
              <w:bottom w:val="nil"/>
              <w:right w:val="nil"/>
            </w:tcBorders>
            <w:shd w:val="clear" w:color="auto" w:fill="FFFFFF"/>
            <w:vAlign w:val="center"/>
          </w:tcPr>
          <w:p w14:paraId="2FE437E3">
            <w:pPr>
              <w:widowControl/>
              <w:jc w:val="center"/>
              <w:rPr>
                <w:color w:val="000000"/>
                <w:kern w:val="2"/>
                <w:szCs w:val="24"/>
              </w:rPr>
            </w:pPr>
            <w:r>
              <w:rPr>
                <w:color w:val="000000"/>
                <w:kern w:val="2"/>
                <w:szCs w:val="24"/>
              </w:rPr>
              <w:t>粘土</w:t>
            </w:r>
          </w:p>
        </w:tc>
      </w:tr>
      <w:tr w14:paraId="0DF0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0C931CE7">
            <w:pPr>
              <w:widowControl/>
              <w:jc w:val="center"/>
              <w:rPr>
                <w:color w:val="000000"/>
                <w:kern w:val="2"/>
                <w:szCs w:val="24"/>
              </w:rPr>
            </w:pPr>
            <w:r>
              <w:rPr>
                <w:color w:val="000000"/>
                <w:kern w:val="2"/>
                <w:szCs w:val="24"/>
              </w:rPr>
              <w:t>监控自然衰减+可渗透反应墙</w:t>
            </w:r>
          </w:p>
        </w:tc>
        <w:tc>
          <w:tcPr>
            <w:tcW w:w="909" w:type="pct"/>
            <w:tcBorders>
              <w:top w:val="nil"/>
              <w:left w:val="nil"/>
              <w:bottom w:val="nil"/>
              <w:right w:val="nil"/>
            </w:tcBorders>
            <w:shd w:val="clear" w:color="auto" w:fill="FFFFFF"/>
            <w:vAlign w:val="center"/>
          </w:tcPr>
          <w:p w14:paraId="02C88F28">
            <w:pPr>
              <w:widowControl/>
              <w:jc w:val="center"/>
              <w:rPr>
                <w:color w:val="000000"/>
                <w:kern w:val="2"/>
                <w:szCs w:val="24"/>
              </w:rPr>
            </w:pPr>
            <w:r>
              <w:rPr>
                <w:color w:val="000000"/>
                <w:kern w:val="2"/>
                <w:szCs w:val="24"/>
              </w:rPr>
              <w:t>风险管控</w:t>
            </w:r>
          </w:p>
        </w:tc>
        <w:tc>
          <w:tcPr>
            <w:tcW w:w="1861" w:type="pct"/>
            <w:tcBorders>
              <w:top w:val="nil"/>
              <w:left w:val="nil"/>
              <w:bottom w:val="nil"/>
              <w:right w:val="nil"/>
            </w:tcBorders>
            <w:shd w:val="clear" w:color="auto" w:fill="FFFFFF"/>
            <w:vAlign w:val="center"/>
          </w:tcPr>
          <w:p w14:paraId="63289EB6">
            <w:pPr>
              <w:widowControl/>
              <w:jc w:val="center"/>
              <w:rPr>
                <w:color w:val="000000"/>
                <w:kern w:val="2"/>
                <w:szCs w:val="24"/>
              </w:rPr>
            </w:pPr>
            <w:r>
              <w:rPr>
                <w:color w:val="000000"/>
                <w:kern w:val="2"/>
                <w:szCs w:val="24"/>
              </w:rPr>
              <w:t>轻非水相液体、重非水相液体、</w:t>
            </w:r>
          </w:p>
          <w:p w14:paraId="285D9A44">
            <w:pPr>
              <w:widowControl/>
              <w:jc w:val="center"/>
              <w:rPr>
                <w:color w:val="000000"/>
                <w:kern w:val="2"/>
                <w:szCs w:val="24"/>
              </w:rPr>
            </w:pPr>
            <w:r>
              <w:rPr>
                <w:color w:val="000000"/>
                <w:kern w:val="2"/>
                <w:szCs w:val="24"/>
              </w:rPr>
              <w:t>难降解有机物</w:t>
            </w:r>
          </w:p>
        </w:tc>
        <w:tc>
          <w:tcPr>
            <w:tcW w:w="639" w:type="pct"/>
            <w:tcBorders>
              <w:top w:val="nil"/>
              <w:left w:val="nil"/>
              <w:bottom w:val="nil"/>
              <w:right w:val="nil"/>
            </w:tcBorders>
            <w:shd w:val="clear" w:color="auto" w:fill="FFFFFF"/>
            <w:vAlign w:val="center"/>
          </w:tcPr>
          <w:p w14:paraId="29F3EDA2">
            <w:pPr>
              <w:widowControl/>
              <w:jc w:val="center"/>
              <w:rPr>
                <w:color w:val="000000"/>
                <w:kern w:val="2"/>
                <w:szCs w:val="24"/>
              </w:rPr>
            </w:pPr>
            <w:r>
              <w:rPr>
                <w:color w:val="000000"/>
                <w:kern w:val="2"/>
                <w:szCs w:val="24"/>
              </w:rPr>
              <w:t>/</w:t>
            </w:r>
          </w:p>
        </w:tc>
      </w:tr>
      <w:tr w14:paraId="4CE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51D124C5">
            <w:pPr>
              <w:widowControl/>
              <w:jc w:val="center"/>
              <w:rPr>
                <w:color w:val="000000"/>
                <w:kern w:val="2"/>
                <w:szCs w:val="24"/>
              </w:rPr>
            </w:pPr>
            <w:r>
              <w:rPr>
                <w:color w:val="000000"/>
                <w:kern w:val="2"/>
                <w:szCs w:val="24"/>
              </w:rPr>
              <w:t>抽出处理+原位化学氧化</w:t>
            </w:r>
          </w:p>
        </w:tc>
        <w:tc>
          <w:tcPr>
            <w:tcW w:w="909" w:type="pct"/>
            <w:tcBorders>
              <w:top w:val="nil"/>
              <w:left w:val="nil"/>
              <w:bottom w:val="nil"/>
              <w:right w:val="nil"/>
            </w:tcBorders>
            <w:shd w:val="clear" w:color="auto" w:fill="FFFFFF"/>
            <w:vAlign w:val="center"/>
          </w:tcPr>
          <w:p w14:paraId="5F7C69F6">
            <w:pPr>
              <w:widowControl/>
              <w:jc w:val="center"/>
              <w:rPr>
                <w:color w:val="000000"/>
                <w:kern w:val="2"/>
                <w:szCs w:val="24"/>
              </w:rPr>
            </w:pPr>
            <w:r>
              <w:rPr>
                <w:color w:val="000000"/>
                <w:kern w:val="2"/>
                <w:szCs w:val="24"/>
              </w:rPr>
              <w:t>修复</w:t>
            </w:r>
          </w:p>
        </w:tc>
        <w:tc>
          <w:tcPr>
            <w:tcW w:w="1861" w:type="pct"/>
            <w:tcBorders>
              <w:top w:val="nil"/>
              <w:left w:val="nil"/>
              <w:bottom w:val="nil"/>
              <w:right w:val="nil"/>
            </w:tcBorders>
            <w:shd w:val="clear" w:color="auto" w:fill="FFFFFF"/>
            <w:vAlign w:val="center"/>
          </w:tcPr>
          <w:p w14:paraId="42F9FEC0">
            <w:pPr>
              <w:widowControl/>
              <w:jc w:val="center"/>
              <w:rPr>
                <w:color w:val="000000"/>
                <w:kern w:val="2"/>
                <w:szCs w:val="24"/>
              </w:rPr>
            </w:pPr>
            <w:r>
              <w:rPr>
                <w:color w:val="000000"/>
                <w:kern w:val="2"/>
                <w:szCs w:val="24"/>
              </w:rPr>
              <w:t>重金属及无机物（除氰化物）、氯代有机物（除氯代有机溶剂）</w:t>
            </w:r>
          </w:p>
        </w:tc>
        <w:tc>
          <w:tcPr>
            <w:tcW w:w="639" w:type="pct"/>
            <w:tcBorders>
              <w:top w:val="nil"/>
              <w:left w:val="nil"/>
              <w:bottom w:val="nil"/>
              <w:right w:val="nil"/>
            </w:tcBorders>
            <w:shd w:val="clear" w:color="auto" w:fill="FFFFFF"/>
            <w:vAlign w:val="center"/>
          </w:tcPr>
          <w:p w14:paraId="0BAED34F">
            <w:pPr>
              <w:widowControl/>
              <w:jc w:val="center"/>
              <w:rPr>
                <w:color w:val="000000"/>
                <w:kern w:val="2"/>
                <w:szCs w:val="24"/>
              </w:rPr>
            </w:pPr>
            <w:r>
              <w:rPr>
                <w:color w:val="000000"/>
                <w:kern w:val="2"/>
                <w:szCs w:val="24"/>
              </w:rPr>
              <w:t>/</w:t>
            </w:r>
          </w:p>
        </w:tc>
      </w:tr>
      <w:tr w14:paraId="361D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45335E1C">
            <w:pPr>
              <w:widowControl/>
              <w:jc w:val="center"/>
              <w:rPr>
                <w:color w:val="000000"/>
                <w:kern w:val="2"/>
                <w:szCs w:val="24"/>
              </w:rPr>
            </w:pPr>
            <w:r>
              <w:rPr>
                <w:color w:val="000000"/>
                <w:kern w:val="2"/>
                <w:szCs w:val="24"/>
              </w:rPr>
              <w:t>原位化学氧化+原位生物修复</w:t>
            </w:r>
          </w:p>
        </w:tc>
        <w:tc>
          <w:tcPr>
            <w:tcW w:w="909" w:type="pct"/>
            <w:tcBorders>
              <w:top w:val="nil"/>
              <w:left w:val="nil"/>
              <w:bottom w:val="nil"/>
              <w:right w:val="nil"/>
            </w:tcBorders>
            <w:shd w:val="clear" w:color="auto" w:fill="FFFFFF"/>
            <w:vAlign w:val="center"/>
          </w:tcPr>
          <w:p w14:paraId="5EAE3E13">
            <w:pPr>
              <w:widowControl/>
              <w:jc w:val="center"/>
              <w:rPr>
                <w:color w:val="000000"/>
                <w:kern w:val="2"/>
                <w:szCs w:val="24"/>
              </w:rPr>
            </w:pPr>
            <w:r>
              <w:rPr>
                <w:color w:val="000000"/>
                <w:kern w:val="2"/>
                <w:szCs w:val="24"/>
              </w:rPr>
              <w:t>修复</w:t>
            </w:r>
          </w:p>
        </w:tc>
        <w:tc>
          <w:tcPr>
            <w:tcW w:w="1861" w:type="pct"/>
            <w:tcBorders>
              <w:top w:val="nil"/>
              <w:left w:val="nil"/>
              <w:bottom w:val="nil"/>
              <w:right w:val="nil"/>
            </w:tcBorders>
            <w:shd w:val="clear" w:color="auto" w:fill="FFFFFF"/>
            <w:vAlign w:val="center"/>
          </w:tcPr>
          <w:p w14:paraId="5D9039F0">
            <w:pPr>
              <w:widowControl/>
              <w:jc w:val="center"/>
              <w:rPr>
                <w:color w:val="000000"/>
                <w:kern w:val="2"/>
                <w:szCs w:val="24"/>
              </w:rPr>
            </w:pPr>
            <w:r>
              <w:rPr>
                <w:color w:val="000000"/>
                <w:kern w:val="2"/>
                <w:szCs w:val="24"/>
              </w:rPr>
              <w:t>重金属及无机物（除氰化物）</w:t>
            </w:r>
          </w:p>
        </w:tc>
        <w:tc>
          <w:tcPr>
            <w:tcW w:w="639" w:type="pct"/>
            <w:tcBorders>
              <w:top w:val="nil"/>
              <w:left w:val="nil"/>
              <w:bottom w:val="nil"/>
              <w:right w:val="nil"/>
            </w:tcBorders>
            <w:shd w:val="clear" w:color="auto" w:fill="FFFFFF"/>
            <w:vAlign w:val="center"/>
          </w:tcPr>
          <w:p w14:paraId="010BA0A1">
            <w:pPr>
              <w:widowControl/>
              <w:jc w:val="center"/>
              <w:rPr>
                <w:color w:val="000000"/>
                <w:kern w:val="2"/>
                <w:szCs w:val="24"/>
              </w:rPr>
            </w:pPr>
            <w:r>
              <w:rPr>
                <w:color w:val="000000"/>
                <w:kern w:val="2"/>
                <w:szCs w:val="24"/>
              </w:rPr>
              <w:t>粘土</w:t>
            </w:r>
          </w:p>
        </w:tc>
      </w:tr>
      <w:tr w14:paraId="7EDE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37B1CA8F">
            <w:pPr>
              <w:widowControl/>
              <w:jc w:val="center"/>
              <w:rPr>
                <w:color w:val="000000"/>
                <w:kern w:val="2"/>
                <w:szCs w:val="24"/>
              </w:rPr>
            </w:pPr>
            <w:r>
              <w:rPr>
                <w:color w:val="000000"/>
                <w:kern w:val="2"/>
                <w:szCs w:val="24"/>
              </w:rPr>
              <w:t>原位化学还原</w:t>
            </w:r>
            <w:bookmarkStart w:id="69" w:name="OLE_LINK2"/>
            <w:r>
              <w:rPr>
                <w:color w:val="000000"/>
                <w:kern w:val="2"/>
                <w:szCs w:val="24"/>
              </w:rPr>
              <w:t>+原位生物修复</w:t>
            </w:r>
            <w:bookmarkEnd w:id="69"/>
          </w:p>
        </w:tc>
        <w:tc>
          <w:tcPr>
            <w:tcW w:w="909" w:type="pct"/>
            <w:tcBorders>
              <w:top w:val="nil"/>
              <w:left w:val="nil"/>
              <w:bottom w:val="nil"/>
              <w:right w:val="nil"/>
            </w:tcBorders>
            <w:shd w:val="clear" w:color="auto" w:fill="FFFFFF"/>
            <w:vAlign w:val="center"/>
          </w:tcPr>
          <w:p w14:paraId="3AB4952F">
            <w:pPr>
              <w:widowControl/>
              <w:jc w:val="center"/>
              <w:rPr>
                <w:color w:val="000000"/>
                <w:kern w:val="2"/>
                <w:szCs w:val="24"/>
              </w:rPr>
            </w:pPr>
            <w:r>
              <w:rPr>
                <w:color w:val="000000"/>
                <w:kern w:val="2"/>
                <w:szCs w:val="24"/>
              </w:rPr>
              <w:t>修复</w:t>
            </w:r>
          </w:p>
        </w:tc>
        <w:tc>
          <w:tcPr>
            <w:tcW w:w="1861" w:type="pct"/>
            <w:tcBorders>
              <w:top w:val="nil"/>
              <w:left w:val="nil"/>
              <w:bottom w:val="nil"/>
              <w:right w:val="nil"/>
            </w:tcBorders>
            <w:shd w:val="clear" w:color="auto" w:fill="FFFFFF"/>
            <w:vAlign w:val="center"/>
          </w:tcPr>
          <w:p w14:paraId="3CCBFF9F">
            <w:pPr>
              <w:widowControl/>
              <w:jc w:val="center"/>
              <w:rPr>
                <w:color w:val="000000"/>
                <w:kern w:val="2"/>
                <w:szCs w:val="24"/>
              </w:rPr>
            </w:pPr>
            <w:r>
              <w:rPr>
                <w:color w:val="000000"/>
                <w:kern w:val="2"/>
                <w:szCs w:val="24"/>
              </w:rPr>
              <w:t>重金属及无机物（除氰化物）</w:t>
            </w:r>
          </w:p>
        </w:tc>
        <w:tc>
          <w:tcPr>
            <w:tcW w:w="639" w:type="pct"/>
            <w:tcBorders>
              <w:top w:val="nil"/>
              <w:left w:val="nil"/>
              <w:bottom w:val="nil"/>
              <w:right w:val="nil"/>
            </w:tcBorders>
            <w:shd w:val="clear" w:color="auto" w:fill="FFFFFF"/>
            <w:vAlign w:val="center"/>
          </w:tcPr>
          <w:p w14:paraId="791A3E8A">
            <w:pPr>
              <w:widowControl/>
              <w:jc w:val="center"/>
              <w:rPr>
                <w:color w:val="000000"/>
                <w:kern w:val="2"/>
                <w:szCs w:val="24"/>
              </w:rPr>
            </w:pPr>
            <w:r>
              <w:rPr>
                <w:color w:val="000000"/>
                <w:kern w:val="2"/>
                <w:szCs w:val="24"/>
              </w:rPr>
              <w:t>/</w:t>
            </w:r>
          </w:p>
        </w:tc>
      </w:tr>
      <w:tr w14:paraId="244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nil"/>
              <w:right w:val="nil"/>
            </w:tcBorders>
            <w:shd w:val="clear" w:color="auto" w:fill="FFFFFF"/>
            <w:vAlign w:val="center"/>
          </w:tcPr>
          <w:p w14:paraId="2D9BD837">
            <w:pPr>
              <w:widowControl/>
              <w:jc w:val="center"/>
              <w:rPr>
                <w:color w:val="000000"/>
                <w:kern w:val="2"/>
                <w:szCs w:val="24"/>
              </w:rPr>
            </w:pPr>
            <w:r>
              <w:rPr>
                <w:color w:val="000000"/>
                <w:kern w:val="2"/>
                <w:szCs w:val="24"/>
              </w:rPr>
              <w:t>多相抽提+原位生物修复</w:t>
            </w:r>
          </w:p>
        </w:tc>
        <w:tc>
          <w:tcPr>
            <w:tcW w:w="909" w:type="pct"/>
            <w:tcBorders>
              <w:top w:val="nil"/>
              <w:left w:val="nil"/>
              <w:bottom w:val="nil"/>
              <w:right w:val="nil"/>
            </w:tcBorders>
            <w:shd w:val="clear" w:color="auto" w:fill="FFFFFF"/>
            <w:vAlign w:val="center"/>
          </w:tcPr>
          <w:p w14:paraId="4EC27DB0">
            <w:pPr>
              <w:widowControl/>
              <w:jc w:val="center"/>
              <w:rPr>
                <w:color w:val="000000"/>
                <w:kern w:val="2"/>
                <w:szCs w:val="24"/>
              </w:rPr>
            </w:pPr>
            <w:r>
              <w:rPr>
                <w:color w:val="000000"/>
                <w:kern w:val="2"/>
                <w:szCs w:val="24"/>
              </w:rPr>
              <w:t>修复</w:t>
            </w:r>
          </w:p>
        </w:tc>
        <w:tc>
          <w:tcPr>
            <w:tcW w:w="1861" w:type="pct"/>
            <w:tcBorders>
              <w:top w:val="nil"/>
              <w:left w:val="nil"/>
              <w:bottom w:val="nil"/>
              <w:right w:val="nil"/>
            </w:tcBorders>
            <w:shd w:val="clear" w:color="auto" w:fill="FFFFFF"/>
            <w:vAlign w:val="center"/>
          </w:tcPr>
          <w:p w14:paraId="165C9C43">
            <w:pPr>
              <w:widowControl/>
              <w:jc w:val="center"/>
              <w:rPr>
                <w:color w:val="000000"/>
                <w:kern w:val="2"/>
                <w:szCs w:val="24"/>
              </w:rPr>
            </w:pPr>
            <w:r>
              <w:rPr>
                <w:color w:val="000000"/>
                <w:kern w:val="2"/>
                <w:szCs w:val="24"/>
              </w:rPr>
              <w:t>重金属及无机物</w:t>
            </w:r>
          </w:p>
        </w:tc>
        <w:tc>
          <w:tcPr>
            <w:tcW w:w="639" w:type="pct"/>
            <w:tcBorders>
              <w:top w:val="nil"/>
              <w:left w:val="nil"/>
              <w:bottom w:val="nil"/>
              <w:right w:val="nil"/>
            </w:tcBorders>
            <w:shd w:val="clear" w:color="auto" w:fill="FFFFFF"/>
            <w:vAlign w:val="center"/>
          </w:tcPr>
          <w:p w14:paraId="79E36937">
            <w:pPr>
              <w:widowControl/>
              <w:jc w:val="center"/>
              <w:rPr>
                <w:color w:val="000000"/>
                <w:kern w:val="2"/>
                <w:szCs w:val="24"/>
              </w:rPr>
            </w:pPr>
            <w:r>
              <w:rPr>
                <w:color w:val="000000"/>
                <w:kern w:val="2"/>
                <w:szCs w:val="24"/>
              </w:rPr>
              <w:t>粘土</w:t>
            </w:r>
          </w:p>
        </w:tc>
      </w:tr>
      <w:tr w14:paraId="1332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591" w:type="pct"/>
            <w:tcBorders>
              <w:top w:val="nil"/>
              <w:left w:val="nil"/>
              <w:bottom w:val="single" w:color="000000" w:sz="12" w:space="0"/>
              <w:right w:val="nil"/>
            </w:tcBorders>
            <w:shd w:val="clear" w:color="auto" w:fill="FFFFFF"/>
            <w:vAlign w:val="center"/>
          </w:tcPr>
          <w:p w14:paraId="043DA000">
            <w:pPr>
              <w:widowControl/>
              <w:jc w:val="center"/>
              <w:rPr>
                <w:color w:val="000000"/>
                <w:kern w:val="2"/>
                <w:szCs w:val="24"/>
              </w:rPr>
            </w:pPr>
            <w:r>
              <w:rPr>
                <w:color w:val="000000"/>
                <w:kern w:val="2"/>
                <w:szCs w:val="24"/>
              </w:rPr>
              <w:t>抽出处理+可渗透反应墙</w:t>
            </w:r>
          </w:p>
        </w:tc>
        <w:tc>
          <w:tcPr>
            <w:tcW w:w="909" w:type="pct"/>
            <w:tcBorders>
              <w:top w:val="nil"/>
              <w:left w:val="nil"/>
              <w:bottom w:val="single" w:color="000000" w:sz="12" w:space="0"/>
              <w:right w:val="nil"/>
            </w:tcBorders>
            <w:shd w:val="clear" w:color="auto" w:fill="FFFFFF"/>
            <w:vAlign w:val="center"/>
          </w:tcPr>
          <w:p w14:paraId="4B2FD2CD">
            <w:pPr>
              <w:widowControl/>
              <w:jc w:val="center"/>
              <w:rPr>
                <w:color w:val="000000"/>
                <w:kern w:val="2"/>
                <w:szCs w:val="24"/>
              </w:rPr>
            </w:pPr>
            <w:r>
              <w:rPr>
                <w:color w:val="000000"/>
                <w:kern w:val="2"/>
                <w:szCs w:val="24"/>
              </w:rPr>
              <w:t>风险管控+修复</w:t>
            </w:r>
          </w:p>
        </w:tc>
        <w:tc>
          <w:tcPr>
            <w:tcW w:w="1861" w:type="pct"/>
            <w:tcBorders>
              <w:top w:val="nil"/>
              <w:left w:val="nil"/>
              <w:bottom w:val="single" w:color="000000" w:sz="12" w:space="0"/>
              <w:right w:val="nil"/>
            </w:tcBorders>
            <w:shd w:val="clear" w:color="auto" w:fill="FFFFFF"/>
            <w:vAlign w:val="center"/>
          </w:tcPr>
          <w:p w14:paraId="04B6E229">
            <w:pPr>
              <w:widowControl/>
              <w:jc w:val="center"/>
              <w:rPr>
                <w:color w:val="000000"/>
                <w:kern w:val="2"/>
                <w:szCs w:val="24"/>
              </w:rPr>
            </w:pPr>
            <w:r>
              <w:rPr>
                <w:color w:val="000000"/>
                <w:kern w:val="2"/>
                <w:szCs w:val="24"/>
              </w:rPr>
              <w:t>/</w:t>
            </w:r>
          </w:p>
        </w:tc>
        <w:tc>
          <w:tcPr>
            <w:tcW w:w="639" w:type="pct"/>
            <w:tcBorders>
              <w:top w:val="nil"/>
              <w:left w:val="nil"/>
              <w:bottom w:val="single" w:color="000000" w:sz="12" w:space="0"/>
              <w:right w:val="nil"/>
            </w:tcBorders>
            <w:shd w:val="clear" w:color="auto" w:fill="FFFFFF"/>
            <w:vAlign w:val="center"/>
          </w:tcPr>
          <w:p w14:paraId="770EF0A5">
            <w:pPr>
              <w:widowControl/>
              <w:jc w:val="center"/>
              <w:rPr>
                <w:color w:val="000000"/>
                <w:kern w:val="2"/>
                <w:szCs w:val="24"/>
              </w:rPr>
            </w:pPr>
            <w:r>
              <w:rPr>
                <w:color w:val="000000"/>
                <w:kern w:val="2"/>
                <w:szCs w:val="24"/>
              </w:rPr>
              <w:t>/</w:t>
            </w:r>
          </w:p>
        </w:tc>
      </w:tr>
    </w:tbl>
    <w:p w14:paraId="210E790E">
      <w:pPr>
        <w:widowControl/>
        <w:jc w:val="left"/>
        <w:rPr>
          <w:szCs w:val="21"/>
          <w:lang w:bidi="ar"/>
        </w:rPr>
      </w:pPr>
      <w:r>
        <w:rPr>
          <w:szCs w:val="21"/>
          <w:lang w:bidi="ar"/>
        </w:rPr>
        <w:t>注：/表示技术在任何情况适用或匹配该指标</w:t>
      </w:r>
      <w:r>
        <w:rPr>
          <w:kern w:val="2"/>
          <w:szCs w:val="24"/>
        </w:rPr>
        <w:t>，本表所列技术及适用条件可根据技术发展和工程实践动态调整。</w:t>
      </w:r>
    </w:p>
    <w:p w14:paraId="22709366">
      <w:pPr>
        <w:keepNext/>
        <w:keepLines/>
        <w:adjustRightInd w:val="0"/>
        <w:snapToGrid w:val="0"/>
        <w:jc w:val="center"/>
        <w:outlineLvl w:val="0"/>
        <w:rPr>
          <w:rFonts w:eastAsia="黑体"/>
          <w:color w:val="000000" w:themeColor="text1"/>
          <w:szCs w:val="21"/>
          <w14:textFill>
            <w14:solidFill>
              <w14:schemeClr w14:val="tx1"/>
            </w14:solidFill>
          </w14:textFill>
        </w:rPr>
      </w:pPr>
      <w:bookmarkStart w:id="70" w:name="_Toc219788526"/>
      <w:r>
        <w:rPr>
          <w:rFonts w:eastAsia="黑体"/>
          <w:color w:val="000000" w:themeColor="text1"/>
          <w:szCs w:val="21"/>
          <w14:textFill>
            <w14:solidFill>
              <w14:schemeClr w14:val="tx1"/>
            </w14:solidFill>
          </w14:textFill>
        </w:rPr>
        <w:t>附  录  B</w:t>
      </w:r>
      <w:bookmarkEnd w:id="70"/>
    </w:p>
    <w:p w14:paraId="53D374C3">
      <w:pPr>
        <w:jc w:val="center"/>
        <w:rPr>
          <w:rFonts w:eastAsia="黑体"/>
          <w:color w:val="000000"/>
          <w:kern w:val="2"/>
          <w:szCs w:val="21"/>
        </w:rPr>
      </w:pPr>
      <w:r>
        <w:rPr>
          <w:rFonts w:eastAsia="黑体"/>
          <w:color w:val="000000"/>
          <w:kern w:val="2"/>
          <w:szCs w:val="21"/>
        </w:rPr>
        <w:t>（资料性）</w:t>
      </w:r>
    </w:p>
    <w:p w14:paraId="72334C55">
      <w:pPr>
        <w:jc w:val="center"/>
        <w:rPr>
          <w:szCs w:val="21"/>
          <w:lang w:bidi="ar"/>
        </w:rPr>
      </w:pPr>
      <w:r>
        <w:rPr>
          <w:rFonts w:eastAsia="黑体"/>
          <w:color w:val="000000"/>
          <w:kern w:val="2"/>
          <w:szCs w:val="21"/>
        </w:rPr>
        <w:t>技术适用性指标赋分规则</w:t>
      </w:r>
    </w:p>
    <w:p w14:paraId="35043D82">
      <w:pPr>
        <w:adjustRightInd w:val="0"/>
        <w:spacing w:line="360" w:lineRule="auto"/>
        <w:ind w:firstLine="420" w:firstLineChars="200"/>
        <w:rPr>
          <w:szCs w:val="21"/>
          <w:lang w:bidi="ar"/>
        </w:rPr>
      </w:pPr>
      <w:r>
        <w:rPr>
          <w:szCs w:val="21"/>
          <w:lang w:bidi="ar"/>
        </w:rPr>
        <w:t>本附录提供技术适用性评估中各指标的赋分逻辑框架，具体赋值应由使用者结合本地条件、工程经验或试点验证确定。各指标应根据其与污染地块实际条件的匹配程度进行分级赋分，匹配程度可分为高、中、低三级（表</w:t>
      </w:r>
      <w:r>
        <w:rPr>
          <w:rFonts w:hint="eastAsia"/>
          <w:szCs w:val="21"/>
          <w:lang w:bidi="ar"/>
        </w:rPr>
        <w:t>B.1</w:t>
      </w:r>
      <w:r>
        <w:rPr>
          <w:szCs w:val="21"/>
          <w:lang w:bidi="ar"/>
        </w:rPr>
        <w:t>可供参考），或依据连续变量划分为多个区间，赋分应体现“越匹配得分越高”的原则。</w:t>
      </w:r>
    </w:p>
    <w:p w14:paraId="7EB87BF7">
      <w:pPr>
        <w:spacing w:line="360" w:lineRule="auto"/>
        <w:ind w:firstLine="420" w:firstLineChars="200"/>
        <w:jc w:val="center"/>
        <w:rPr>
          <w:rFonts w:eastAsia="黑体"/>
          <w:color w:val="000000"/>
          <w:kern w:val="2"/>
          <w:szCs w:val="21"/>
        </w:rPr>
      </w:pPr>
      <w:r>
        <w:rPr>
          <w:rFonts w:eastAsia="黑体"/>
          <w:color w:val="000000"/>
          <w:kern w:val="2"/>
          <w:szCs w:val="21"/>
        </w:rPr>
        <w:t>表</w:t>
      </w:r>
      <w:r>
        <w:rPr>
          <w:rFonts w:hint="eastAsia" w:eastAsia="黑体"/>
          <w:color w:val="000000"/>
          <w:kern w:val="2"/>
          <w:szCs w:val="21"/>
        </w:rPr>
        <w:t>B.1</w:t>
      </w:r>
      <w:r>
        <w:rPr>
          <w:rFonts w:eastAsia="黑体"/>
          <w:color w:val="000000"/>
          <w:kern w:val="2"/>
          <w:szCs w:val="21"/>
        </w:rPr>
        <w:t xml:space="preserve"> 技术适用性指标赋分标准</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542"/>
        <w:gridCol w:w="2892"/>
        <w:gridCol w:w="2608"/>
      </w:tblGrid>
      <w:tr w14:paraId="46B4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tcBorders>
              <w:bottom w:val="single" w:color="666666" w:themeColor="text1" w:themeTint="99" w:sz="12" w:space="0"/>
              <w:insideH w:val="single" w:sz="12" w:space="0"/>
            </w:tcBorders>
            <w:noWrap/>
            <w:vAlign w:val="center"/>
          </w:tcPr>
          <w:p w14:paraId="0678A779">
            <w:pPr>
              <w:widowControl/>
              <w:jc w:val="center"/>
              <w:rPr>
                <w:rFonts w:eastAsiaTheme="majorEastAsia"/>
                <w:b/>
                <w:bCs/>
                <w:color w:val="000000"/>
                <w:szCs w:val="21"/>
              </w:rPr>
            </w:pPr>
            <w:r>
              <w:rPr>
                <w:rFonts w:eastAsiaTheme="majorEastAsia"/>
                <w:b/>
                <w:bCs/>
                <w:color w:val="000000"/>
                <w:szCs w:val="21"/>
              </w:rPr>
              <w:t>指标</w:t>
            </w:r>
          </w:p>
        </w:tc>
        <w:tc>
          <w:tcPr>
            <w:tcW w:w="1328" w:type="pct"/>
            <w:tcBorders>
              <w:bottom w:val="single" w:color="666666" w:themeColor="text1" w:themeTint="99" w:sz="12" w:space="0"/>
              <w:insideH w:val="single" w:sz="12" w:space="0"/>
            </w:tcBorders>
            <w:noWrap/>
            <w:vAlign w:val="center"/>
          </w:tcPr>
          <w:p w14:paraId="5DBD806E">
            <w:pPr>
              <w:widowControl/>
              <w:jc w:val="center"/>
              <w:rPr>
                <w:rFonts w:eastAsiaTheme="majorEastAsia"/>
                <w:b/>
                <w:bCs/>
                <w:color w:val="000000"/>
                <w:szCs w:val="21"/>
              </w:rPr>
            </w:pPr>
            <w:r>
              <w:rPr>
                <w:rFonts w:eastAsiaTheme="majorEastAsia"/>
                <w:b/>
                <w:bCs/>
                <w:color w:val="000000"/>
                <w:szCs w:val="21"/>
              </w:rPr>
              <w:t>匹配程度高</w:t>
            </w:r>
          </w:p>
        </w:tc>
        <w:tc>
          <w:tcPr>
            <w:tcW w:w="1511" w:type="pct"/>
            <w:tcBorders>
              <w:bottom w:val="single" w:color="666666" w:themeColor="text1" w:themeTint="99" w:sz="12" w:space="0"/>
              <w:insideH w:val="single" w:sz="12" w:space="0"/>
            </w:tcBorders>
            <w:noWrap/>
            <w:vAlign w:val="center"/>
          </w:tcPr>
          <w:p w14:paraId="49F4F3FF">
            <w:pPr>
              <w:widowControl/>
              <w:jc w:val="center"/>
              <w:rPr>
                <w:rFonts w:eastAsiaTheme="majorEastAsia"/>
                <w:b/>
                <w:bCs/>
                <w:color w:val="000000"/>
                <w:szCs w:val="21"/>
              </w:rPr>
            </w:pPr>
            <w:r>
              <w:rPr>
                <w:rFonts w:eastAsiaTheme="majorEastAsia"/>
                <w:b/>
                <w:bCs/>
                <w:color w:val="000000"/>
                <w:szCs w:val="21"/>
              </w:rPr>
              <w:t>匹配程度中</w:t>
            </w:r>
          </w:p>
        </w:tc>
        <w:tc>
          <w:tcPr>
            <w:tcW w:w="1362" w:type="pct"/>
            <w:tcBorders>
              <w:bottom w:val="single" w:color="666666" w:themeColor="text1" w:themeTint="99" w:sz="12" w:space="0"/>
              <w:insideH w:val="single" w:sz="12" w:space="0"/>
            </w:tcBorders>
            <w:noWrap/>
            <w:vAlign w:val="center"/>
          </w:tcPr>
          <w:p w14:paraId="55415706">
            <w:pPr>
              <w:widowControl/>
              <w:jc w:val="center"/>
              <w:rPr>
                <w:rFonts w:eastAsiaTheme="majorEastAsia"/>
                <w:b/>
                <w:bCs/>
                <w:color w:val="000000"/>
                <w:szCs w:val="21"/>
              </w:rPr>
            </w:pPr>
            <w:r>
              <w:rPr>
                <w:rFonts w:eastAsiaTheme="majorEastAsia"/>
                <w:b/>
                <w:bCs/>
                <w:color w:val="000000"/>
                <w:szCs w:val="21"/>
              </w:rPr>
              <w:t>匹配程度低</w:t>
            </w:r>
          </w:p>
        </w:tc>
      </w:tr>
      <w:tr w14:paraId="5E2D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1416D252">
            <w:pPr>
              <w:widowControl/>
              <w:jc w:val="center"/>
              <w:rPr>
                <w:rFonts w:eastAsiaTheme="majorEastAsia"/>
                <w:b w:val="0"/>
                <w:bCs w:val="0"/>
                <w:color w:val="000000"/>
                <w:szCs w:val="21"/>
              </w:rPr>
            </w:pPr>
            <w:r>
              <w:rPr>
                <w:rFonts w:eastAsiaTheme="majorEastAsia"/>
                <w:b w:val="0"/>
                <w:bCs w:val="0"/>
                <w:color w:val="000000"/>
                <w:szCs w:val="21"/>
              </w:rPr>
              <w:t>地块适用性</w:t>
            </w:r>
          </w:p>
        </w:tc>
        <w:tc>
          <w:tcPr>
            <w:tcW w:w="1328" w:type="pct"/>
            <w:noWrap/>
            <w:vAlign w:val="center"/>
          </w:tcPr>
          <w:p w14:paraId="4A8F5FC4">
            <w:pPr>
              <w:widowControl/>
              <w:jc w:val="center"/>
              <w:rPr>
                <w:rFonts w:eastAsiaTheme="majorEastAsia"/>
                <w:color w:val="000000"/>
                <w:szCs w:val="21"/>
              </w:rPr>
            </w:pPr>
            <w:r>
              <w:rPr>
                <w:rFonts w:eastAsiaTheme="majorEastAsia"/>
                <w:color w:val="000000"/>
                <w:szCs w:val="21"/>
              </w:rPr>
              <w:t>技术实施条件（如污染深度、含水率、渗透系数、地下水位、地质活动性等）完全满足该地块实际环境特征，无限制因素。</w:t>
            </w:r>
          </w:p>
        </w:tc>
        <w:tc>
          <w:tcPr>
            <w:tcW w:w="1511" w:type="pct"/>
            <w:noWrap/>
            <w:vAlign w:val="center"/>
          </w:tcPr>
          <w:p w14:paraId="7959C315">
            <w:pPr>
              <w:widowControl/>
              <w:jc w:val="center"/>
              <w:rPr>
                <w:rFonts w:eastAsiaTheme="majorEastAsia"/>
                <w:color w:val="000000"/>
                <w:szCs w:val="21"/>
              </w:rPr>
            </w:pPr>
            <w:r>
              <w:rPr>
                <w:rFonts w:eastAsiaTheme="majorEastAsia"/>
                <w:color w:val="000000"/>
                <w:szCs w:val="21"/>
              </w:rPr>
              <w:t>存在1–2项次要条件不完全匹配（如含水率略高、pH偏酸等），但可通过工程调整或参数优化予以适应。</w:t>
            </w:r>
          </w:p>
        </w:tc>
        <w:tc>
          <w:tcPr>
            <w:tcW w:w="1362" w:type="pct"/>
            <w:noWrap/>
            <w:vAlign w:val="center"/>
          </w:tcPr>
          <w:p w14:paraId="039DF784">
            <w:pPr>
              <w:widowControl/>
              <w:jc w:val="center"/>
              <w:rPr>
                <w:rFonts w:eastAsiaTheme="majorEastAsia"/>
                <w:color w:val="000000"/>
                <w:szCs w:val="21"/>
              </w:rPr>
            </w:pPr>
            <w:r>
              <w:rPr>
                <w:rFonts w:eastAsiaTheme="majorEastAsia"/>
                <w:color w:val="000000"/>
                <w:szCs w:val="21"/>
              </w:rPr>
              <w:t>存在3项及以上关键条件不匹配（如粘土中使用气相抽提、高地下水位下实施开挖等），技术难以有效实施或效果显著受限。</w:t>
            </w:r>
          </w:p>
        </w:tc>
      </w:tr>
      <w:tr w14:paraId="5795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06ECF2E1">
            <w:pPr>
              <w:widowControl/>
              <w:jc w:val="center"/>
              <w:rPr>
                <w:rFonts w:eastAsiaTheme="majorEastAsia"/>
                <w:b w:val="0"/>
                <w:bCs w:val="0"/>
                <w:color w:val="000000"/>
                <w:szCs w:val="21"/>
              </w:rPr>
            </w:pPr>
            <w:r>
              <w:rPr>
                <w:rFonts w:eastAsiaTheme="majorEastAsia"/>
                <w:b w:val="0"/>
                <w:bCs w:val="0"/>
                <w:color w:val="000000"/>
                <w:szCs w:val="21"/>
              </w:rPr>
              <w:t>规划土地利用类型</w:t>
            </w:r>
          </w:p>
        </w:tc>
        <w:tc>
          <w:tcPr>
            <w:tcW w:w="1328" w:type="pct"/>
            <w:noWrap/>
            <w:vAlign w:val="center"/>
          </w:tcPr>
          <w:p w14:paraId="4B2E555D">
            <w:pPr>
              <w:widowControl/>
              <w:jc w:val="center"/>
              <w:rPr>
                <w:rFonts w:eastAsiaTheme="majorEastAsia"/>
                <w:color w:val="000000"/>
                <w:szCs w:val="21"/>
              </w:rPr>
            </w:pPr>
            <w:r>
              <w:rPr>
                <w:rFonts w:eastAsiaTheme="majorEastAsia"/>
                <w:color w:val="000000"/>
                <w:szCs w:val="21"/>
              </w:rPr>
              <w:t>技术实施后对后续土地用途（如住宅、工业、绿地等）无不利影响，且与开发时序兼容。</w:t>
            </w:r>
          </w:p>
        </w:tc>
        <w:tc>
          <w:tcPr>
            <w:tcW w:w="1511" w:type="pct"/>
            <w:noWrap/>
            <w:vAlign w:val="center"/>
          </w:tcPr>
          <w:p w14:paraId="4B8DB065">
            <w:pPr>
              <w:widowControl/>
              <w:jc w:val="center"/>
              <w:rPr>
                <w:rFonts w:eastAsiaTheme="majorEastAsia"/>
                <w:color w:val="000000"/>
                <w:szCs w:val="21"/>
              </w:rPr>
            </w:pPr>
            <w:r>
              <w:rPr>
                <w:rFonts w:eastAsiaTheme="majorEastAsia"/>
                <w:color w:val="000000"/>
                <w:szCs w:val="21"/>
              </w:rPr>
              <w:t>技术对土地利用存在一定限制（如需预留监测井、限制深层开挖），但可通过协调设计予以解决。</w:t>
            </w:r>
          </w:p>
        </w:tc>
        <w:tc>
          <w:tcPr>
            <w:tcW w:w="1362" w:type="pct"/>
            <w:noWrap/>
            <w:vAlign w:val="center"/>
          </w:tcPr>
          <w:p w14:paraId="15B4E3D7">
            <w:pPr>
              <w:widowControl/>
              <w:jc w:val="center"/>
              <w:rPr>
                <w:rFonts w:eastAsiaTheme="majorEastAsia"/>
                <w:color w:val="000000"/>
                <w:szCs w:val="21"/>
              </w:rPr>
            </w:pPr>
            <w:r>
              <w:rPr>
                <w:rFonts w:eastAsiaTheme="majorEastAsia"/>
                <w:color w:val="000000"/>
                <w:szCs w:val="21"/>
              </w:rPr>
              <w:t>技术实施将显著阻碍或改变既定土地利用规划（如固化体影响桩基施工、长期管控区禁止开发等）。</w:t>
            </w:r>
          </w:p>
        </w:tc>
      </w:tr>
      <w:tr w14:paraId="47F0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1D12B057">
            <w:pPr>
              <w:widowControl/>
              <w:jc w:val="center"/>
              <w:rPr>
                <w:rFonts w:eastAsiaTheme="majorEastAsia"/>
                <w:b w:val="0"/>
                <w:bCs w:val="0"/>
                <w:color w:val="000000"/>
                <w:szCs w:val="21"/>
              </w:rPr>
            </w:pPr>
            <w:r>
              <w:rPr>
                <w:rFonts w:eastAsiaTheme="majorEastAsia"/>
                <w:b w:val="0"/>
                <w:bCs w:val="0"/>
                <w:color w:val="000000"/>
                <w:szCs w:val="21"/>
              </w:rPr>
              <w:t>应对极端气候能力</w:t>
            </w:r>
          </w:p>
        </w:tc>
        <w:tc>
          <w:tcPr>
            <w:tcW w:w="1328" w:type="pct"/>
            <w:noWrap/>
            <w:vAlign w:val="center"/>
          </w:tcPr>
          <w:p w14:paraId="7103C2BC">
            <w:pPr>
              <w:widowControl/>
              <w:jc w:val="center"/>
              <w:rPr>
                <w:rFonts w:eastAsiaTheme="majorEastAsia"/>
                <w:color w:val="000000"/>
                <w:szCs w:val="21"/>
              </w:rPr>
            </w:pPr>
            <w:r>
              <w:rPr>
                <w:rFonts w:eastAsiaTheme="majorEastAsia"/>
                <w:color w:val="000000"/>
                <w:szCs w:val="21"/>
              </w:rPr>
              <w:t>技术在高温、暴雨、冰冻、干旱等本地常见极端气候条件下仍能稳定运行，具备成熟应对措施。</w:t>
            </w:r>
          </w:p>
        </w:tc>
        <w:tc>
          <w:tcPr>
            <w:tcW w:w="1511" w:type="pct"/>
            <w:noWrap/>
            <w:vAlign w:val="center"/>
          </w:tcPr>
          <w:p w14:paraId="38528AED">
            <w:pPr>
              <w:widowControl/>
              <w:jc w:val="center"/>
              <w:rPr>
                <w:rFonts w:eastAsiaTheme="majorEastAsia"/>
                <w:color w:val="000000"/>
                <w:szCs w:val="21"/>
              </w:rPr>
            </w:pPr>
            <w:r>
              <w:rPr>
                <w:rFonts w:eastAsiaTheme="majorEastAsia"/>
                <w:color w:val="000000"/>
                <w:szCs w:val="21"/>
              </w:rPr>
              <w:t>在部分极端气候下需临时调整运行参数或采取辅助措施，整体可控。</w:t>
            </w:r>
          </w:p>
        </w:tc>
        <w:tc>
          <w:tcPr>
            <w:tcW w:w="1362" w:type="pct"/>
            <w:noWrap/>
            <w:vAlign w:val="center"/>
          </w:tcPr>
          <w:p w14:paraId="51A87DD7">
            <w:pPr>
              <w:widowControl/>
              <w:jc w:val="center"/>
              <w:rPr>
                <w:rFonts w:eastAsiaTheme="majorEastAsia"/>
                <w:color w:val="000000"/>
                <w:szCs w:val="21"/>
              </w:rPr>
            </w:pPr>
            <w:r>
              <w:rPr>
                <w:rFonts w:eastAsiaTheme="majorEastAsia"/>
                <w:color w:val="000000"/>
                <w:szCs w:val="21"/>
              </w:rPr>
              <w:t>极端气候易导致技术失效、设备损坏或二次风险（如暴雨冲刷阻隔层、低温抑制生物活性等）。</w:t>
            </w:r>
          </w:p>
        </w:tc>
      </w:tr>
      <w:tr w14:paraId="4EA5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6DF19B5F">
            <w:pPr>
              <w:widowControl/>
              <w:jc w:val="center"/>
              <w:rPr>
                <w:rFonts w:eastAsiaTheme="majorEastAsia"/>
                <w:b w:val="0"/>
                <w:bCs w:val="0"/>
                <w:color w:val="000000"/>
                <w:szCs w:val="21"/>
              </w:rPr>
            </w:pPr>
            <w:r>
              <w:rPr>
                <w:rFonts w:eastAsiaTheme="majorEastAsia"/>
                <w:b w:val="0"/>
                <w:bCs w:val="0"/>
                <w:color w:val="000000"/>
                <w:szCs w:val="21"/>
              </w:rPr>
              <w:t>可处理污染程度</w:t>
            </w:r>
          </w:p>
        </w:tc>
        <w:tc>
          <w:tcPr>
            <w:tcW w:w="1328" w:type="pct"/>
            <w:noWrap/>
            <w:vAlign w:val="center"/>
          </w:tcPr>
          <w:p w14:paraId="68E2759C">
            <w:pPr>
              <w:widowControl/>
              <w:jc w:val="center"/>
              <w:rPr>
                <w:rFonts w:eastAsiaTheme="majorEastAsia"/>
                <w:color w:val="000000"/>
                <w:szCs w:val="21"/>
              </w:rPr>
            </w:pPr>
            <w:r>
              <w:rPr>
                <w:rFonts w:eastAsiaTheme="majorEastAsia"/>
                <w:color w:val="000000"/>
                <w:szCs w:val="21"/>
              </w:rPr>
              <w:t>目标污染物浓度处于技术典型有效处理范围内，有成功案例支持。</w:t>
            </w:r>
          </w:p>
        </w:tc>
        <w:tc>
          <w:tcPr>
            <w:tcW w:w="1511" w:type="pct"/>
            <w:noWrap/>
            <w:vAlign w:val="center"/>
          </w:tcPr>
          <w:p w14:paraId="52C6C34D">
            <w:pPr>
              <w:widowControl/>
              <w:jc w:val="center"/>
              <w:rPr>
                <w:rFonts w:eastAsiaTheme="majorEastAsia"/>
                <w:color w:val="000000"/>
                <w:szCs w:val="21"/>
              </w:rPr>
            </w:pPr>
            <w:r>
              <w:rPr>
                <w:rFonts w:eastAsiaTheme="majorEastAsia"/>
                <w:color w:val="000000"/>
                <w:szCs w:val="21"/>
              </w:rPr>
              <w:t>污染物浓度接近技术常规处理上限，基本可以实现达标。</w:t>
            </w:r>
          </w:p>
        </w:tc>
        <w:tc>
          <w:tcPr>
            <w:tcW w:w="1362" w:type="pct"/>
            <w:noWrap/>
            <w:vAlign w:val="center"/>
          </w:tcPr>
          <w:p w14:paraId="2E3F54D0">
            <w:pPr>
              <w:widowControl/>
              <w:jc w:val="center"/>
              <w:rPr>
                <w:rFonts w:eastAsiaTheme="majorEastAsia"/>
                <w:color w:val="000000"/>
                <w:szCs w:val="21"/>
              </w:rPr>
            </w:pPr>
            <w:r>
              <w:rPr>
                <w:rFonts w:eastAsiaTheme="majorEastAsia"/>
                <w:color w:val="000000"/>
                <w:szCs w:val="21"/>
              </w:rPr>
              <w:t>污染物浓度稍超出技术处理能力，但可通过增加药剂、延长周期等方式实现达标。</w:t>
            </w:r>
          </w:p>
        </w:tc>
      </w:tr>
      <w:tr w14:paraId="32F9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3E86D23F">
            <w:pPr>
              <w:widowControl/>
              <w:jc w:val="center"/>
              <w:rPr>
                <w:rFonts w:eastAsiaTheme="majorEastAsia"/>
                <w:b w:val="0"/>
                <w:bCs w:val="0"/>
                <w:color w:val="000000"/>
                <w:szCs w:val="21"/>
              </w:rPr>
            </w:pPr>
            <w:r>
              <w:rPr>
                <w:rFonts w:eastAsiaTheme="majorEastAsia"/>
                <w:b w:val="0"/>
                <w:bCs w:val="0"/>
                <w:color w:val="000000"/>
                <w:szCs w:val="21"/>
              </w:rPr>
              <w:t>技术就绪度</w:t>
            </w:r>
          </w:p>
        </w:tc>
        <w:tc>
          <w:tcPr>
            <w:tcW w:w="1328" w:type="pct"/>
            <w:noWrap/>
            <w:vAlign w:val="center"/>
          </w:tcPr>
          <w:p w14:paraId="553C9806">
            <w:pPr>
              <w:widowControl/>
              <w:jc w:val="center"/>
              <w:rPr>
                <w:rFonts w:eastAsiaTheme="majorEastAsia"/>
                <w:color w:val="000000"/>
                <w:szCs w:val="21"/>
              </w:rPr>
            </w:pPr>
            <w:r>
              <w:rPr>
                <w:rFonts w:eastAsiaTheme="majorEastAsia"/>
                <w:color w:val="000000"/>
                <w:szCs w:val="21"/>
              </w:rPr>
              <w:t>技术已在类似地质和污染条件下规模化应用，工艺成熟，供应链完善。</w:t>
            </w:r>
          </w:p>
        </w:tc>
        <w:tc>
          <w:tcPr>
            <w:tcW w:w="1511" w:type="pct"/>
            <w:noWrap/>
            <w:vAlign w:val="center"/>
          </w:tcPr>
          <w:p w14:paraId="10A0EF8E">
            <w:pPr>
              <w:widowControl/>
              <w:jc w:val="center"/>
              <w:rPr>
                <w:rFonts w:eastAsiaTheme="majorEastAsia"/>
                <w:color w:val="000000"/>
                <w:szCs w:val="21"/>
              </w:rPr>
            </w:pPr>
            <w:r>
              <w:rPr>
                <w:rFonts w:eastAsiaTheme="majorEastAsia"/>
                <w:color w:val="000000"/>
                <w:szCs w:val="21"/>
              </w:rPr>
              <w:t>技术在本地或相似区域有试点或示范工程，具备推广基础。</w:t>
            </w:r>
          </w:p>
        </w:tc>
        <w:tc>
          <w:tcPr>
            <w:tcW w:w="1362" w:type="pct"/>
            <w:noWrap/>
            <w:vAlign w:val="center"/>
          </w:tcPr>
          <w:p w14:paraId="0912D81B">
            <w:pPr>
              <w:widowControl/>
              <w:jc w:val="center"/>
              <w:rPr>
                <w:rFonts w:eastAsiaTheme="majorEastAsia"/>
                <w:color w:val="000000"/>
                <w:szCs w:val="21"/>
              </w:rPr>
            </w:pPr>
            <w:r>
              <w:rPr>
                <w:rFonts w:eastAsiaTheme="majorEastAsia"/>
                <w:color w:val="000000"/>
                <w:szCs w:val="21"/>
              </w:rPr>
              <w:t>技术尚处实验室或小试阶段，缺乏工程验证，实施风险较高。</w:t>
            </w:r>
          </w:p>
        </w:tc>
      </w:tr>
      <w:tr w14:paraId="1142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1E8594CA">
            <w:pPr>
              <w:widowControl/>
              <w:jc w:val="center"/>
              <w:rPr>
                <w:rFonts w:eastAsiaTheme="majorEastAsia"/>
                <w:b w:val="0"/>
                <w:bCs w:val="0"/>
                <w:color w:val="000000"/>
                <w:szCs w:val="21"/>
              </w:rPr>
            </w:pPr>
            <w:r>
              <w:rPr>
                <w:rFonts w:eastAsiaTheme="majorEastAsia"/>
                <w:b w:val="0"/>
                <w:bCs w:val="0"/>
                <w:color w:val="000000"/>
                <w:szCs w:val="21"/>
              </w:rPr>
              <w:t>污染物去除率</w:t>
            </w:r>
          </w:p>
        </w:tc>
        <w:tc>
          <w:tcPr>
            <w:tcW w:w="1328" w:type="pct"/>
            <w:noWrap/>
            <w:vAlign w:val="center"/>
          </w:tcPr>
          <w:p w14:paraId="05A9BD16">
            <w:pPr>
              <w:widowControl/>
              <w:jc w:val="center"/>
              <w:rPr>
                <w:rFonts w:eastAsiaTheme="majorEastAsia"/>
                <w:color w:val="000000"/>
                <w:szCs w:val="21"/>
              </w:rPr>
            </w:pPr>
            <w:r>
              <w:rPr>
                <w:rFonts w:eastAsiaTheme="majorEastAsia"/>
                <w:color w:val="000000"/>
                <w:szCs w:val="21"/>
              </w:rPr>
              <w:t>技术可将目标污染物稳定降至风险管控或修复目标值以下。</w:t>
            </w:r>
          </w:p>
        </w:tc>
        <w:tc>
          <w:tcPr>
            <w:tcW w:w="1511" w:type="pct"/>
            <w:noWrap/>
            <w:vAlign w:val="center"/>
          </w:tcPr>
          <w:p w14:paraId="5BC7B534">
            <w:pPr>
              <w:widowControl/>
              <w:jc w:val="center"/>
              <w:rPr>
                <w:rFonts w:eastAsiaTheme="majorEastAsia"/>
                <w:color w:val="000000"/>
                <w:szCs w:val="21"/>
              </w:rPr>
            </w:pPr>
            <w:r>
              <w:rPr>
                <w:rFonts w:eastAsiaTheme="majorEastAsia"/>
                <w:color w:val="000000"/>
                <w:szCs w:val="21"/>
              </w:rPr>
              <w:t>去除率波动较大，接近技术常规处理上限。。</w:t>
            </w:r>
          </w:p>
        </w:tc>
        <w:tc>
          <w:tcPr>
            <w:tcW w:w="1362" w:type="pct"/>
            <w:noWrap/>
            <w:vAlign w:val="center"/>
          </w:tcPr>
          <w:p w14:paraId="177F7F48">
            <w:pPr>
              <w:widowControl/>
              <w:jc w:val="center"/>
              <w:rPr>
                <w:rFonts w:eastAsiaTheme="majorEastAsia"/>
                <w:color w:val="000000"/>
                <w:szCs w:val="21"/>
              </w:rPr>
            </w:pPr>
            <w:r>
              <w:rPr>
                <w:rFonts w:eastAsiaTheme="majorEastAsia"/>
                <w:color w:val="000000"/>
                <w:szCs w:val="21"/>
              </w:rPr>
              <w:t>去除率虽可达标，但已逼近技术极限，实施风险高、稳定性差，或需极端操作条件。</w:t>
            </w:r>
          </w:p>
        </w:tc>
      </w:tr>
      <w:tr w14:paraId="4AB6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4846886A">
            <w:pPr>
              <w:widowControl/>
              <w:jc w:val="center"/>
              <w:rPr>
                <w:rFonts w:eastAsiaTheme="majorEastAsia"/>
                <w:b w:val="0"/>
                <w:bCs w:val="0"/>
                <w:color w:val="000000"/>
                <w:szCs w:val="21"/>
              </w:rPr>
            </w:pPr>
            <w:r>
              <w:rPr>
                <w:rFonts w:eastAsiaTheme="majorEastAsia"/>
                <w:b w:val="0"/>
                <w:bCs w:val="0"/>
                <w:color w:val="000000"/>
                <w:szCs w:val="21"/>
              </w:rPr>
              <w:t>生态友好性</w:t>
            </w:r>
          </w:p>
        </w:tc>
        <w:tc>
          <w:tcPr>
            <w:tcW w:w="1328" w:type="pct"/>
            <w:noWrap/>
            <w:vAlign w:val="center"/>
          </w:tcPr>
          <w:p w14:paraId="54EC2565">
            <w:pPr>
              <w:widowControl/>
              <w:jc w:val="center"/>
              <w:rPr>
                <w:rFonts w:eastAsiaTheme="majorEastAsia"/>
                <w:color w:val="000000"/>
                <w:szCs w:val="21"/>
              </w:rPr>
            </w:pPr>
            <w:r>
              <w:rPr>
                <w:rFonts w:eastAsiaTheme="majorEastAsia"/>
                <w:color w:val="000000"/>
                <w:szCs w:val="21"/>
              </w:rPr>
              <w:t>技术对土壤结构、地下水水质、植被及微生物群落等生态要素扰动极小，无有害副产物。</w:t>
            </w:r>
          </w:p>
        </w:tc>
        <w:tc>
          <w:tcPr>
            <w:tcW w:w="1511" w:type="pct"/>
            <w:noWrap/>
            <w:vAlign w:val="center"/>
          </w:tcPr>
          <w:p w14:paraId="02637A33">
            <w:pPr>
              <w:widowControl/>
              <w:jc w:val="center"/>
              <w:rPr>
                <w:rFonts w:eastAsiaTheme="majorEastAsia"/>
                <w:color w:val="000000"/>
                <w:szCs w:val="21"/>
              </w:rPr>
            </w:pPr>
            <w:r>
              <w:rPr>
                <w:rFonts w:eastAsiaTheme="majorEastAsia"/>
                <w:color w:val="000000"/>
                <w:szCs w:val="21"/>
              </w:rPr>
              <w:t>对局部生态环境有一定扰动，但可恢复或通过生态补偿缓解。</w:t>
            </w:r>
          </w:p>
        </w:tc>
        <w:tc>
          <w:tcPr>
            <w:tcW w:w="1362" w:type="pct"/>
            <w:noWrap/>
            <w:vAlign w:val="center"/>
          </w:tcPr>
          <w:p w14:paraId="3D539639">
            <w:pPr>
              <w:widowControl/>
              <w:jc w:val="center"/>
              <w:rPr>
                <w:rFonts w:eastAsiaTheme="majorEastAsia"/>
                <w:color w:val="000000"/>
                <w:szCs w:val="21"/>
              </w:rPr>
            </w:pPr>
            <w:r>
              <w:rPr>
                <w:rFonts w:eastAsiaTheme="majorEastAsia"/>
                <w:color w:val="000000"/>
                <w:szCs w:val="21"/>
              </w:rPr>
              <w:t>显著破坏原有生态系统（如高温灭活微生物、强氧化剂残留等），恢复难度大。</w:t>
            </w:r>
          </w:p>
        </w:tc>
      </w:tr>
      <w:tr w14:paraId="472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9" w:type="pct"/>
            <w:noWrap/>
            <w:vAlign w:val="center"/>
          </w:tcPr>
          <w:p w14:paraId="6429A886">
            <w:pPr>
              <w:widowControl/>
              <w:jc w:val="center"/>
              <w:rPr>
                <w:rFonts w:eastAsiaTheme="majorEastAsia"/>
                <w:b w:val="0"/>
                <w:bCs w:val="0"/>
                <w:color w:val="000000"/>
                <w:szCs w:val="21"/>
              </w:rPr>
            </w:pPr>
            <w:r>
              <w:rPr>
                <w:rFonts w:eastAsiaTheme="majorEastAsia"/>
                <w:b w:val="0"/>
                <w:bCs w:val="0"/>
                <w:color w:val="000000"/>
                <w:szCs w:val="21"/>
              </w:rPr>
              <w:t>二次污染风险</w:t>
            </w:r>
          </w:p>
        </w:tc>
        <w:tc>
          <w:tcPr>
            <w:tcW w:w="1328" w:type="pct"/>
            <w:noWrap/>
            <w:vAlign w:val="center"/>
          </w:tcPr>
          <w:p w14:paraId="2D331863">
            <w:pPr>
              <w:widowControl/>
              <w:jc w:val="center"/>
              <w:rPr>
                <w:rFonts w:eastAsiaTheme="majorEastAsia"/>
                <w:color w:val="000000"/>
                <w:szCs w:val="21"/>
              </w:rPr>
            </w:pPr>
            <w:r>
              <w:rPr>
                <w:rFonts w:eastAsiaTheme="majorEastAsia"/>
                <w:color w:val="000000"/>
                <w:szCs w:val="21"/>
              </w:rPr>
              <w:t>无废气、废液、废渣等二次污染物产生，或已配套完善的收集与处置措施。</w:t>
            </w:r>
          </w:p>
        </w:tc>
        <w:tc>
          <w:tcPr>
            <w:tcW w:w="1511" w:type="pct"/>
            <w:noWrap/>
            <w:vAlign w:val="center"/>
          </w:tcPr>
          <w:p w14:paraId="1C3B6389">
            <w:pPr>
              <w:widowControl/>
              <w:jc w:val="center"/>
              <w:rPr>
                <w:rFonts w:eastAsiaTheme="majorEastAsia"/>
                <w:color w:val="000000"/>
                <w:szCs w:val="21"/>
              </w:rPr>
            </w:pPr>
            <w:r>
              <w:rPr>
                <w:rFonts w:eastAsiaTheme="majorEastAsia"/>
                <w:color w:val="000000"/>
                <w:szCs w:val="21"/>
              </w:rPr>
              <w:t>存在可控的二次污染源，需加强过程监管与末端处理。</w:t>
            </w:r>
          </w:p>
        </w:tc>
        <w:tc>
          <w:tcPr>
            <w:tcW w:w="1362" w:type="pct"/>
            <w:noWrap/>
            <w:vAlign w:val="center"/>
          </w:tcPr>
          <w:p w14:paraId="2D6642E1">
            <w:pPr>
              <w:widowControl/>
              <w:jc w:val="center"/>
              <w:rPr>
                <w:rFonts w:eastAsiaTheme="majorEastAsia"/>
                <w:color w:val="000000"/>
                <w:szCs w:val="21"/>
              </w:rPr>
            </w:pPr>
            <w:r>
              <w:rPr>
                <w:rFonts w:eastAsiaTheme="majorEastAsia"/>
                <w:color w:val="000000"/>
                <w:szCs w:val="21"/>
              </w:rPr>
              <w:t>二次污染风险高（如有毒气体逸散、淋溶液渗漏等），且缺乏有效防控手段。</w:t>
            </w:r>
          </w:p>
        </w:tc>
      </w:tr>
    </w:tbl>
    <w:p w14:paraId="61BE135C">
      <w:pPr>
        <w:jc w:val="left"/>
        <w:rPr>
          <w:kern w:val="2"/>
          <w:szCs w:val="24"/>
        </w:rPr>
      </w:pPr>
    </w:p>
    <w:p w14:paraId="586E17EE">
      <w:pPr>
        <w:jc w:val="left"/>
        <w:rPr>
          <w:kern w:val="2"/>
          <w:szCs w:val="24"/>
        </w:rPr>
      </w:pPr>
    </w:p>
    <w:p w14:paraId="1D243431">
      <w:pPr>
        <w:jc w:val="left"/>
        <w:rPr>
          <w:kern w:val="2"/>
          <w:szCs w:val="24"/>
        </w:rPr>
      </w:pPr>
    </w:p>
    <w:bookmarkEnd w:id="57"/>
    <w:p w14:paraId="1D44AB53">
      <w:pPr>
        <w:keepNext/>
        <w:keepLines/>
        <w:adjustRightInd w:val="0"/>
        <w:snapToGrid w:val="0"/>
        <w:jc w:val="center"/>
        <w:outlineLvl w:val="0"/>
        <w:rPr>
          <w:rFonts w:eastAsia="黑体"/>
          <w:color w:val="000000" w:themeColor="text1"/>
          <w:szCs w:val="21"/>
          <w14:textFill>
            <w14:solidFill>
              <w14:schemeClr w14:val="tx1"/>
            </w14:solidFill>
          </w14:textFill>
        </w:rPr>
      </w:pPr>
      <w:bookmarkStart w:id="71" w:name="_Toc179671462"/>
      <w:bookmarkStart w:id="72" w:name="_Toc24719"/>
      <w:bookmarkStart w:id="73" w:name="_Toc4051"/>
      <w:bookmarkStart w:id="74" w:name="_Toc219788527"/>
      <w:bookmarkStart w:id="75" w:name="_Hlk190722532"/>
      <w:r>
        <w:rPr>
          <w:rFonts w:eastAsia="黑体"/>
          <w:color w:val="000000" w:themeColor="text1"/>
          <w:szCs w:val="21"/>
          <w14:textFill>
            <w14:solidFill>
              <w14:schemeClr w14:val="tx1"/>
            </w14:solidFill>
          </w14:textFill>
        </w:rPr>
        <w:t xml:space="preserve">附  录  </w:t>
      </w:r>
      <w:bookmarkEnd w:id="71"/>
      <w:bookmarkEnd w:id="72"/>
      <w:bookmarkEnd w:id="73"/>
      <w:r>
        <w:rPr>
          <w:rFonts w:eastAsia="黑体"/>
          <w:color w:val="000000" w:themeColor="text1"/>
          <w:szCs w:val="21"/>
          <w14:textFill>
            <w14:solidFill>
              <w14:schemeClr w14:val="tx1"/>
            </w14:solidFill>
          </w14:textFill>
        </w:rPr>
        <w:t>C</w:t>
      </w:r>
      <w:bookmarkEnd w:id="74"/>
    </w:p>
    <w:p w14:paraId="6E6D55F5">
      <w:pPr>
        <w:jc w:val="center"/>
        <w:rPr>
          <w:rFonts w:eastAsia="黑体"/>
          <w:color w:val="000000"/>
          <w:kern w:val="2"/>
          <w:szCs w:val="21"/>
        </w:rPr>
      </w:pPr>
      <w:bookmarkStart w:id="76" w:name="_Toc12843"/>
      <w:bookmarkStart w:id="77" w:name="_Toc15420"/>
      <w:r>
        <w:rPr>
          <w:rFonts w:eastAsia="黑体"/>
          <w:color w:val="000000"/>
          <w:kern w:val="2"/>
          <w:szCs w:val="21"/>
        </w:rPr>
        <w:t>（资料性）</w:t>
      </w:r>
      <w:bookmarkEnd w:id="76"/>
      <w:bookmarkEnd w:id="77"/>
    </w:p>
    <w:p w14:paraId="73878ACB">
      <w:pPr>
        <w:jc w:val="center"/>
        <w:rPr>
          <w:szCs w:val="21"/>
          <w:lang w:bidi="ar"/>
        </w:rPr>
      </w:pPr>
      <w:bookmarkStart w:id="78" w:name="_Toc29106"/>
      <w:bookmarkStart w:id="79" w:name="_Toc28479"/>
      <w:r>
        <w:rPr>
          <w:rFonts w:eastAsia="黑体"/>
          <w:color w:val="000000"/>
          <w:kern w:val="2"/>
          <w:szCs w:val="21"/>
        </w:rPr>
        <w:t>工业集聚区技术方案多目标量化方法</w:t>
      </w:r>
      <w:bookmarkEnd w:id="78"/>
      <w:bookmarkEnd w:id="79"/>
      <w:bookmarkStart w:id="80" w:name="_Hlk179823512"/>
    </w:p>
    <w:p w14:paraId="31E47214">
      <w:pPr>
        <w:adjustRightInd w:val="0"/>
        <w:spacing w:line="360" w:lineRule="auto"/>
        <w:ind w:firstLine="420" w:firstLineChars="200"/>
        <w:rPr>
          <w:szCs w:val="21"/>
          <w:lang w:bidi="ar"/>
        </w:rPr>
      </w:pPr>
      <w:r>
        <w:rPr>
          <w:szCs w:val="21"/>
          <w:lang w:bidi="ar"/>
        </w:rPr>
        <w:t>本附录提供第</w:t>
      </w:r>
      <w:r>
        <w:rPr>
          <w:rFonts w:hint="eastAsia"/>
          <w:szCs w:val="21"/>
          <w:lang w:bidi="ar"/>
        </w:rPr>
        <w:t>8</w:t>
      </w:r>
      <w:r>
        <w:rPr>
          <w:szCs w:val="21"/>
          <w:lang w:bidi="ar"/>
        </w:rPr>
        <w:t>节工业集聚区技术方案在碳排放、总工期和总成本三个维度的量化计算公式。</w:t>
      </w:r>
    </w:p>
    <w:p w14:paraId="125217D8">
      <w:pPr>
        <w:pStyle w:val="47"/>
        <w:spacing w:line="360" w:lineRule="auto"/>
        <w:rPr>
          <w:rFonts w:ascii="Times New Roman" w:hAnsi="Times New Roman" w:eastAsiaTheme="minorEastAsia"/>
          <w:color w:val="000000" w:themeColor="text1"/>
          <w:szCs w:val="21"/>
          <w14:textFill>
            <w14:solidFill>
              <w14:schemeClr w14:val="tx1"/>
            </w14:solidFill>
          </w14:textFill>
        </w:rPr>
      </w:pPr>
      <w:bookmarkStart w:id="81" w:name="OLE_LINK16"/>
      <w:r>
        <w:rPr>
          <w:rFonts w:ascii="Times New Roman" w:hAnsi="Times New Roman" w:eastAsiaTheme="minorEastAsia"/>
          <w:color w:val="000000" w:themeColor="text1"/>
          <w:szCs w:val="21"/>
          <w14:textFill>
            <w14:solidFill>
              <w14:schemeClr w14:val="tx1"/>
            </w14:solidFill>
          </w14:textFill>
        </w:rPr>
        <w:t>（1）</w:t>
      </w:r>
      <w:bookmarkEnd w:id="81"/>
      <w:r>
        <w:rPr>
          <w:rFonts w:ascii="Times New Roman" w:hAnsi="Times New Roman" w:eastAsiaTheme="minorEastAsia"/>
          <w:color w:val="000000" w:themeColor="text1"/>
          <w:szCs w:val="21"/>
          <w14:textFill>
            <w14:solidFill>
              <w14:schemeClr w14:val="tx1"/>
            </w14:solidFill>
          </w14:textFill>
        </w:rPr>
        <w:t>碳排放</w:t>
      </w:r>
    </w:p>
    <w:p w14:paraId="52292A37">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工业集聚区风险管控与修复方案的总碳排放为各污染地块独立实施技术产生的碳排放之和，扣除因技术协同产生的降碳量，如式（1）所示：</w:t>
      </w:r>
    </w:p>
    <w:p w14:paraId="104554BA">
      <w:pPr>
        <w:pStyle w:val="47"/>
        <w:spacing w:line="360" w:lineRule="auto"/>
        <w:jc w:val="center"/>
        <w:rPr>
          <w:rFonts w:ascii="Times New Roman" w:hAnsi="Times New Roman" w:eastAsiaTheme="minorEastAsia"/>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C=</m:t>
        </m:r>
        <m:nary>
          <m:naryPr>
            <m:chr m:val="∑"/>
            <m:limLoc m:val="undOvr"/>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k=1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carbon</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oMath>
      <w:r>
        <w:rPr>
          <w:rFonts w:ascii="Times New Roman" w:hAnsi="Times New Roman" w:eastAsiaTheme="minorEastAsia"/>
          <w:color w:val="000000" w:themeColor="text1"/>
          <w14:textFill>
            <w14:solidFill>
              <w14:schemeClr w14:val="tx1"/>
            </w14:solidFill>
          </w14:textFill>
        </w:rPr>
        <w:t xml:space="preserve">                                 </w:t>
      </w:r>
      <w:r>
        <w:rPr>
          <w:rFonts w:ascii="Times New Roman" w:hAnsi="Times New Roman" w:eastAsiaTheme="minorEastAsia"/>
          <w:color w:val="000000" w:themeColor="text1"/>
          <w:szCs w:val="21"/>
          <w14:textFill>
            <w14:solidFill>
              <w14:schemeClr w14:val="tx1"/>
            </w14:solidFill>
          </w14:textFill>
        </w:rPr>
        <w:t>（1）</w:t>
      </w:r>
    </w:p>
    <w:p w14:paraId="4ED027C1">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其中：</w:t>
      </w:r>
    </w:p>
    <w:p w14:paraId="2291FC32">
      <w:pPr>
        <w:pStyle w:val="47"/>
        <w:spacing w:line="360" w:lineRule="auto"/>
        <w:rPr>
          <w:rFonts w:ascii="Times New Roman" w:hAnsi="Times New Roman" w:eastAsiaTheme="minorEastAsia"/>
          <w:color w:val="000000" w:themeColor="text1"/>
          <w:szCs w:val="21"/>
          <w14:textFill>
            <w14:solidFill>
              <w14:schemeClr w14:val="tx1"/>
            </w14:solidFill>
          </w14:textFill>
        </w:rPr>
      </w:pPr>
      <m:oMath>
        <m:r>
          <m:rPr/>
          <w:rPr>
            <w:rFonts w:ascii="Cambria Math" w:hAnsi="Cambria Math"/>
            <w:color w:val="000000" w:themeColor="text1"/>
            <w14:textFill>
              <w14:solidFill>
                <w14:schemeClr w14:val="tx1"/>
              </w14:solidFill>
            </w14:textFill>
          </w:rPr>
          <m:t>C</m:t>
        </m:r>
      </m:oMath>
      <w:r>
        <w:rPr>
          <w:rFonts w:ascii="Times New Roman" w:hAnsi="Times New Roman" w:eastAsiaTheme="minorEastAsia"/>
          <w:color w:val="000000" w:themeColor="text1"/>
          <w:szCs w:val="21"/>
          <w14:textFill>
            <w14:solidFill>
              <w14:schemeClr w14:val="tx1"/>
            </w14:solidFill>
          </w14:textFill>
        </w:rPr>
        <w:t>：方案总碳排放，单位为 t CO₂ eq；</w:t>
      </w:r>
    </w:p>
    <w:p w14:paraId="5584BEEA">
      <w:pPr>
        <w:pStyle w:val="47"/>
        <w:spacing w:line="360" w:lineRule="auto"/>
        <w:rPr>
          <w:rFonts w:ascii="Times New Roman" w:hAnsi="Times New Roman" w:eastAsiaTheme="minorEastAsia"/>
          <w:color w:val="000000" w:themeColor="text1"/>
          <w:szCs w:val="21"/>
          <w14:textFill>
            <w14:solidFill>
              <w14:schemeClr w14:val="tx1"/>
            </w14:solidFill>
          </w14:textFill>
        </w:rPr>
      </w:pPr>
      <m:oMath>
        <m:r>
          <m:rPr/>
          <w:rPr>
            <w:rFonts w:ascii="Cambria Math" w:hAnsi="Cambria Math"/>
            <w:color w:val="000000" w:themeColor="text1"/>
            <w14:textFill>
              <w14:solidFill>
                <w14:schemeClr w14:val="tx1"/>
              </w14:solidFill>
            </w14:textFill>
          </w:rPr>
          <m:t>K</m:t>
        </m:r>
      </m:oMath>
      <w:r>
        <w:rPr>
          <w:rFonts w:ascii="Times New Roman" w:hAnsi="Times New Roman" w:eastAsiaTheme="minorEastAsia"/>
          <w:color w:val="000000" w:themeColor="text1"/>
          <w:szCs w:val="21"/>
          <w14:textFill>
            <w14:solidFill>
              <w14:schemeClr w14:val="tx1"/>
            </w14:solidFill>
          </w14:textFill>
        </w:rPr>
        <w:t>：纳入方案的污染地块总数（含土壤与地下水）；</w:t>
      </w:r>
    </w:p>
    <w:p w14:paraId="609CEC0D">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：第</w:t>
      </w:r>
      <m:oMath>
        <m:r>
          <m:rPr/>
          <w:rPr>
            <w:rFonts w:ascii="Cambria Math" w:hAnsi="Cambria Math"/>
            <w:color w:val="000000" w:themeColor="text1"/>
            <w14:textFill>
              <w14:solidFill>
                <w14:schemeClr w14:val="tx1"/>
              </w14:solidFill>
            </w14:textFill>
          </w:rPr>
          <m:t>k</m:t>
        </m:r>
      </m:oMath>
      <w:r>
        <w:rPr>
          <w:rFonts w:ascii="Times New Roman" w:hAnsi="Times New Roman" w:eastAsiaTheme="minorEastAsia"/>
          <w:color w:val="000000" w:themeColor="text1"/>
          <w:szCs w:val="21"/>
          <w14:textFill>
            <w14:solidFill>
              <w14:schemeClr w14:val="tx1"/>
            </w14:solidFill>
          </w14:textFill>
        </w:rPr>
        <w:t>个污染区块所采用技术的碳排放量，依据 6.</w:t>
      </w:r>
      <w:r>
        <w:rPr>
          <w:rFonts w:hint="eastAsia" w:ascii="Times New Roman" w:hAnsi="Times New Roman" w:eastAsiaTheme="minorEastAsia"/>
          <w:color w:val="000000" w:themeColor="text1"/>
          <w:szCs w:val="21"/>
          <w14:textFill>
            <w14:solidFill>
              <w14:schemeClr w14:val="tx1"/>
            </w14:solidFill>
          </w14:textFill>
        </w:rPr>
        <w:t>3.2</w:t>
      </w:r>
      <w:r>
        <w:rPr>
          <w:rFonts w:ascii="Times New Roman" w:hAnsi="Times New Roman" w:eastAsiaTheme="minorEastAsia"/>
          <w:color w:val="000000" w:themeColor="text1"/>
          <w:szCs w:val="21"/>
          <w14:textFill>
            <w14:solidFill>
              <w14:schemeClr w14:val="tx1"/>
            </w14:solidFill>
          </w14:textFill>
        </w:rPr>
        <w:t xml:space="preserve"> 确定，单位为 t CO₂ eq；</w:t>
      </w:r>
    </w:p>
    <w:p w14:paraId="7F188EC7">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carbon</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：因土水或跨地块技术协同（如共用设备、药剂系统、运输路线优化等）所产生的协同降碳量，单位为 t CO₂ eq，根据资源共享情形通过以下方式估算：</w:t>
      </w:r>
    </w:p>
    <w:p w14:paraId="6C2A633F">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a) 设备共用：对比独立建设与集中建设的设备制造、运输、安装碳排放差值；</w:t>
      </w:r>
    </w:p>
    <w:p w14:paraId="312E6AF0">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b) 药剂/能源系统共享：按共用比例折减重复建设的储罐、管道、电力接入等环节碳排；</w:t>
      </w:r>
    </w:p>
    <w:p w14:paraId="5CC94730">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c) 运输优化：根据合并运输频次与距离，参照车辆运输碳排放因子计算节碳量。</w:t>
      </w:r>
    </w:p>
    <w:p w14:paraId="30BCD9A6">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d) 若缺乏实测数据，可参考同类工程案例或采用简化比例法（如共用设备可降低相关碳排10%~20%），并在评估报告中说明假设依据。</w:t>
      </w:r>
    </w:p>
    <w:p w14:paraId="57F68DA5">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（2）总工期</w:t>
      </w:r>
    </w:p>
    <w:p w14:paraId="5633FC1C">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方案总工期为所有污染地块实施周期的累加值，反映串行条件下的总体治理时长，如式（2）所示：</w:t>
      </w:r>
    </w:p>
    <w:p w14:paraId="235BAB45">
      <w:pPr>
        <w:pStyle w:val="47"/>
        <w:spacing w:line="360" w:lineRule="auto"/>
        <w:jc w:val="center"/>
        <w:rPr>
          <w:rFonts w:ascii="Times New Roman" w:hAnsi="Times New Roman" w:eastAsiaTheme="minorEastAsia"/>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T</m:t>
        </m:r>
        <m:r>
          <m:rPr>
            <m:sty m:val="p"/>
          </m:rPr>
          <w:rPr>
            <w:rFonts w:ascii="Cambria Math" w:hAnsi="Cambria Math"/>
            <w:color w:val="000000" w:themeColor="text1"/>
            <w14:textFill>
              <w14:solidFill>
                <w14:schemeClr w14:val="tx1"/>
              </w14:solidFill>
            </w14:textFill>
          </w:rPr>
          <m:t>=</m:t>
        </m:r>
        <m:nary>
          <m:naryPr>
            <m:chr m:val="∑"/>
            <m:limLoc m:val="undOvr"/>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k=1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time</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14:textFill>
            <w14:solidFill>
              <w14:schemeClr w14:val="tx1"/>
            </w14:solidFill>
          </w14:textFill>
        </w:rPr>
        <w:t xml:space="preserve">                                 </w:t>
      </w:r>
      <w:r>
        <w:rPr>
          <w:rFonts w:ascii="Times New Roman" w:hAnsi="Times New Roman" w:eastAsiaTheme="minorEastAsia"/>
          <w:color w:val="000000" w:themeColor="text1"/>
          <w:szCs w:val="21"/>
          <w14:textFill>
            <w14:solidFill>
              <w14:schemeClr w14:val="tx1"/>
            </w14:solidFill>
          </w14:textFill>
        </w:rPr>
        <w:t>（2）</w:t>
      </w:r>
    </w:p>
    <w:p w14:paraId="0EC63B87">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其中：</w:t>
      </w:r>
    </w:p>
    <w:p w14:paraId="65E66C21">
      <w:pPr>
        <w:pStyle w:val="47"/>
        <w:spacing w:line="360" w:lineRule="auto"/>
        <w:rPr>
          <w:rFonts w:ascii="Times New Roman" w:hAnsi="Times New Roman" w:eastAsiaTheme="minorEastAsia"/>
          <w:color w:val="000000" w:themeColor="text1"/>
          <w:szCs w:val="21"/>
          <w14:textFill>
            <w14:solidFill>
              <w14:schemeClr w14:val="tx1"/>
            </w14:solidFill>
          </w14:textFill>
        </w:rPr>
      </w:pPr>
      <m:oMath>
        <m:r>
          <m:rPr/>
          <w:rPr>
            <w:rFonts w:ascii="Cambria Math" w:hAnsi="Cambria Math"/>
            <w:color w:val="000000" w:themeColor="text1"/>
            <w14:textFill>
              <w14:solidFill>
                <w14:schemeClr w14:val="tx1"/>
              </w14:solidFill>
            </w14:textFill>
          </w:rPr>
          <m:t>T</m:t>
        </m:r>
      </m:oMath>
      <w:r>
        <w:rPr>
          <w:rFonts w:ascii="Times New Roman" w:hAnsi="Times New Roman" w:eastAsiaTheme="minorEastAsia"/>
          <w:color w:val="000000" w:themeColor="text1"/>
          <w:szCs w:val="21"/>
          <w14:textFill>
            <w14:solidFill>
              <w14:schemeClr w14:val="tx1"/>
            </w14:solidFill>
          </w14:textFill>
        </w:rPr>
        <w:t>：方案总实施周期，单位为天或月；</w:t>
      </w:r>
    </w:p>
    <w:p w14:paraId="53CF0FC5">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：第</w:t>
      </w:r>
      <m:oMath>
        <m:r>
          <m:rPr/>
          <w:rPr>
            <w:rFonts w:ascii="Cambria Math" w:hAnsi="Cambria Math"/>
            <w:color w:val="000000" w:themeColor="text1"/>
            <w14:textFill>
              <w14:solidFill>
                <w14:schemeClr w14:val="tx1"/>
              </w14:solidFill>
            </w14:textFill>
          </w:rPr>
          <m:t>k</m:t>
        </m:r>
      </m:oMath>
      <w:r>
        <w:rPr>
          <w:rFonts w:ascii="Times New Roman" w:hAnsi="Times New Roman" w:eastAsiaTheme="minorEastAsia"/>
          <w:color w:val="000000" w:themeColor="text1"/>
          <w:szCs w:val="21"/>
          <w14:textFill>
            <w14:solidFill>
              <w14:schemeClr w14:val="tx1"/>
            </w14:solidFill>
          </w14:textFill>
        </w:rPr>
        <w:t>个污染区块的总工期（含技术准备、主体实施与效果评估），依据 6.3.</w:t>
      </w:r>
      <w:r>
        <w:rPr>
          <w:rFonts w:hint="eastAsia" w:ascii="Times New Roman" w:hAnsi="Times New Roman" w:eastAsiaTheme="minorEastAsia"/>
          <w:color w:val="000000" w:themeColor="text1"/>
          <w:szCs w:val="21"/>
          <w14:textFill>
            <w14:solidFill>
              <w14:schemeClr w14:val="tx1"/>
            </w14:solidFill>
          </w14:textFill>
        </w:rPr>
        <w:t>2</w:t>
      </w:r>
      <w:r>
        <w:rPr>
          <w:rFonts w:ascii="Times New Roman" w:hAnsi="Times New Roman" w:eastAsiaTheme="minorEastAsia"/>
          <w:color w:val="000000" w:themeColor="text1"/>
          <w:szCs w:val="21"/>
          <w14:textFill>
            <w14:solidFill>
              <w14:schemeClr w14:val="tx1"/>
            </w14:solidFill>
          </w14:textFill>
        </w:rPr>
        <w:t xml:space="preserve"> 确定，单位为天或月。</w:t>
      </w:r>
    </w:p>
    <w:p w14:paraId="499CD3FB">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time</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：因土水或跨地块技术协同（如并行准备或资源共享）节省的工期，单位为天或月，根据资源共享情形通过以下方式估算：</w:t>
      </w:r>
    </w:p>
    <w:p w14:paraId="207D0EBD">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a) 多地块共用中试或监测井建设，可减少重复施工时间；</w:t>
      </w:r>
    </w:p>
    <w:p w14:paraId="60499723">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b) 建议基于施工组织计划量化节省天数，或采用简化比例法（如共用中试可节省中试时间10%~20%），并在评估报告中说明假设依据。</w:t>
      </w:r>
    </w:p>
    <w:p w14:paraId="4C3BC53E">
      <w:pPr>
        <w:spacing w:line="360" w:lineRule="auto"/>
        <w:ind w:firstLine="420" w:firstLineChars="200"/>
      </w:pPr>
      <w:r>
        <w:rPr>
          <w:rFonts w:eastAsiaTheme="minorEastAsia"/>
        </w:rPr>
        <w:t>（3）</w:t>
      </w:r>
      <w:r>
        <w:t>总成本</w:t>
      </w:r>
    </w:p>
    <w:p w14:paraId="1E35986E">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方案总成本为各污染地块成本之和，扣除因资源共享产生的降本量，如式（3）所示：</w:t>
      </w:r>
    </w:p>
    <w:p w14:paraId="09257C32">
      <w:pPr>
        <w:pStyle w:val="47"/>
        <w:spacing w:line="360" w:lineRule="auto"/>
        <w:jc w:val="center"/>
        <w:rPr>
          <w:rFonts w:ascii="Times New Roman" w:hAnsi="Times New Roman" w:eastAsiaTheme="minorEastAsia"/>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M=</m:t>
        </m:r>
        <m:nary>
          <m:naryPr>
            <m:chr m:val="∑"/>
            <m:limLoc m:val="undOvr"/>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k=1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cost</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oMath>
      <w:r>
        <w:rPr>
          <w:rFonts w:ascii="Times New Roman" w:hAnsi="Times New Roman" w:eastAsiaTheme="minorEastAsia"/>
          <w:color w:val="000000" w:themeColor="text1"/>
          <w14:textFill>
            <w14:solidFill>
              <w14:schemeClr w14:val="tx1"/>
            </w14:solidFill>
          </w14:textFill>
        </w:rPr>
        <w:t xml:space="preserve">                                 </w:t>
      </w:r>
      <w:r>
        <w:rPr>
          <w:rFonts w:ascii="Times New Roman" w:hAnsi="Times New Roman" w:eastAsiaTheme="minorEastAsia"/>
          <w:color w:val="000000" w:themeColor="text1"/>
          <w:szCs w:val="21"/>
          <w14:textFill>
            <w14:solidFill>
              <w14:schemeClr w14:val="tx1"/>
            </w14:solidFill>
          </w14:textFill>
        </w:rPr>
        <w:t>（3）</w:t>
      </w:r>
    </w:p>
    <w:p w14:paraId="7E1A4188">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其中：</w:t>
      </w:r>
    </w:p>
    <w:p w14:paraId="50510786">
      <w:pPr>
        <w:pStyle w:val="47"/>
        <w:spacing w:line="360" w:lineRule="auto"/>
        <w:rPr>
          <w:rFonts w:ascii="Times New Roman" w:hAnsi="Times New Roman" w:eastAsiaTheme="minorEastAsia"/>
          <w:color w:val="000000" w:themeColor="text1"/>
          <w:szCs w:val="21"/>
          <w14:textFill>
            <w14:solidFill>
              <w14:schemeClr w14:val="tx1"/>
            </w14:solidFill>
          </w14:textFill>
        </w:rPr>
      </w:pPr>
      <m:oMath>
        <m:r>
          <m:rPr/>
          <w:rPr>
            <w:rFonts w:ascii="Cambria Math" w:hAnsi="Cambria Math"/>
            <w:color w:val="000000" w:themeColor="text1"/>
            <w14:textFill>
              <w14:solidFill>
                <w14:schemeClr w14:val="tx1"/>
              </w14:solidFill>
            </w14:textFill>
          </w:rPr>
          <m:t>M</m:t>
        </m:r>
      </m:oMath>
      <w:r>
        <w:rPr>
          <w:rFonts w:ascii="Times New Roman" w:hAnsi="Times New Roman" w:eastAsiaTheme="minorEastAsia"/>
          <w:color w:val="000000" w:themeColor="text1"/>
          <w:szCs w:val="21"/>
          <w14:textFill>
            <w14:solidFill>
              <w14:schemeClr w14:val="tx1"/>
            </w14:solidFill>
          </w14:textFill>
        </w:rPr>
        <w:t>：方案总成本，单位为万元；</w:t>
      </w:r>
    </w:p>
    <w:p w14:paraId="4F9A891A">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M</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k</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：第</w:t>
      </w:r>
      <m:oMath>
        <m:r>
          <m:rPr/>
          <w:rPr>
            <w:rFonts w:ascii="Cambria Math" w:hAnsi="Cambria Math"/>
            <w:color w:val="000000" w:themeColor="text1"/>
            <w14:textFill>
              <w14:solidFill>
                <w14:schemeClr w14:val="tx1"/>
              </w14:solidFill>
            </w14:textFill>
          </w:rPr>
          <m:t>k</m:t>
        </m:r>
      </m:oMath>
      <w:r>
        <w:rPr>
          <w:rFonts w:ascii="Times New Roman" w:hAnsi="Times New Roman" w:eastAsiaTheme="minorEastAsia"/>
          <w:color w:val="000000" w:themeColor="text1"/>
          <w:szCs w:val="21"/>
          <w14:textFill>
            <w14:solidFill>
              <w14:schemeClr w14:val="tx1"/>
            </w14:solidFill>
          </w14:textFill>
        </w:rPr>
        <w:t>个污染区块的全口径治理成本，依据 6.3.</w:t>
      </w:r>
      <w:r>
        <w:rPr>
          <w:rFonts w:hint="eastAsia" w:ascii="Times New Roman" w:hAnsi="Times New Roman" w:eastAsiaTheme="minorEastAsia"/>
          <w:color w:val="000000" w:themeColor="text1"/>
          <w:szCs w:val="21"/>
          <w14:textFill>
            <w14:solidFill>
              <w14:schemeClr w14:val="tx1"/>
            </w14:solidFill>
          </w14:textFill>
        </w:rPr>
        <w:t>2</w:t>
      </w:r>
      <w:r>
        <w:rPr>
          <w:rFonts w:ascii="Times New Roman" w:hAnsi="Times New Roman" w:eastAsiaTheme="minorEastAsia"/>
          <w:color w:val="000000" w:themeColor="text1"/>
          <w:szCs w:val="21"/>
          <w14:textFill>
            <w14:solidFill>
              <w14:schemeClr w14:val="tx1"/>
            </w14:solidFill>
          </w14:textFill>
        </w:rPr>
        <w:t>确定，单位为万元；</w:t>
      </w:r>
    </w:p>
    <w:p w14:paraId="768A9A16">
      <w:pPr>
        <w:pStyle w:val="47"/>
        <w:spacing w:line="360" w:lineRule="auto"/>
        <w:rPr>
          <w:rFonts w:ascii="Times New Roman" w:hAnsi="Times New Roman" w:eastAsiaTheme="minorEastAsia"/>
          <w:color w:val="000000" w:themeColor="text1"/>
          <w:szCs w:val="2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O</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cost</m:t>
            </m:r>
            <m:ctrlPr>
              <w:rPr>
                <w:rFonts w:ascii="Cambria Math" w:hAnsi="Cambria Math"/>
                <w:i/>
                <w:color w:val="000000" w:themeColor="text1"/>
                <w14:textFill>
                  <w14:solidFill>
                    <w14:schemeClr w14:val="tx1"/>
                  </w14:solidFill>
                </w14:textFill>
              </w:rPr>
            </m:ctrlPr>
          </m:sub>
        </m:sSub>
      </m:oMath>
      <w:r>
        <w:rPr>
          <w:rFonts w:ascii="Times New Roman" w:hAnsi="Times New Roman" w:eastAsiaTheme="minorEastAsia"/>
          <w:color w:val="000000" w:themeColor="text1"/>
          <w:szCs w:val="21"/>
          <w14:textFill>
            <w14:solidFill>
              <w14:schemeClr w14:val="tx1"/>
            </w14:solidFill>
          </w14:textFill>
        </w:rPr>
        <w:t>：因共用设备设施、集中采购、统一监测或施工组织优化等产生的协同降本量，单位为 万元，根据资源共享情形通过以下方式估算：</w:t>
      </w:r>
    </w:p>
    <w:p w14:paraId="3E46308F">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a)共用大型设备运输与吊装：多个地块联合调度同一套热脱附或抽提设备，减少重复运输与安装费用；</w:t>
      </w:r>
    </w:p>
    <w:p w14:paraId="25C1AD73">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b)共享药剂配制或电力接入系统：避免各区块单独建设储罐、配电设施等重复投入；</w:t>
      </w:r>
    </w:p>
    <w:p w14:paraId="1227E3E8">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c)合并监测井建设与样品分析：统一布点、批量送检降低单位监测成本。</w:t>
      </w:r>
    </w:p>
    <w:p w14:paraId="1F5EE791">
      <w:pPr>
        <w:pStyle w:val="47"/>
        <w:spacing w:line="360" w:lineRule="auto"/>
        <w:rPr>
          <w:rFonts w:ascii="Times New Roman" w:hAnsi="Times New Roman" w:eastAsiaTheme="minorEastAsia"/>
          <w:color w:val="000000" w:themeColor="text1"/>
          <w:szCs w:val="21"/>
          <w14:textFill>
            <w14:solidFill>
              <w14:schemeClr w14:val="tx1"/>
            </w14:solidFill>
          </w14:textFill>
        </w:rPr>
      </w:pPr>
      <w:r>
        <w:rPr>
          <w:rFonts w:ascii="Times New Roman" w:hAnsi="Times New Roman" w:eastAsiaTheme="minorEastAsia"/>
          <w:color w:val="000000" w:themeColor="text1"/>
          <w:szCs w:val="21"/>
          <w14:textFill>
            <w14:solidFill>
              <w14:schemeClr w14:val="tx1"/>
            </w14:solidFill>
          </w14:textFill>
        </w:rPr>
        <w:t>d)可依据工程预算对比、历史项目数据或行业经验系数（如资源共享可降低相关成本10%～20%）进行估算，并在评估报告中说明计算依据。</w:t>
      </w:r>
    </w:p>
    <w:p w14:paraId="6CD47DF8">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1919419E">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36F4C65B">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7A1AB9A3">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22E19DBF">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3452A8F9">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5FE8F163">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272EBAB3">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622ABE76">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63443067">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4429313A">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22B283EB">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6338F990">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566FA7AD">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21819CFD">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2901E4E2">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04284EC8">
      <w:pPr>
        <w:pStyle w:val="47"/>
        <w:spacing w:line="360" w:lineRule="auto"/>
        <w:rPr>
          <w:rFonts w:ascii="Times New Roman" w:hAnsi="Times New Roman" w:eastAsiaTheme="minorEastAsia"/>
          <w:color w:val="000000" w:themeColor="text1"/>
          <w:szCs w:val="21"/>
          <w14:textFill>
            <w14:solidFill>
              <w14:schemeClr w14:val="tx1"/>
            </w14:solidFill>
          </w14:textFill>
        </w:rPr>
      </w:pPr>
      <w:bookmarkStart w:id="86" w:name="_GoBack"/>
      <w:bookmarkEnd w:id="86"/>
    </w:p>
    <w:p w14:paraId="293E689E">
      <w:pPr>
        <w:pStyle w:val="47"/>
        <w:spacing w:line="360" w:lineRule="auto"/>
        <w:rPr>
          <w:rFonts w:ascii="Times New Roman" w:hAnsi="Times New Roman" w:eastAsiaTheme="minorEastAsia"/>
          <w:color w:val="000000" w:themeColor="text1"/>
          <w:szCs w:val="21"/>
          <w14:textFill>
            <w14:solidFill>
              <w14:schemeClr w14:val="tx1"/>
            </w14:solidFill>
          </w14:textFill>
        </w:rPr>
      </w:pPr>
    </w:p>
    <w:p w14:paraId="1B9B792C">
      <w:pPr>
        <w:keepNext/>
        <w:keepLines/>
        <w:adjustRightInd w:val="0"/>
        <w:snapToGrid w:val="0"/>
        <w:jc w:val="center"/>
        <w:outlineLvl w:val="0"/>
        <w:rPr>
          <w:rFonts w:eastAsia="黑体"/>
          <w:color w:val="000000" w:themeColor="text1"/>
          <w:szCs w:val="21"/>
          <w14:textFill>
            <w14:solidFill>
              <w14:schemeClr w14:val="tx1"/>
            </w14:solidFill>
          </w14:textFill>
        </w:rPr>
      </w:pPr>
      <w:bookmarkStart w:id="82" w:name="_Toc219788528"/>
      <w:r>
        <w:rPr>
          <w:rFonts w:eastAsia="黑体"/>
          <w:color w:val="000000" w:themeColor="text1"/>
          <w:szCs w:val="21"/>
          <w14:textFill>
            <w14:solidFill>
              <w14:schemeClr w14:val="tx1"/>
            </w14:solidFill>
          </w14:textFill>
        </w:rPr>
        <w:t>附  录  D</w:t>
      </w:r>
      <w:bookmarkEnd w:id="82"/>
    </w:p>
    <w:p w14:paraId="36843D2A">
      <w:pPr>
        <w:jc w:val="center"/>
        <w:rPr>
          <w:rFonts w:eastAsia="黑体"/>
          <w:color w:val="000000"/>
          <w:kern w:val="2"/>
          <w:szCs w:val="21"/>
        </w:rPr>
      </w:pPr>
      <w:r>
        <w:rPr>
          <w:rFonts w:eastAsia="黑体"/>
          <w:color w:val="000000"/>
          <w:kern w:val="2"/>
          <w:szCs w:val="21"/>
        </w:rPr>
        <w:t>（资料性）</w:t>
      </w:r>
    </w:p>
    <w:p w14:paraId="0A2B463C">
      <w:pPr>
        <w:jc w:val="center"/>
        <w:rPr>
          <w:szCs w:val="21"/>
          <w:lang w:bidi="ar"/>
        </w:rPr>
      </w:pPr>
      <w:r>
        <w:rPr>
          <w:rFonts w:eastAsia="黑体"/>
          <w:color w:val="000000"/>
          <w:kern w:val="2"/>
          <w:szCs w:val="21"/>
        </w:rPr>
        <w:t>工业集聚区土壤-地下水污染风险管控与修复技术方案报告</w:t>
      </w:r>
    </w:p>
    <w:p w14:paraId="4150738C">
      <w:pPr>
        <w:adjustRightInd w:val="0"/>
        <w:spacing w:line="360" w:lineRule="auto"/>
        <w:rPr>
          <w:rFonts w:eastAsia="黑体"/>
          <w:szCs w:val="21"/>
          <w:lang w:bidi="ar"/>
        </w:rPr>
      </w:pPr>
      <w:r>
        <w:rPr>
          <w:rFonts w:eastAsia="黑体"/>
          <w:szCs w:val="21"/>
          <w:lang w:bidi="ar"/>
        </w:rPr>
        <w:t>1 总论</w:t>
      </w:r>
    </w:p>
    <w:p w14:paraId="466D93C2">
      <w:pPr>
        <w:adjustRightInd w:val="0"/>
        <w:spacing w:line="360" w:lineRule="auto"/>
        <w:ind w:firstLine="420" w:firstLineChars="200"/>
        <w:rPr>
          <w:szCs w:val="21"/>
          <w:lang w:bidi="ar"/>
        </w:rPr>
      </w:pPr>
      <w:r>
        <w:rPr>
          <w:szCs w:val="21"/>
          <w:lang w:bidi="ar"/>
        </w:rPr>
        <w:t>1.1 任务由来</w:t>
      </w:r>
    </w:p>
    <w:p w14:paraId="74CA4168">
      <w:pPr>
        <w:adjustRightInd w:val="0"/>
        <w:spacing w:line="360" w:lineRule="auto"/>
        <w:ind w:firstLine="420" w:firstLineChars="200"/>
        <w:rPr>
          <w:szCs w:val="21"/>
          <w:lang w:bidi="ar"/>
        </w:rPr>
      </w:pPr>
      <w:r>
        <w:rPr>
          <w:szCs w:val="21"/>
          <w:lang w:bidi="ar"/>
        </w:rPr>
        <w:t>1.2 编制依据</w:t>
      </w:r>
    </w:p>
    <w:p w14:paraId="0E3C1B03">
      <w:pPr>
        <w:adjustRightInd w:val="0"/>
        <w:spacing w:line="360" w:lineRule="auto"/>
        <w:ind w:firstLine="420" w:firstLineChars="200"/>
        <w:rPr>
          <w:szCs w:val="21"/>
          <w:lang w:bidi="ar"/>
        </w:rPr>
      </w:pPr>
      <w:r>
        <w:rPr>
          <w:szCs w:val="21"/>
          <w:lang w:bidi="ar"/>
        </w:rPr>
        <w:t>1.3 编制原则与目标</w:t>
      </w:r>
    </w:p>
    <w:p w14:paraId="32E4E8AE">
      <w:pPr>
        <w:adjustRightInd w:val="0"/>
        <w:spacing w:line="360" w:lineRule="auto"/>
        <w:ind w:firstLine="420" w:firstLineChars="200"/>
        <w:rPr>
          <w:szCs w:val="21"/>
          <w:lang w:bidi="ar"/>
        </w:rPr>
      </w:pPr>
      <w:r>
        <w:rPr>
          <w:szCs w:val="21"/>
          <w:lang w:bidi="ar"/>
        </w:rPr>
        <w:t>1.4 技术路线概述</w:t>
      </w:r>
    </w:p>
    <w:p w14:paraId="12BF2398">
      <w:pPr>
        <w:adjustRightInd w:val="0"/>
        <w:spacing w:line="360" w:lineRule="auto"/>
        <w:rPr>
          <w:rFonts w:eastAsia="黑体"/>
          <w:szCs w:val="21"/>
          <w:lang w:bidi="ar"/>
        </w:rPr>
      </w:pPr>
      <w:r>
        <w:rPr>
          <w:rFonts w:eastAsia="黑体"/>
          <w:szCs w:val="21"/>
          <w:lang w:bidi="ar"/>
        </w:rPr>
        <w:t>2 工业集聚区概况与问题识别</w:t>
      </w:r>
    </w:p>
    <w:p w14:paraId="49C54387">
      <w:pPr>
        <w:adjustRightInd w:val="0"/>
        <w:spacing w:line="360" w:lineRule="auto"/>
        <w:ind w:firstLine="420" w:firstLineChars="200"/>
        <w:rPr>
          <w:szCs w:val="21"/>
          <w:lang w:bidi="ar"/>
        </w:rPr>
      </w:pPr>
      <w:r>
        <w:rPr>
          <w:szCs w:val="21"/>
          <w:lang w:bidi="ar"/>
        </w:rPr>
        <w:t>2.1 区域基本情况</w:t>
      </w:r>
    </w:p>
    <w:p w14:paraId="2FBC6C8F">
      <w:pPr>
        <w:adjustRightInd w:val="0"/>
        <w:spacing w:line="360" w:lineRule="auto"/>
        <w:ind w:firstLine="420" w:firstLineChars="200"/>
        <w:rPr>
          <w:szCs w:val="21"/>
          <w:lang w:bidi="ar"/>
        </w:rPr>
      </w:pPr>
      <w:r>
        <w:rPr>
          <w:szCs w:val="21"/>
          <w:lang w:bidi="ar"/>
        </w:rPr>
        <w:t>2.2 各污染地块环境与污染特征</w:t>
      </w:r>
    </w:p>
    <w:p w14:paraId="6A9D6D9B">
      <w:pPr>
        <w:adjustRightInd w:val="0"/>
        <w:spacing w:line="360" w:lineRule="auto"/>
        <w:ind w:firstLine="420" w:firstLineChars="200"/>
        <w:rPr>
          <w:szCs w:val="21"/>
          <w:lang w:bidi="ar"/>
        </w:rPr>
      </w:pPr>
      <w:r>
        <w:rPr>
          <w:szCs w:val="21"/>
          <w:lang w:bidi="ar"/>
        </w:rPr>
        <w:t>2.3 土壤与地下水风险水平</w:t>
      </w:r>
    </w:p>
    <w:p w14:paraId="3482D456">
      <w:pPr>
        <w:adjustRightInd w:val="0"/>
        <w:spacing w:line="360" w:lineRule="auto"/>
        <w:ind w:firstLine="420" w:firstLineChars="200"/>
        <w:rPr>
          <w:szCs w:val="21"/>
          <w:lang w:bidi="ar"/>
        </w:rPr>
      </w:pPr>
      <w:r>
        <w:rPr>
          <w:szCs w:val="21"/>
          <w:lang w:bidi="ar"/>
        </w:rPr>
        <w:t>2.4 总体及分地块管控或修复目标</w:t>
      </w:r>
    </w:p>
    <w:p w14:paraId="1A18B8D7">
      <w:pPr>
        <w:adjustRightInd w:val="0"/>
        <w:spacing w:line="360" w:lineRule="auto"/>
        <w:rPr>
          <w:rFonts w:eastAsia="黑体"/>
          <w:szCs w:val="21"/>
          <w:lang w:bidi="ar"/>
        </w:rPr>
      </w:pPr>
      <w:r>
        <w:rPr>
          <w:rFonts w:eastAsia="黑体"/>
          <w:szCs w:val="21"/>
          <w:lang w:bidi="ar"/>
        </w:rPr>
        <w:t>3 污染地块技术适用性评估</w:t>
      </w:r>
    </w:p>
    <w:p w14:paraId="4177E287">
      <w:pPr>
        <w:adjustRightInd w:val="0"/>
        <w:spacing w:line="360" w:lineRule="auto"/>
        <w:ind w:firstLine="420" w:firstLineChars="200"/>
        <w:rPr>
          <w:rFonts w:eastAsiaTheme="minorEastAsia"/>
          <w:szCs w:val="21"/>
          <w:lang w:bidi="ar"/>
        </w:rPr>
      </w:pPr>
      <w:r>
        <w:rPr>
          <w:rFonts w:eastAsiaTheme="minorEastAsia"/>
          <w:szCs w:val="21"/>
          <w:lang w:bidi="ar"/>
        </w:rPr>
        <w:t>3.1 场地信息收集</w:t>
      </w:r>
    </w:p>
    <w:p w14:paraId="2F3A2764">
      <w:pPr>
        <w:adjustRightInd w:val="0"/>
        <w:spacing w:line="360" w:lineRule="auto"/>
        <w:ind w:firstLine="420" w:firstLineChars="200"/>
        <w:rPr>
          <w:rFonts w:eastAsiaTheme="minorEastAsia"/>
          <w:szCs w:val="21"/>
          <w:lang w:bidi="ar"/>
        </w:rPr>
      </w:pPr>
      <w:r>
        <w:rPr>
          <w:rFonts w:eastAsiaTheme="minorEastAsia"/>
          <w:szCs w:val="21"/>
          <w:lang w:bidi="ar"/>
        </w:rPr>
        <w:t>3.2技术初筛</w:t>
      </w:r>
    </w:p>
    <w:p w14:paraId="6505F2B4">
      <w:pPr>
        <w:adjustRightInd w:val="0"/>
        <w:spacing w:line="360" w:lineRule="auto"/>
        <w:ind w:firstLine="420" w:firstLineChars="200"/>
        <w:rPr>
          <w:rFonts w:eastAsiaTheme="minorEastAsia"/>
          <w:szCs w:val="21"/>
          <w:lang w:bidi="ar"/>
        </w:rPr>
      </w:pPr>
      <w:r>
        <w:rPr>
          <w:rFonts w:eastAsiaTheme="minorEastAsia"/>
          <w:szCs w:val="21"/>
          <w:lang w:bidi="ar"/>
        </w:rPr>
        <w:t>3.3 技术适用性评估</w:t>
      </w:r>
    </w:p>
    <w:p w14:paraId="303CD941">
      <w:pPr>
        <w:adjustRightInd w:val="0"/>
        <w:spacing w:line="360" w:lineRule="auto"/>
        <w:ind w:firstLine="420" w:firstLineChars="200"/>
        <w:rPr>
          <w:rFonts w:eastAsiaTheme="minorEastAsia"/>
          <w:szCs w:val="21"/>
          <w:lang w:bidi="ar"/>
        </w:rPr>
      </w:pPr>
      <w:r>
        <w:rPr>
          <w:rFonts w:eastAsiaTheme="minorEastAsia"/>
          <w:szCs w:val="21"/>
          <w:lang w:bidi="ar"/>
        </w:rPr>
        <w:t>3.4 备选技术清单</w:t>
      </w:r>
    </w:p>
    <w:p w14:paraId="296761BD">
      <w:pPr>
        <w:adjustRightInd w:val="0"/>
        <w:spacing w:line="360" w:lineRule="auto"/>
        <w:rPr>
          <w:rFonts w:eastAsia="黑体"/>
          <w:szCs w:val="21"/>
          <w:lang w:bidi="ar"/>
        </w:rPr>
      </w:pPr>
      <w:r>
        <w:rPr>
          <w:rFonts w:eastAsia="黑体"/>
          <w:szCs w:val="21"/>
          <w:lang w:bidi="ar"/>
        </w:rPr>
        <w:t>4 工业集聚区技术方案比选</w:t>
      </w:r>
    </w:p>
    <w:p w14:paraId="7E1D624D">
      <w:pPr>
        <w:adjustRightInd w:val="0"/>
        <w:spacing w:line="360" w:lineRule="auto"/>
        <w:ind w:firstLine="420" w:firstLineChars="200"/>
        <w:rPr>
          <w:rFonts w:eastAsiaTheme="minorEastAsia"/>
          <w:szCs w:val="21"/>
          <w:lang w:bidi="ar"/>
        </w:rPr>
      </w:pPr>
      <w:r>
        <w:rPr>
          <w:rFonts w:eastAsiaTheme="minorEastAsia"/>
          <w:szCs w:val="21"/>
          <w:lang w:bidi="ar"/>
        </w:rPr>
        <w:t>4.1 土壤-地下水技术协同性评估结果</w:t>
      </w:r>
    </w:p>
    <w:p w14:paraId="48513196">
      <w:pPr>
        <w:adjustRightInd w:val="0"/>
        <w:spacing w:line="360" w:lineRule="auto"/>
        <w:ind w:firstLine="420" w:firstLineChars="200"/>
        <w:rPr>
          <w:rFonts w:eastAsiaTheme="minorEastAsia"/>
          <w:szCs w:val="21"/>
          <w:lang w:bidi="ar"/>
        </w:rPr>
      </w:pPr>
      <w:r>
        <w:rPr>
          <w:rFonts w:eastAsiaTheme="minorEastAsia"/>
          <w:szCs w:val="21"/>
          <w:lang w:bidi="ar"/>
        </w:rPr>
        <w:t>4.2 备选技术方案构成</w:t>
      </w:r>
    </w:p>
    <w:p w14:paraId="6DE82D04">
      <w:pPr>
        <w:adjustRightInd w:val="0"/>
        <w:spacing w:line="360" w:lineRule="auto"/>
        <w:ind w:firstLine="420" w:firstLineChars="200"/>
        <w:rPr>
          <w:rFonts w:eastAsiaTheme="minorEastAsia"/>
          <w:szCs w:val="21"/>
          <w:lang w:bidi="ar"/>
        </w:rPr>
      </w:pPr>
      <w:r>
        <w:rPr>
          <w:rFonts w:eastAsiaTheme="minorEastAsia"/>
          <w:szCs w:val="21"/>
          <w:lang w:bidi="ar"/>
        </w:rPr>
        <w:t>4.3 多目标量化参数</w:t>
      </w:r>
    </w:p>
    <w:p w14:paraId="7F13F75F">
      <w:pPr>
        <w:adjustRightInd w:val="0"/>
        <w:spacing w:line="360" w:lineRule="auto"/>
        <w:ind w:firstLine="420" w:firstLineChars="200"/>
        <w:rPr>
          <w:rFonts w:eastAsiaTheme="minorEastAsia"/>
          <w:szCs w:val="21"/>
          <w:lang w:bidi="ar"/>
        </w:rPr>
      </w:pPr>
      <w:r>
        <w:rPr>
          <w:rFonts w:eastAsiaTheme="minorEastAsia"/>
          <w:szCs w:val="21"/>
          <w:lang w:bidi="ar"/>
        </w:rPr>
        <w:t>4.4 目标优先级序列与逐层比选过程</w:t>
      </w:r>
    </w:p>
    <w:p w14:paraId="3C0600B5">
      <w:pPr>
        <w:adjustRightInd w:val="0"/>
        <w:spacing w:line="360" w:lineRule="auto"/>
        <w:ind w:firstLine="420" w:firstLineChars="200"/>
        <w:rPr>
          <w:rFonts w:eastAsiaTheme="minorEastAsia"/>
          <w:szCs w:val="21"/>
          <w:lang w:bidi="ar"/>
        </w:rPr>
      </w:pPr>
      <w:r>
        <w:rPr>
          <w:rFonts w:eastAsiaTheme="minorEastAsia"/>
          <w:szCs w:val="21"/>
          <w:lang w:bidi="ar"/>
        </w:rPr>
        <w:t>4.5 推荐技术方案及调整机制说明</w:t>
      </w:r>
    </w:p>
    <w:p w14:paraId="4D55E9B5">
      <w:pPr>
        <w:adjustRightInd w:val="0"/>
        <w:spacing w:line="360" w:lineRule="auto"/>
        <w:rPr>
          <w:rFonts w:eastAsia="黑体"/>
          <w:szCs w:val="21"/>
          <w:lang w:bidi="ar"/>
        </w:rPr>
      </w:pPr>
      <w:r>
        <w:rPr>
          <w:rFonts w:eastAsia="黑体"/>
          <w:szCs w:val="21"/>
          <w:lang w:bidi="ar"/>
        </w:rPr>
        <w:t>5 推荐方案设计</w:t>
      </w:r>
    </w:p>
    <w:p w14:paraId="73F3A94E">
      <w:pPr>
        <w:adjustRightInd w:val="0"/>
        <w:spacing w:line="360" w:lineRule="auto"/>
        <w:ind w:firstLine="420" w:firstLineChars="200"/>
        <w:rPr>
          <w:szCs w:val="21"/>
          <w:lang w:bidi="ar"/>
        </w:rPr>
      </w:pPr>
      <w:r>
        <w:rPr>
          <w:szCs w:val="21"/>
          <w:lang w:bidi="ar"/>
        </w:rPr>
        <w:t>5.1 总体技术路线与实施策略</w:t>
      </w:r>
    </w:p>
    <w:p w14:paraId="65B30C65">
      <w:pPr>
        <w:adjustRightInd w:val="0"/>
        <w:spacing w:line="360" w:lineRule="auto"/>
        <w:ind w:firstLine="420" w:firstLineChars="200"/>
        <w:rPr>
          <w:szCs w:val="21"/>
          <w:lang w:bidi="ar"/>
        </w:rPr>
      </w:pPr>
      <w:r>
        <w:rPr>
          <w:szCs w:val="21"/>
          <w:lang w:bidi="ar"/>
        </w:rPr>
        <w:t>5.2 各污染地块具体技术配置</w:t>
      </w:r>
    </w:p>
    <w:p w14:paraId="20EF70A9">
      <w:pPr>
        <w:adjustRightInd w:val="0"/>
        <w:spacing w:line="360" w:lineRule="auto"/>
        <w:ind w:firstLine="420" w:firstLineChars="200"/>
        <w:rPr>
          <w:szCs w:val="21"/>
          <w:lang w:bidi="ar"/>
        </w:rPr>
      </w:pPr>
      <w:r>
        <w:rPr>
          <w:szCs w:val="21"/>
          <w:lang w:bidi="ar"/>
        </w:rPr>
        <w:t>5.3 地块间协同实施安排</w:t>
      </w:r>
    </w:p>
    <w:p w14:paraId="1CC1C170">
      <w:pPr>
        <w:adjustRightInd w:val="0"/>
        <w:spacing w:line="360" w:lineRule="auto"/>
        <w:ind w:firstLine="420" w:firstLineChars="200"/>
        <w:rPr>
          <w:szCs w:val="21"/>
          <w:lang w:bidi="ar"/>
        </w:rPr>
      </w:pPr>
      <w:r>
        <w:rPr>
          <w:szCs w:val="21"/>
          <w:lang w:bidi="ar"/>
        </w:rPr>
        <w:t>5.4 主要工艺参数与工程量估算</w:t>
      </w:r>
    </w:p>
    <w:p w14:paraId="5026A873">
      <w:pPr>
        <w:adjustRightInd w:val="0"/>
        <w:spacing w:line="360" w:lineRule="auto"/>
        <w:rPr>
          <w:rFonts w:eastAsia="黑体"/>
          <w:szCs w:val="21"/>
          <w:lang w:bidi="ar"/>
        </w:rPr>
      </w:pPr>
      <w:r>
        <w:rPr>
          <w:rFonts w:eastAsia="黑体"/>
          <w:szCs w:val="21"/>
          <w:lang w:bidi="ar"/>
        </w:rPr>
        <w:t>6 成本效益与可持续性分析</w:t>
      </w:r>
    </w:p>
    <w:p w14:paraId="7619178B">
      <w:pPr>
        <w:adjustRightInd w:val="0"/>
        <w:spacing w:line="360" w:lineRule="auto"/>
        <w:ind w:firstLine="420" w:firstLineChars="200"/>
        <w:rPr>
          <w:szCs w:val="21"/>
          <w:lang w:bidi="ar"/>
        </w:rPr>
      </w:pPr>
      <w:r>
        <w:rPr>
          <w:szCs w:val="21"/>
          <w:lang w:bidi="ar"/>
        </w:rPr>
        <w:t>6.1 总投资估算</w:t>
      </w:r>
    </w:p>
    <w:p w14:paraId="3BA9328C">
      <w:pPr>
        <w:adjustRightInd w:val="0"/>
        <w:spacing w:line="360" w:lineRule="auto"/>
        <w:ind w:firstLine="420" w:firstLineChars="200"/>
        <w:rPr>
          <w:szCs w:val="21"/>
          <w:lang w:bidi="ar"/>
        </w:rPr>
      </w:pPr>
      <w:r>
        <w:rPr>
          <w:szCs w:val="21"/>
          <w:lang w:bidi="ar"/>
        </w:rPr>
        <w:t>6.2 环境效益</w:t>
      </w:r>
    </w:p>
    <w:p w14:paraId="6504F2DC">
      <w:pPr>
        <w:adjustRightInd w:val="0"/>
        <w:spacing w:line="360" w:lineRule="auto"/>
        <w:ind w:firstLine="420" w:firstLineChars="200"/>
        <w:rPr>
          <w:szCs w:val="21"/>
          <w:lang w:bidi="ar"/>
        </w:rPr>
      </w:pPr>
      <w:r>
        <w:rPr>
          <w:szCs w:val="21"/>
          <w:lang w:bidi="ar"/>
        </w:rPr>
        <w:t>6.3 经济与社会效益</w:t>
      </w:r>
    </w:p>
    <w:p w14:paraId="09E5BF23">
      <w:pPr>
        <w:adjustRightInd w:val="0"/>
        <w:spacing w:line="360" w:lineRule="auto"/>
        <w:rPr>
          <w:rFonts w:eastAsia="黑体"/>
          <w:szCs w:val="21"/>
          <w:lang w:bidi="ar"/>
        </w:rPr>
      </w:pPr>
      <w:r>
        <w:rPr>
          <w:rFonts w:eastAsia="黑体"/>
          <w:szCs w:val="21"/>
          <w:lang w:bidi="ar"/>
        </w:rPr>
        <w:t>7 结论与建议</w:t>
      </w:r>
    </w:p>
    <w:p w14:paraId="4DE253B1">
      <w:pPr>
        <w:adjustRightInd w:val="0"/>
        <w:spacing w:line="360" w:lineRule="auto"/>
        <w:ind w:firstLine="420" w:firstLineChars="200"/>
        <w:rPr>
          <w:szCs w:val="21"/>
          <w:lang w:bidi="ar"/>
        </w:rPr>
      </w:pPr>
      <w:r>
        <w:rPr>
          <w:szCs w:val="21"/>
          <w:lang w:bidi="ar"/>
        </w:rPr>
        <w:t>7.1 技术方案可行性结论</w:t>
      </w:r>
    </w:p>
    <w:p w14:paraId="7EB18D0E">
      <w:pPr>
        <w:adjustRightInd w:val="0"/>
        <w:spacing w:line="360" w:lineRule="auto"/>
        <w:ind w:firstLine="420" w:firstLineChars="200"/>
        <w:rPr>
          <w:szCs w:val="21"/>
          <w:lang w:bidi="ar"/>
        </w:rPr>
      </w:pPr>
      <w:r>
        <w:rPr>
          <w:szCs w:val="21"/>
          <w:lang w:bidi="ar"/>
        </w:rPr>
        <w:t>7.2 后续工作建议</w:t>
      </w:r>
    </w:p>
    <w:p w14:paraId="39321455">
      <w:pPr>
        <w:adjustRightInd w:val="0"/>
        <w:spacing w:line="360" w:lineRule="auto"/>
        <w:rPr>
          <w:szCs w:val="21"/>
          <w:lang w:bidi="ar"/>
        </w:rPr>
      </w:pPr>
    </w:p>
    <w:p w14:paraId="0825C79A">
      <w:pPr>
        <w:adjustRightInd w:val="0"/>
        <w:spacing w:line="360" w:lineRule="auto"/>
        <w:ind w:firstLine="420" w:firstLineChars="200"/>
        <w:rPr>
          <w:szCs w:val="21"/>
          <w:lang w:bidi="ar"/>
        </w:rPr>
      </w:pPr>
    </w:p>
    <w:bookmarkEnd w:id="58"/>
    <w:bookmarkEnd w:id="59"/>
    <w:bookmarkEnd w:id="60"/>
    <w:bookmarkEnd w:id="75"/>
    <w:bookmarkEnd w:id="80"/>
    <w:p w14:paraId="7F6336E8">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mc:AlternateContent>
          <mc:Choice Requires="wps">
            <w:drawing>
              <wp:inline distT="0" distB="0" distL="0" distR="0">
                <wp:extent cx="1889760" cy="635"/>
                <wp:effectExtent l="12700" t="7620" r="12065" b="10795"/>
                <wp:docPr id="6" name="AutoShape 7"/>
                <wp:cNvGraphicFramePr/>
                <a:graphic xmlns:a="http://schemas.openxmlformats.org/drawingml/2006/main">
                  <a:graphicData uri="http://schemas.microsoft.com/office/word/2010/wordprocessingShape">
                    <wps:wsp>
                      <wps:cNvCnPr>
                        <a:cxnSpLocks noChangeShapeType="1"/>
                      </wps:cNvCnPr>
                      <wps:spPr bwMode="auto">
                        <a:xfrm>
                          <a:off x="0" y="0"/>
                          <a:ext cx="1889760" cy="635"/>
                        </a:xfrm>
                        <a:prstGeom prst="straightConnector1">
                          <a:avLst/>
                        </a:prstGeom>
                        <a:noFill/>
                        <a:ln w="9525">
                          <a:solidFill>
                            <a:srgbClr val="000000"/>
                          </a:solidFill>
                          <a:roun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POlpdIAAAACAQAADwAAAAAAAAABACAAAAAi&#10;AAAAZHJzL2Rvd25yZXYueG1sUEsBAhQAFAAAAAgAh07iQNbtg/DXAQAAtAMAAA4AAAAAAAAAAQAg&#10;AAAAIQEAAGRycy9lMm9Eb2MueG1sUEsFBgAAAAAGAAYAWQEAAGoFAAAAAA==&#10;">
                <v:fill on="f" focussize="0,0"/>
                <v:stroke color="#000000" joinstyle="round"/>
                <v:imagedata o:title=""/>
                <o:lock v:ext="edit" aspectratio="f"/>
                <w10:wrap type="none"/>
                <w10:anchorlock/>
              </v:shape>
            </w:pict>
          </mc:Fallback>
        </mc:AlternateContent>
      </w:r>
    </w:p>
    <w:sectPr>
      <w:footerReference r:id="rId12" w:type="default"/>
      <w:footerReference r:id="rId13" w:type="even"/>
      <w:pgSz w:w="11906" w:h="16838"/>
      <w:pgMar w:top="1417" w:right="1134" w:bottom="1134" w:left="1417" w:header="1020"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6F56">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450" cy="153035"/>
              <wp:effectExtent l="4445" t="0" r="0" b="127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450" cy="153035"/>
                      </a:xfrm>
                      <a:prstGeom prst="rect">
                        <a:avLst/>
                      </a:prstGeom>
                      <a:noFill/>
                      <a:ln>
                        <a:noFill/>
                      </a:ln>
                    </wps:spPr>
                    <wps:txbx>
                      <w:txbxContent>
                        <w:p w14:paraId="3C2ED98D">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3.5pt;mso-position-horizontal:right;mso-position-horizontal-relative:margin;mso-wrap-style:none;z-index:251660288;mso-width-relative:page;mso-height-relative:page;" filled="f" stroked="f" coordsize="21600,21600" o:gfxdata="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KWc/HQAAAAAgEAAA8AAAAAAAAAAQAgAAAAIgAAAGRycy9kb3ducmV2LnhtbFBLAQIUABQA&#10;AAAIAIdO4kC8mzn4+AEAAAAEAAAOAAAAAAAAAAEAIAAAAB8BAABkcnMvZTJvRG9jLnhtbFBLBQYA&#10;AAAABgAGAFkBAACJBQAAAAA=&#10;">
              <v:fill on="f" focussize="0,0"/>
              <v:stroke on="f"/>
              <v:imagedata o:title=""/>
              <o:lock v:ext="edit" aspectratio="f"/>
              <v:textbox inset="0mm,0mm,0mm,0mm" style="mso-fit-shape-to-text:t;">
                <w:txbxContent>
                  <w:p w14:paraId="3C2ED98D">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2319">
    <w:pPr>
      <w:pStyle w:val="10"/>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76200" cy="131445"/>
              <wp:effectExtent l="1270" t="635" r="0" b="1270"/>
              <wp:wrapNone/>
              <wp:docPr id="5"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3DD7FC4E">
                          <w:pPr>
                            <w:pStyle w:val="1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0.35pt;width:6pt;mso-position-horizontal:right;mso-position-horizontal-relative:margin;mso-wrap-style:none;z-index:251664384;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Ow2Kc8AAAADAQAADwAAAAAAAAABACAAAAAiAAAAZHJzL2Rvd25yZXYueG1sUEsBAhQAFAAA&#10;AAgAh07iQPa2+K/4AQAAAQQAAA4AAAAAAAAAAQAgAAAAHgEAAGRycy9lMm9Eb2MueG1sUEsFBgAA&#10;AAAGAAYAWQEAAIgFAAAAAA==&#10;">
              <v:fill on="f" focussize="0,0"/>
              <v:stroke on="f"/>
              <v:imagedata o:title=""/>
              <o:lock v:ext="edit" aspectratio="f"/>
              <v:textbox inset="0mm,0mm,0mm,0mm" style="mso-fit-shape-to-text:t;">
                <w:txbxContent>
                  <w:p w14:paraId="3DD7FC4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5205">
    <w:pPr>
      <w:tabs>
        <w:tab w:val="right" w:pos="9355"/>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 cy="153035"/>
              <wp:effectExtent l="635" t="0" r="0" b="127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0BE3B24">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2.05pt;width:5.3pt;mso-position-horizontal:outside;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nqzVF0AAAAAMBAAAPAAAAAAAAAAEAIAAAACIAAABkcnMvZG93bnJldi54bWxQSwECFAAU&#10;AAAACACHTuJAPRCSo/kBAAAABAAADgAAAAAAAAABACAAAAAfAQAAZHJzL2Uyb0RvYy54bWxQSwUG&#10;AAAAAAYABgBZAQAAigUAAAAA&#10;">
              <v:fill on="f" focussize="0,0"/>
              <v:stroke on="f"/>
              <v:imagedata o:title=""/>
              <o:lock v:ext="edit" aspectratio="f"/>
              <v:textbox inset="0mm,0mm,0mm,0mm" style="mso-fit-shape-to-text:t;">
                <w:txbxContent>
                  <w:p w14:paraId="20BE3B24">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6410">
    <w:pPr>
      <w:pStyle w:val="10"/>
    </w:pPr>
    <w:bookmarkStart w:id="83" w:name="_Hlk215145695"/>
    <w:bookmarkStart w:id="84" w:name="OLE_LINK8"/>
    <w:bookmarkStart w:id="85" w:name="OLE_LINK6"/>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57785" cy="131445"/>
              <wp:effectExtent l="4445" t="635" r="4445" b="1270"/>
              <wp:wrapNone/>
              <wp:docPr id="3"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DF09015">
                          <w:pPr>
                            <w:pStyle w:val="1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0.35pt;width:4.55pt;mso-position-horizontal:outside;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T0P+t+wEAAAEEAAAOAAAAAAAAAAEAIAAAAB8BAABkcnMvZTJvRG9jLnhtbFBL&#10;BQYAAAAABgAGAFkBAACMBQAAAAA=&#10;">
              <v:fill on="f" focussize="0,0"/>
              <v:stroke on="f"/>
              <v:imagedata o:title=""/>
              <o:lock v:ext="edit" aspectratio="f"/>
              <v:textbox inset="0mm,0mm,0mm,0mm" style="mso-fit-shape-to-text:t;">
                <w:txbxContent>
                  <w:p w14:paraId="4DF09015">
                    <w:pPr>
                      <w:pStyle w:val="10"/>
                    </w:pPr>
                    <w:r>
                      <w:fldChar w:fldCharType="begin"/>
                    </w:r>
                    <w:r>
                      <w:instrText xml:space="preserve"> PAGE  \* MERGEFORMAT </w:instrText>
                    </w:r>
                    <w:r>
                      <w:fldChar w:fldCharType="separate"/>
                    </w:r>
                    <w:r>
                      <w:t>2</w:t>
                    </w:r>
                    <w:r>
                      <w:fldChar w:fldCharType="end"/>
                    </w:r>
                  </w:p>
                </w:txbxContent>
              </v:textbox>
            </v:shape>
          </w:pict>
        </mc:Fallback>
      </mc:AlternateContent>
    </w:r>
    <w:bookmarkEnd w:id="83"/>
    <w:bookmarkEnd w:id="84"/>
    <w:bookmarkEnd w:id="85"/>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4183">
    <w:pPr>
      <w:tabs>
        <w:tab w:val="right" w:pos="9355"/>
      </w:tabs>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7310" cy="153035"/>
              <wp:effectExtent l="635" t="0" r="0" b="1270"/>
              <wp:wrapNone/>
              <wp:docPr id="1" name="Text Box 9"/>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0D4CB102">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2.05pt;width:5.3pt;mso-position-horizontal:outside;mso-position-horizontal-relative:margin;mso-wrap-style:none;z-index:251662336;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erNUXQAAAAAwEAAA8AAAAAAAAAAQAgAAAAIgAAAGRycy9kb3ducmV2LnhtbFBLAQIUABQA&#10;AAAIAIdO4kDl35BK+AEAAAAEAAAOAAAAAAAAAAEAIAAAAB8BAABkcnMvZTJvRG9jLnhtbFBLBQYA&#10;AAAABgAGAFkBAACJBQAAAAA=&#10;">
              <v:fill on="f" focussize="0,0"/>
              <v:stroke on="f"/>
              <v:imagedata o:title=""/>
              <o:lock v:ext="edit" aspectratio="f"/>
              <v:textbox inset="0mm,0mm,0mm,0mm" style="mso-fit-shape-to-text:t;">
                <w:txbxContent>
                  <w:p w14:paraId="0D4CB102">
                    <w:r>
                      <w:fldChar w:fldCharType="begin"/>
                    </w:r>
                    <w:r>
                      <w:instrText xml:space="preserve"> PAGE  \* MERGEFORMAT </w:instrText>
                    </w:r>
                    <w:r>
                      <w:fldChar w:fldCharType="separate"/>
                    </w:r>
                    <w:r>
                      <w:t>I</w:t>
                    </w:r>
                    <w:r>
                      <w:fldChar w:fldCharType="end"/>
                    </w:r>
                  </w:p>
                </w:txbxContent>
              </v:textbox>
            </v:shape>
          </w:pict>
        </mc:Fallback>
      </mc:AlternateConten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DABE">
    <w:pPr>
      <w:pStyle w:val="10"/>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57785" cy="131445"/>
              <wp:effectExtent l="0" t="0" r="0" b="0"/>
              <wp:wrapNone/>
              <wp:docPr id="21" name="Text Box 10"/>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D7D80DE">
                          <w:pPr>
                            <w:pStyle w:val="10"/>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0.35pt;width:4.55pt;mso-position-horizontal:outside;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Pi91E0AAAAAIBAAAPAAAAAAAAAAEAIAAAACIAAABkcnMvZG93bnJldi54bWxQSwEC&#10;FAAUAAAACACHTuJAxvWM8fwBAAACBAAADgAAAAAAAAABACAAAAAfAQAAZHJzL2Uyb0RvYy54bWxQ&#10;SwUGAAAAAAYABgBZAQAAjQUAAAAA&#10;">
              <v:fill on="f" focussize="0,0"/>
              <v:stroke on="f"/>
              <v:imagedata o:title=""/>
              <o:lock v:ext="edit" aspectratio="f"/>
              <v:textbox inset="0mm,0mm,0mm,0mm" style="mso-fit-shape-to-text:t;">
                <w:txbxContent>
                  <w:p w14:paraId="7D7D80D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8EC1">
    <w:p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136AB">
    <w:pPr>
      <w:jc w:val="right"/>
    </w:pPr>
    <w:r>
      <w:t xml:space="preserve">T/ACEF </w:t>
    </w:r>
    <w:r>
      <w:rPr>
        <w:rFonts w:hint="eastAsia"/>
      </w:rPr>
      <w:t>×××</w:t>
    </w:r>
    <w:r>
      <w:t>—20</w:t>
    </w:r>
    <w:r>
      <w:rPr>
        <w:rFonts w:hint="eastAsia"/>
      </w:rPr>
      <w:t>××</w:t>
    </w:r>
  </w:p>
  <w:p w14:paraId="6E9B3D3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D66B">
    <w:pPr>
      <w:jc w:val="right"/>
    </w:pPr>
    <w:r>
      <w:t xml:space="preserve">T/ACEF </w:t>
    </w:r>
    <w:r>
      <w:rPr>
        <w:rFonts w:hint="eastAsia"/>
      </w:rPr>
      <w:t>×××</w:t>
    </w:r>
    <w:r>
      <w:t>—20</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86D9">
    <w:pPr>
      <w:jc w:val="right"/>
    </w:pPr>
    <w:r>
      <w:t xml:space="preserve">T/ACEF </w:t>
    </w:r>
    <w:r>
      <w:rPr>
        <w:rFonts w:hint="eastAsia"/>
      </w:rPr>
      <w:t>×××</w:t>
    </w:r>
    <w:r>
      <w:t>—20</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D6EF">
    <w:r>
      <w:t xml:space="preserve">T/ACEF </w:t>
    </w:r>
    <w:r>
      <w:rPr>
        <w:rFonts w:hint="eastAsia"/>
      </w:rPr>
      <w:t>×××</w:t>
    </w:r>
    <w:r>
      <w:t>—20</w:t>
    </w:r>
    <w:r>
      <w:rPr>
        <w:rFonts w:hint="eastAsia"/>
      </w:rPr>
      <w:t>××</w:t>
    </w:r>
  </w:p>
  <w:p w14:paraId="3325617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F6058"/>
    <w:multiLevelType w:val="multilevel"/>
    <w:tmpl w:val="17EF6058"/>
    <w:lvl w:ilvl="0" w:tentative="0">
      <w:start w:val="6"/>
      <w:numFmt w:val="decimal"/>
      <w:lvlText w:val="%1"/>
      <w:lvlJc w:val="left"/>
      <w:pPr>
        <w:ind w:left="360" w:hanging="360"/>
      </w:pPr>
      <w:rPr>
        <w:rFonts w:hint="default"/>
      </w:rPr>
    </w:lvl>
    <w:lvl w:ilvl="1" w:tentative="0">
      <w:start w:val="1"/>
      <w:numFmt w:val="decimal"/>
      <w:lvlText w:val="%1.%2"/>
      <w:lvlJc w:val="left"/>
      <w:pPr>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78036CC5"/>
    <w:multiLevelType w:val="multilevel"/>
    <w:tmpl w:val="78036CC5"/>
    <w:lvl w:ilvl="0" w:tentative="0">
      <w:start w:val="8"/>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documentProtection w:enforcement="0"/>
  <w:defaultTabStop w:val="420"/>
  <w:evenAndOddHeaders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3YzNkZDI0MjBkYWZkODcxNTRiZTQ3OWU0Y2Q4NTUifQ=="/>
  </w:docVars>
  <w:rsids>
    <w:rsidRoot w:val="00125A18"/>
    <w:rsid w:val="00000A9B"/>
    <w:rsid w:val="000012DB"/>
    <w:rsid w:val="000116E1"/>
    <w:rsid w:val="000248E0"/>
    <w:rsid w:val="0003765C"/>
    <w:rsid w:val="00037D44"/>
    <w:rsid w:val="00040F3A"/>
    <w:rsid w:val="00042EC6"/>
    <w:rsid w:val="00051F15"/>
    <w:rsid w:val="00052A8E"/>
    <w:rsid w:val="00057E30"/>
    <w:rsid w:val="00060165"/>
    <w:rsid w:val="00061DB2"/>
    <w:rsid w:val="000657E6"/>
    <w:rsid w:val="00067495"/>
    <w:rsid w:val="00076BC4"/>
    <w:rsid w:val="00080E9E"/>
    <w:rsid w:val="00080F02"/>
    <w:rsid w:val="00090959"/>
    <w:rsid w:val="00091439"/>
    <w:rsid w:val="0009348D"/>
    <w:rsid w:val="00093D5D"/>
    <w:rsid w:val="000961EC"/>
    <w:rsid w:val="000A62A1"/>
    <w:rsid w:val="000B77C5"/>
    <w:rsid w:val="000C17E6"/>
    <w:rsid w:val="000E1411"/>
    <w:rsid w:val="000E396B"/>
    <w:rsid w:val="000E575F"/>
    <w:rsid w:val="000F205D"/>
    <w:rsid w:val="000F60A1"/>
    <w:rsid w:val="00103843"/>
    <w:rsid w:val="00107C7E"/>
    <w:rsid w:val="001113BD"/>
    <w:rsid w:val="00125A18"/>
    <w:rsid w:val="0013457C"/>
    <w:rsid w:val="0013649C"/>
    <w:rsid w:val="0013664D"/>
    <w:rsid w:val="00136806"/>
    <w:rsid w:val="00137CDB"/>
    <w:rsid w:val="001508F0"/>
    <w:rsid w:val="00153334"/>
    <w:rsid w:val="0015721E"/>
    <w:rsid w:val="001727B3"/>
    <w:rsid w:val="0018554F"/>
    <w:rsid w:val="00186A39"/>
    <w:rsid w:val="00187FC4"/>
    <w:rsid w:val="00194786"/>
    <w:rsid w:val="00194D6E"/>
    <w:rsid w:val="001A28B8"/>
    <w:rsid w:val="001A3C0D"/>
    <w:rsid w:val="001A5CD9"/>
    <w:rsid w:val="001A781D"/>
    <w:rsid w:val="001A7D59"/>
    <w:rsid w:val="001B7BB3"/>
    <w:rsid w:val="001C28DC"/>
    <w:rsid w:val="001D3D8F"/>
    <w:rsid w:val="001E4025"/>
    <w:rsid w:val="001E6576"/>
    <w:rsid w:val="001F0F8C"/>
    <w:rsid w:val="001F42FB"/>
    <w:rsid w:val="001F53B7"/>
    <w:rsid w:val="002119B3"/>
    <w:rsid w:val="00211BCE"/>
    <w:rsid w:val="00214571"/>
    <w:rsid w:val="00216B05"/>
    <w:rsid w:val="00221211"/>
    <w:rsid w:val="00232C30"/>
    <w:rsid w:val="002348CE"/>
    <w:rsid w:val="002500CD"/>
    <w:rsid w:val="0025061D"/>
    <w:rsid w:val="00261388"/>
    <w:rsid w:val="00264923"/>
    <w:rsid w:val="00264F2C"/>
    <w:rsid w:val="00267492"/>
    <w:rsid w:val="00276D90"/>
    <w:rsid w:val="00281CB5"/>
    <w:rsid w:val="00296A53"/>
    <w:rsid w:val="002A1591"/>
    <w:rsid w:val="002A43CF"/>
    <w:rsid w:val="002A65C4"/>
    <w:rsid w:val="002B49DE"/>
    <w:rsid w:val="002B5195"/>
    <w:rsid w:val="002C3AB9"/>
    <w:rsid w:val="002C7CB8"/>
    <w:rsid w:val="002D3A48"/>
    <w:rsid w:val="002E23FB"/>
    <w:rsid w:val="002E6283"/>
    <w:rsid w:val="002E688C"/>
    <w:rsid w:val="002F02DC"/>
    <w:rsid w:val="002F0D8B"/>
    <w:rsid w:val="002F1D48"/>
    <w:rsid w:val="002F4E7E"/>
    <w:rsid w:val="00306AC4"/>
    <w:rsid w:val="003078F8"/>
    <w:rsid w:val="00310F95"/>
    <w:rsid w:val="00313B88"/>
    <w:rsid w:val="0031498C"/>
    <w:rsid w:val="003154FF"/>
    <w:rsid w:val="00315D7F"/>
    <w:rsid w:val="00316B5F"/>
    <w:rsid w:val="00321F47"/>
    <w:rsid w:val="003224B1"/>
    <w:rsid w:val="00326251"/>
    <w:rsid w:val="003274A1"/>
    <w:rsid w:val="00335745"/>
    <w:rsid w:val="00335D48"/>
    <w:rsid w:val="00335D90"/>
    <w:rsid w:val="00351239"/>
    <w:rsid w:val="003529A8"/>
    <w:rsid w:val="00353BC4"/>
    <w:rsid w:val="00356C05"/>
    <w:rsid w:val="0035706E"/>
    <w:rsid w:val="00357D52"/>
    <w:rsid w:val="0036302F"/>
    <w:rsid w:val="00381D77"/>
    <w:rsid w:val="00386E8D"/>
    <w:rsid w:val="00387C68"/>
    <w:rsid w:val="0039449B"/>
    <w:rsid w:val="003A3336"/>
    <w:rsid w:val="003B13CF"/>
    <w:rsid w:val="003C0DC6"/>
    <w:rsid w:val="003C353C"/>
    <w:rsid w:val="003C4F0C"/>
    <w:rsid w:val="003D0317"/>
    <w:rsid w:val="003D1E28"/>
    <w:rsid w:val="003D6CFB"/>
    <w:rsid w:val="003F00F6"/>
    <w:rsid w:val="00405DCC"/>
    <w:rsid w:val="004113EE"/>
    <w:rsid w:val="00414432"/>
    <w:rsid w:val="0042088C"/>
    <w:rsid w:val="00422BC5"/>
    <w:rsid w:val="00431F31"/>
    <w:rsid w:val="0043335D"/>
    <w:rsid w:val="004348FE"/>
    <w:rsid w:val="00435FC3"/>
    <w:rsid w:val="004655FB"/>
    <w:rsid w:val="00467D3D"/>
    <w:rsid w:val="00474CEB"/>
    <w:rsid w:val="00481C79"/>
    <w:rsid w:val="004A013D"/>
    <w:rsid w:val="004A66B4"/>
    <w:rsid w:val="004B1756"/>
    <w:rsid w:val="004B3AD4"/>
    <w:rsid w:val="004B3FA7"/>
    <w:rsid w:val="004B7B27"/>
    <w:rsid w:val="004C7B05"/>
    <w:rsid w:val="004D0515"/>
    <w:rsid w:val="004D25C2"/>
    <w:rsid w:val="004F1882"/>
    <w:rsid w:val="004F2290"/>
    <w:rsid w:val="004F3978"/>
    <w:rsid w:val="004F4981"/>
    <w:rsid w:val="004F5DF2"/>
    <w:rsid w:val="004F6C49"/>
    <w:rsid w:val="004F7DF2"/>
    <w:rsid w:val="00502AFB"/>
    <w:rsid w:val="00502E55"/>
    <w:rsid w:val="005069AB"/>
    <w:rsid w:val="00506B2B"/>
    <w:rsid w:val="00507C37"/>
    <w:rsid w:val="005258DF"/>
    <w:rsid w:val="005278E7"/>
    <w:rsid w:val="0053026B"/>
    <w:rsid w:val="005306CA"/>
    <w:rsid w:val="00530845"/>
    <w:rsid w:val="005316DF"/>
    <w:rsid w:val="0053330D"/>
    <w:rsid w:val="00542914"/>
    <w:rsid w:val="00545A3A"/>
    <w:rsid w:val="00550CA7"/>
    <w:rsid w:val="005615CD"/>
    <w:rsid w:val="00564C74"/>
    <w:rsid w:val="00567C58"/>
    <w:rsid w:val="00570060"/>
    <w:rsid w:val="00571A4A"/>
    <w:rsid w:val="0057453B"/>
    <w:rsid w:val="00577DF9"/>
    <w:rsid w:val="00582926"/>
    <w:rsid w:val="00583041"/>
    <w:rsid w:val="00587C23"/>
    <w:rsid w:val="0059185C"/>
    <w:rsid w:val="00593563"/>
    <w:rsid w:val="005946FD"/>
    <w:rsid w:val="0059484B"/>
    <w:rsid w:val="0059659D"/>
    <w:rsid w:val="005A6B79"/>
    <w:rsid w:val="005A6E56"/>
    <w:rsid w:val="005B2FAF"/>
    <w:rsid w:val="005B5991"/>
    <w:rsid w:val="005C173C"/>
    <w:rsid w:val="005C465C"/>
    <w:rsid w:val="005D51BA"/>
    <w:rsid w:val="005F62BE"/>
    <w:rsid w:val="00601A9C"/>
    <w:rsid w:val="00622695"/>
    <w:rsid w:val="00623F88"/>
    <w:rsid w:val="00624785"/>
    <w:rsid w:val="00631249"/>
    <w:rsid w:val="0063193C"/>
    <w:rsid w:val="00632AA3"/>
    <w:rsid w:val="00637395"/>
    <w:rsid w:val="0064418E"/>
    <w:rsid w:val="006456C5"/>
    <w:rsid w:val="00651A02"/>
    <w:rsid w:val="006614F3"/>
    <w:rsid w:val="00665F0E"/>
    <w:rsid w:val="00670794"/>
    <w:rsid w:val="0067460B"/>
    <w:rsid w:val="00681E2C"/>
    <w:rsid w:val="00684415"/>
    <w:rsid w:val="006A0844"/>
    <w:rsid w:val="006A3787"/>
    <w:rsid w:val="006B0F3F"/>
    <w:rsid w:val="006B4E46"/>
    <w:rsid w:val="006B6824"/>
    <w:rsid w:val="006C24CF"/>
    <w:rsid w:val="006C470D"/>
    <w:rsid w:val="006C4CB2"/>
    <w:rsid w:val="006C6628"/>
    <w:rsid w:val="006C6BD6"/>
    <w:rsid w:val="006C78C6"/>
    <w:rsid w:val="006D1C58"/>
    <w:rsid w:val="006D291C"/>
    <w:rsid w:val="006D2E9C"/>
    <w:rsid w:val="006F16CB"/>
    <w:rsid w:val="006F5910"/>
    <w:rsid w:val="00703B82"/>
    <w:rsid w:val="00707982"/>
    <w:rsid w:val="00710497"/>
    <w:rsid w:val="00710D0C"/>
    <w:rsid w:val="007117EA"/>
    <w:rsid w:val="00722704"/>
    <w:rsid w:val="00727AF8"/>
    <w:rsid w:val="00732DF0"/>
    <w:rsid w:val="0074229E"/>
    <w:rsid w:val="007468A4"/>
    <w:rsid w:val="0075481A"/>
    <w:rsid w:val="00760BBA"/>
    <w:rsid w:val="00763F0B"/>
    <w:rsid w:val="00766030"/>
    <w:rsid w:val="0077102C"/>
    <w:rsid w:val="007736A5"/>
    <w:rsid w:val="00773C46"/>
    <w:rsid w:val="007777D2"/>
    <w:rsid w:val="00777FBC"/>
    <w:rsid w:val="00791BF8"/>
    <w:rsid w:val="00792E05"/>
    <w:rsid w:val="00796CE8"/>
    <w:rsid w:val="007A0351"/>
    <w:rsid w:val="007A134F"/>
    <w:rsid w:val="007A312C"/>
    <w:rsid w:val="007A4778"/>
    <w:rsid w:val="007B28CB"/>
    <w:rsid w:val="007C2489"/>
    <w:rsid w:val="007C530A"/>
    <w:rsid w:val="007D51CC"/>
    <w:rsid w:val="007D5C24"/>
    <w:rsid w:val="007E0750"/>
    <w:rsid w:val="007F27E4"/>
    <w:rsid w:val="007F3B2F"/>
    <w:rsid w:val="00800FD8"/>
    <w:rsid w:val="008023F7"/>
    <w:rsid w:val="00803080"/>
    <w:rsid w:val="00804566"/>
    <w:rsid w:val="00811CED"/>
    <w:rsid w:val="00812FA7"/>
    <w:rsid w:val="008162AD"/>
    <w:rsid w:val="00817E67"/>
    <w:rsid w:val="00821763"/>
    <w:rsid w:val="0082565B"/>
    <w:rsid w:val="00830488"/>
    <w:rsid w:val="00836CF5"/>
    <w:rsid w:val="0084366B"/>
    <w:rsid w:val="0085130C"/>
    <w:rsid w:val="00854FF3"/>
    <w:rsid w:val="008674E2"/>
    <w:rsid w:val="00880363"/>
    <w:rsid w:val="008809BE"/>
    <w:rsid w:val="00880D6F"/>
    <w:rsid w:val="00891C3E"/>
    <w:rsid w:val="008933DB"/>
    <w:rsid w:val="008A3EBA"/>
    <w:rsid w:val="008A5BEC"/>
    <w:rsid w:val="008A7788"/>
    <w:rsid w:val="008B0E70"/>
    <w:rsid w:val="008B3532"/>
    <w:rsid w:val="008C68E1"/>
    <w:rsid w:val="008D173D"/>
    <w:rsid w:val="008D3135"/>
    <w:rsid w:val="008D699D"/>
    <w:rsid w:val="008E0924"/>
    <w:rsid w:val="008E1C82"/>
    <w:rsid w:val="008E6375"/>
    <w:rsid w:val="008F5511"/>
    <w:rsid w:val="008F76CC"/>
    <w:rsid w:val="009013DC"/>
    <w:rsid w:val="0091028B"/>
    <w:rsid w:val="00910452"/>
    <w:rsid w:val="00911B34"/>
    <w:rsid w:val="009153FB"/>
    <w:rsid w:val="00917B7B"/>
    <w:rsid w:val="00917D5A"/>
    <w:rsid w:val="0092665A"/>
    <w:rsid w:val="009337BB"/>
    <w:rsid w:val="00936F1B"/>
    <w:rsid w:val="00942E10"/>
    <w:rsid w:val="0094627B"/>
    <w:rsid w:val="00952885"/>
    <w:rsid w:val="00957EE9"/>
    <w:rsid w:val="00976A13"/>
    <w:rsid w:val="009A037B"/>
    <w:rsid w:val="009A7662"/>
    <w:rsid w:val="009B2D36"/>
    <w:rsid w:val="009B48FB"/>
    <w:rsid w:val="009B67C5"/>
    <w:rsid w:val="009D098A"/>
    <w:rsid w:val="009D438E"/>
    <w:rsid w:val="009D4563"/>
    <w:rsid w:val="009D7C12"/>
    <w:rsid w:val="009F4EDC"/>
    <w:rsid w:val="00A031B3"/>
    <w:rsid w:val="00A049C5"/>
    <w:rsid w:val="00A13E22"/>
    <w:rsid w:val="00A143AF"/>
    <w:rsid w:val="00A209C2"/>
    <w:rsid w:val="00A238E8"/>
    <w:rsid w:val="00A24704"/>
    <w:rsid w:val="00A272DB"/>
    <w:rsid w:val="00A37340"/>
    <w:rsid w:val="00A418FA"/>
    <w:rsid w:val="00A44FCE"/>
    <w:rsid w:val="00A469FA"/>
    <w:rsid w:val="00A47D1E"/>
    <w:rsid w:val="00A53668"/>
    <w:rsid w:val="00A67A7B"/>
    <w:rsid w:val="00A703CF"/>
    <w:rsid w:val="00A71F6E"/>
    <w:rsid w:val="00A750C3"/>
    <w:rsid w:val="00A8056D"/>
    <w:rsid w:val="00AA1350"/>
    <w:rsid w:val="00AA1443"/>
    <w:rsid w:val="00AA7649"/>
    <w:rsid w:val="00AB35F9"/>
    <w:rsid w:val="00AB3AED"/>
    <w:rsid w:val="00AB507F"/>
    <w:rsid w:val="00AB6932"/>
    <w:rsid w:val="00AC09E1"/>
    <w:rsid w:val="00AC3B41"/>
    <w:rsid w:val="00AC5838"/>
    <w:rsid w:val="00AD397A"/>
    <w:rsid w:val="00AE09F4"/>
    <w:rsid w:val="00AE46FD"/>
    <w:rsid w:val="00AE5161"/>
    <w:rsid w:val="00AE6E47"/>
    <w:rsid w:val="00AF2D12"/>
    <w:rsid w:val="00B00E86"/>
    <w:rsid w:val="00B056BC"/>
    <w:rsid w:val="00B0624A"/>
    <w:rsid w:val="00B1384E"/>
    <w:rsid w:val="00B158C5"/>
    <w:rsid w:val="00B26392"/>
    <w:rsid w:val="00B31E66"/>
    <w:rsid w:val="00B34D45"/>
    <w:rsid w:val="00B350B2"/>
    <w:rsid w:val="00B351C2"/>
    <w:rsid w:val="00B3779B"/>
    <w:rsid w:val="00B42CDF"/>
    <w:rsid w:val="00B45B7D"/>
    <w:rsid w:val="00B5020C"/>
    <w:rsid w:val="00B54028"/>
    <w:rsid w:val="00B60E39"/>
    <w:rsid w:val="00B7305D"/>
    <w:rsid w:val="00B74C76"/>
    <w:rsid w:val="00B76F72"/>
    <w:rsid w:val="00B80214"/>
    <w:rsid w:val="00B83B6A"/>
    <w:rsid w:val="00B94E4B"/>
    <w:rsid w:val="00B94FAF"/>
    <w:rsid w:val="00B9519F"/>
    <w:rsid w:val="00B96ED4"/>
    <w:rsid w:val="00BA086F"/>
    <w:rsid w:val="00BA258F"/>
    <w:rsid w:val="00BA3390"/>
    <w:rsid w:val="00BA7F3D"/>
    <w:rsid w:val="00BB42FC"/>
    <w:rsid w:val="00BB7AA7"/>
    <w:rsid w:val="00BC0227"/>
    <w:rsid w:val="00BC3646"/>
    <w:rsid w:val="00BC6450"/>
    <w:rsid w:val="00BC6A0A"/>
    <w:rsid w:val="00BC7F5E"/>
    <w:rsid w:val="00BD121B"/>
    <w:rsid w:val="00BD53BA"/>
    <w:rsid w:val="00BE06DA"/>
    <w:rsid w:val="00BE6DF5"/>
    <w:rsid w:val="00BF606D"/>
    <w:rsid w:val="00BF7AFE"/>
    <w:rsid w:val="00C02225"/>
    <w:rsid w:val="00C10871"/>
    <w:rsid w:val="00C160C1"/>
    <w:rsid w:val="00C21BDC"/>
    <w:rsid w:val="00C25397"/>
    <w:rsid w:val="00C35268"/>
    <w:rsid w:val="00C35D60"/>
    <w:rsid w:val="00C44A9F"/>
    <w:rsid w:val="00C457A7"/>
    <w:rsid w:val="00C535EA"/>
    <w:rsid w:val="00C668A2"/>
    <w:rsid w:val="00C74680"/>
    <w:rsid w:val="00C74D56"/>
    <w:rsid w:val="00C758EB"/>
    <w:rsid w:val="00C84403"/>
    <w:rsid w:val="00C84487"/>
    <w:rsid w:val="00C851F3"/>
    <w:rsid w:val="00C86D93"/>
    <w:rsid w:val="00C9005E"/>
    <w:rsid w:val="00C96843"/>
    <w:rsid w:val="00C96E2C"/>
    <w:rsid w:val="00C96EC4"/>
    <w:rsid w:val="00CA2C82"/>
    <w:rsid w:val="00CA374E"/>
    <w:rsid w:val="00CB0351"/>
    <w:rsid w:val="00CB4D8F"/>
    <w:rsid w:val="00CB65D8"/>
    <w:rsid w:val="00CC49E7"/>
    <w:rsid w:val="00CD46D8"/>
    <w:rsid w:val="00CD7160"/>
    <w:rsid w:val="00CE465A"/>
    <w:rsid w:val="00CE6FBD"/>
    <w:rsid w:val="00CF1F15"/>
    <w:rsid w:val="00CF28EB"/>
    <w:rsid w:val="00CF4528"/>
    <w:rsid w:val="00D03D68"/>
    <w:rsid w:val="00D06F6E"/>
    <w:rsid w:val="00D12622"/>
    <w:rsid w:val="00D15A48"/>
    <w:rsid w:val="00D15EB4"/>
    <w:rsid w:val="00D16711"/>
    <w:rsid w:val="00D17861"/>
    <w:rsid w:val="00D17DD9"/>
    <w:rsid w:val="00D320EC"/>
    <w:rsid w:val="00D322AD"/>
    <w:rsid w:val="00D36325"/>
    <w:rsid w:val="00D43DAC"/>
    <w:rsid w:val="00D5186D"/>
    <w:rsid w:val="00D5688F"/>
    <w:rsid w:val="00D56910"/>
    <w:rsid w:val="00D65006"/>
    <w:rsid w:val="00D66E6A"/>
    <w:rsid w:val="00D732D1"/>
    <w:rsid w:val="00D74528"/>
    <w:rsid w:val="00D751D3"/>
    <w:rsid w:val="00D754BE"/>
    <w:rsid w:val="00D81DAB"/>
    <w:rsid w:val="00D82301"/>
    <w:rsid w:val="00D829D2"/>
    <w:rsid w:val="00D87283"/>
    <w:rsid w:val="00D9474D"/>
    <w:rsid w:val="00D9799A"/>
    <w:rsid w:val="00DB0AF9"/>
    <w:rsid w:val="00DB62A1"/>
    <w:rsid w:val="00DC4353"/>
    <w:rsid w:val="00DC6462"/>
    <w:rsid w:val="00DD2130"/>
    <w:rsid w:val="00DD28DF"/>
    <w:rsid w:val="00DD504A"/>
    <w:rsid w:val="00DF2C52"/>
    <w:rsid w:val="00DF363D"/>
    <w:rsid w:val="00E061B0"/>
    <w:rsid w:val="00E1000B"/>
    <w:rsid w:val="00E11054"/>
    <w:rsid w:val="00E12568"/>
    <w:rsid w:val="00E15997"/>
    <w:rsid w:val="00E20530"/>
    <w:rsid w:val="00E26FD4"/>
    <w:rsid w:val="00E3531A"/>
    <w:rsid w:val="00E41935"/>
    <w:rsid w:val="00E47348"/>
    <w:rsid w:val="00E576F5"/>
    <w:rsid w:val="00E6284A"/>
    <w:rsid w:val="00E646E5"/>
    <w:rsid w:val="00E73E8F"/>
    <w:rsid w:val="00E76828"/>
    <w:rsid w:val="00E844E7"/>
    <w:rsid w:val="00E91059"/>
    <w:rsid w:val="00EA298F"/>
    <w:rsid w:val="00EB1422"/>
    <w:rsid w:val="00EB6E34"/>
    <w:rsid w:val="00EC30F8"/>
    <w:rsid w:val="00EC374D"/>
    <w:rsid w:val="00ED18AB"/>
    <w:rsid w:val="00ED4551"/>
    <w:rsid w:val="00ED4E29"/>
    <w:rsid w:val="00EE363B"/>
    <w:rsid w:val="00EF268D"/>
    <w:rsid w:val="00EF6A93"/>
    <w:rsid w:val="00F02197"/>
    <w:rsid w:val="00F03C78"/>
    <w:rsid w:val="00F0702A"/>
    <w:rsid w:val="00F07C5F"/>
    <w:rsid w:val="00F11637"/>
    <w:rsid w:val="00F14FAC"/>
    <w:rsid w:val="00F22815"/>
    <w:rsid w:val="00F256B9"/>
    <w:rsid w:val="00F2647A"/>
    <w:rsid w:val="00F33F41"/>
    <w:rsid w:val="00F34BDB"/>
    <w:rsid w:val="00F35A0E"/>
    <w:rsid w:val="00F369B3"/>
    <w:rsid w:val="00F37C9A"/>
    <w:rsid w:val="00F4062A"/>
    <w:rsid w:val="00F41B32"/>
    <w:rsid w:val="00F445D4"/>
    <w:rsid w:val="00F46E9F"/>
    <w:rsid w:val="00F52EE2"/>
    <w:rsid w:val="00F56B18"/>
    <w:rsid w:val="00F57427"/>
    <w:rsid w:val="00F5750F"/>
    <w:rsid w:val="00F6183B"/>
    <w:rsid w:val="00F63750"/>
    <w:rsid w:val="00F65F09"/>
    <w:rsid w:val="00F67C54"/>
    <w:rsid w:val="00F702D8"/>
    <w:rsid w:val="00F70A4B"/>
    <w:rsid w:val="00F70D11"/>
    <w:rsid w:val="00F71191"/>
    <w:rsid w:val="00F71F6D"/>
    <w:rsid w:val="00F80E6D"/>
    <w:rsid w:val="00F83CF2"/>
    <w:rsid w:val="00F90D89"/>
    <w:rsid w:val="00F910B1"/>
    <w:rsid w:val="00F91BCE"/>
    <w:rsid w:val="00F948C7"/>
    <w:rsid w:val="00F97B91"/>
    <w:rsid w:val="00FA0FFD"/>
    <w:rsid w:val="00FA123F"/>
    <w:rsid w:val="00FA6E25"/>
    <w:rsid w:val="00FA70EA"/>
    <w:rsid w:val="00FB1C61"/>
    <w:rsid w:val="00FB1DCC"/>
    <w:rsid w:val="00FB6639"/>
    <w:rsid w:val="00FC0C47"/>
    <w:rsid w:val="00FC2117"/>
    <w:rsid w:val="00FC301E"/>
    <w:rsid w:val="00FC37A9"/>
    <w:rsid w:val="00FD1F88"/>
    <w:rsid w:val="00FD5988"/>
    <w:rsid w:val="00FE05C8"/>
    <w:rsid w:val="013B4944"/>
    <w:rsid w:val="017D2009"/>
    <w:rsid w:val="018730FA"/>
    <w:rsid w:val="019B7D24"/>
    <w:rsid w:val="021F7DC1"/>
    <w:rsid w:val="02562345"/>
    <w:rsid w:val="0270061D"/>
    <w:rsid w:val="02932CE3"/>
    <w:rsid w:val="02963E1B"/>
    <w:rsid w:val="02C85CF8"/>
    <w:rsid w:val="02CA06B1"/>
    <w:rsid w:val="02E53D83"/>
    <w:rsid w:val="036208AE"/>
    <w:rsid w:val="03A11A99"/>
    <w:rsid w:val="03DE35EF"/>
    <w:rsid w:val="041767A5"/>
    <w:rsid w:val="045E55E2"/>
    <w:rsid w:val="04763EE5"/>
    <w:rsid w:val="0529523C"/>
    <w:rsid w:val="056061E5"/>
    <w:rsid w:val="05FD666C"/>
    <w:rsid w:val="06153196"/>
    <w:rsid w:val="06733C18"/>
    <w:rsid w:val="067601CC"/>
    <w:rsid w:val="06FD269B"/>
    <w:rsid w:val="072E36BE"/>
    <w:rsid w:val="07351E35"/>
    <w:rsid w:val="07B0770E"/>
    <w:rsid w:val="08031F33"/>
    <w:rsid w:val="08892439"/>
    <w:rsid w:val="08E232A4"/>
    <w:rsid w:val="092A2416"/>
    <w:rsid w:val="0A40121D"/>
    <w:rsid w:val="0A644536"/>
    <w:rsid w:val="0A75573A"/>
    <w:rsid w:val="0B7A075E"/>
    <w:rsid w:val="0B8D0492"/>
    <w:rsid w:val="0BD53BE7"/>
    <w:rsid w:val="0BFC5617"/>
    <w:rsid w:val="0C344DB1"/>
    <w:rsid w:val="0D7D0092"/>
    <w:rsid w:val="0DD762CB"/>
    <w:rsid w:val="0E883192"/>
    <w:rsid w:val="0EA004DC"/>
    <w:rsid w:val="0EB21FBD"/>
    <w:rsid w:val="0EC343EC"/>
    <w:rsid w:val="0F9022FF"/>
    <w:rsid w:val="0FC93619"/>
    <w:rsid w:val="10857989"/>
    <w:rsid w:val="113A2455"/>
    <w:rsid w:val="11447845"/>
    <w:rsid w:val="11F9667A"/>
    <w:rsid w:val="128B56C7"/>
    <w:rsid w:val="12F9465F"/>
    <w:rsid w:val="12FC2887"/>
    <w:rsid w:val="13623FB2"/>
    <w:rsid w:val="13F6294C"/>
    <w:rsid w:val="145A0633"/>
    <w:rsid w:val="149803FF"/>
    <w:rsid w:val="14B11D56"/>
    <w:rsid w:val="15110C92"/>
    <w:rsid w:val="15737CA5"/>
    <w:rsid w:val="159D39C7"/>
    <w:rsid w:val="15D8055B"/>
    <w:rsid w:val="165A3666"/>
    <w:rsid w:val="16611A92"/>
    <w:rsid w:val="16B03286"/>
    <w:rsid w:val="16B713C6"/>
    <w:rsid w:val="16D231FD"/>
    <w:rsid w:val="16DA0303"/>
    <w:rsid w:val="171F21BA"/>
    <w:rsid w:val="174A5489"/>
    <w:rsid w:val="1772678E"/>
    <w:rsid w:val="178C784F"/>
    <w:rsid w:val="18893D8F"/>
    <w:rsid w:val="18AF04A6"/>
    <w:rsid w:val="18D25736"/>
    <w:rsid w:val="18E13BCB"/>
    <w:rsid w:val="18EB67F8"/>
    <w:rsid w:val="18F25DD8"/>
    <w:rsid w:val="18F4130C"/>
    <w:rsid w:val="194F5DFE"/>
    <w:rsid w:val="19687E48"/>
    <w:rsid w:val="19913A18"/>
    <w:rsid w:val="1A451B07"/>
    <w:rsid w:val="1A75281D"/>
    <w:rsid w:val="1AC437A4"/>
    <w:rsid w:val="1AC94917"/>
    <w:rsid w:val="1AF000F5"/>
    <w:rsid w:val="1BA3160C"/>
    <w:rsid w:val="1BFB1448"/>
    <w:rsid w:val="1C2A7637"/>
    <w:rsid w:val="1CAC44F0"/>
    <w:rsid w:val="1CBF295F"/>
    <w:rsid w:val="1D7414B2"/>
    <w:rsid w:val="1DD43CFE"/>
    <w:rsid w:val="1DDE692B"/>
    <w:rsid w:val="1E0D0FBE"/>
    <w:rsid w:val="1E454BFC"/>
    <w:rsid w:val="1E693B1B"/>
    <w:rsid w:val="1E751FD8"/>
    <w:rsid w:val="1EF67CA4"/>
    <w:rsid w:val="1F3233D2"/>
    <w:rsid w:val="1F6317DE"/>
    <w:rsid w:val="1FCD4EA9"/>
    <w:rsid w:val="1FD224BF"/>
    <w:rsid w:val="201B1C4E"/>
    <w:rsid w:val="21483265"/>
    <w:rsid w:val="21871088"/>
    <w:rsid w:val="21F20BF7"/>
    <w:rsid w:val="21F66939"/>
    <w:rsid w:val="22A55C69"/>
    <w:rsid w:val="22BB548D"/>
    <w:rsid w:val="236C6787"/>
    <w:rsid w:val="23DD1433"/>
    <w:rsid w:val="23EF34E6"/>
    <w:rsid w:val="2479115B"/>
    <w:rsid w:val="248F097F"/>
    <w:rsid w:val="249D3CE4"/>
    <w:rsid w:val="253B473C"/>
    <w:rsid w:val="25520519"/>
    <w:rsid w:val="259D0E7A"/>
    <w:rsid w:val="25C603D0"/>
    <w:rsid w:val="25EF1FE8"/>
    <w:rsid w:val="26137AA2"/>
    <w:rsid w:val="263317DE"/>
    <w:rsid w:val="268A4CD6"/>
    <w:rsid w:val="2694099E"/>
    <w:rsid w:val="2694227D"/>
    <w:rsid w:val="26DF1F53"/>
    <w:rsid w:val="26EC0E6B"/>
    <w:rsid w:val="26FB22FC"/>
    <w:rsid w:val="274A5031"/>
    <w:rsid w:val="27E81787"/>
    <w:rsid w:val="27F34CE7"/>
    <w:rsid w:val="283F446A"/>
    <w:rsid w:val="28537F15"/>
    <w:rsid w:val="287C121A"/>
    <w:rsid w:val="28E868B0"/>
    <w:rsid w:val="29094D4C"/>
    <w:rsid w:val="29455AB0"/>
    <w:rsid w:val="2973261D"/>
    <w:rsid w:val="299E5C8F"/>
    <w:rsid w:val="2A8820F8"/>
    <w:rsid w:val="2ADE61BC"/>
    <w:rsid w:val="2B2B15E0"/>
    <w:rsid w:val="2B6761B2"/>
    <w:rsid w:val="2B6D7540"/>
    <w:rsid w:val="2B870602"/>
    <w:rsid w:val="2C1D2D14"/>
    <w:rsid w:val="2C7E2881"/>
    <w:rsid w:val="2CEF46B1"/>
    <w:rsid w:val="2D347138"/>
    <w:rsid w:val="2D3E2F42"/>
    <w:rsid w:val="2D4542D1"/>
    <w:rsid w:val="2DB20267"/>
    <w:rsid w:val="2DE41D3C"/>
    <w:rsid w:val="2DFD2EDB"/>
    <w:rsid w:val="2E597D89"/>
    <w:rsid w:val="2EB37960"/>
    <w:rsid w:val="2F51365C"/>
    <w:rsid w:val="2F69619F"/>
    <w:rsid w:val="2FD75F04"/>
    <w:rsid w:val="302F1268"/>
    <w:rsid w:val="30C76A4B"/>
    <w:rsid w:val="318555E4"/>
    <w:rsid w:val="31B00187"/>
    <w:rsid w:val="31D2634F"/>
    <w:rsid w:val="32384404"/>
    <w:rsid w:val="3253123E"/>
    <w:rsid w:val="326E06BF"/>
    <w:rsid w:val="32D00AE0"/>
    <w:rsid w:val="330C763F"/>
    <w:rsid w:val="33BA52ED"/>
    <w:rsid w:val="34367069"/>
    <w:rsid w:val="343A6634"/>
    <w:rsid w:val="356E45E1"/>
    <w:rsid w:val="35C91CF6"/>
    <w:rsid w:val="366D6646"/>
    <w:rsid w:val="36A52284"/>
    <w:rsid w:val="377203B8"/>
    <w:rsid w:val="37893954"/>
    <w:rsid w:val="37DE77FC"/>
    <w:rsid w:val="37F7227D"/>
    <w:rsid w:val="37FA00D4"/>
    <w:rsid w:val="382471D8"/>
    <w:rsid w:val="38685317"/>
    <w:rsid w:val="3870241E"/>
    <w:rsid w:val="38A07AB0"/>
    <w:rsid w:val="38F46281"/>
    <w:rsid w:val="391E1E7A"/>
    <w:rsid w:val="39447B32"/>
    <w:rsid w:val="394C6378"/>
    <w:rsid w:val="39707FF3"/>
    <w:rsid w:val="397F00BC"/>
    <w:rsid w:val="39976638"/>
    <w:rsid w:val="39E43211"/>
    <w:rsid w:val="3A23599A"/>
    <w:rsid w:val="3A2F35C1"/>
    <w:rsid w:val="3A6E6774"/>
    <w:rsid w:val="3B20637D"/>
    <w:rsid w:val="3BD056AD"/>
    <w:rsid w:val="3BF03F2A"/>
    <w:rsid w:val="3C187054"/>
    <w:rsid w:val="3C3A6FCB"/>
    <w:rsid w:val="3C881010"/>
    <w:rsid w:val="3CB95C36"/>
    <w:rsid w:val="3CF87894"/>
    <w:rsid w:val="3D3A1978"/>
    <w:rsid w:val="3DCE3E6E"/>
    <w:rsid w:val="3DF17B5D"/>
    <w:rsid w:val="3DFD4754"/>
    <w:rsid w:val="3E7F33BB"/>
    <w:rsid w:val="3F42052F"/>
    <w:rsid w:val="3F56160C"/>
    <w:rsid w:val="3F750AFB"/>
    <w:rsid w:val="3F7E3672"/>
    <w:rsid w:val="3FAC01DF"/>
    <w:rsid w:val="401A783F"/>
    <w:rsid w:val="406D2642"/>
    <w:rsid w:val="41032081"/>
    <w:rsid w:val="416B677A"/>
    <w:rsid w:val="41E2613A"/>
    <w:rsid w:val="421613E5"/>
    <w:rsid w:val="42426BD9"/>
    <w:rsid w:val="42725710"/>
    <w:rsid w:val="43081BD1"/>
    <w:rsid w:val="43405473"/>
    <w:rsid w:val="4365714C"/>
    <w:rsid w:val="436A4639"/>
    <w:rsid w:val="439B13F0"/>
    <w:rsid w:val="44005EE8"/>
    <w:rsid w:val="44D70BE8"/>
    <w:rsid w:val="452627E2"/>
    <w:rsid w:val="46357180"/>
    <w:rsid w:val="463A4797"/>
    <w:rsid w:val="465A0995"/>
    <w:rsid w:val="4689127A"/>
    <w:rsid w:val="469D4D26"/>
    <w:rsid w:val="46DD15C6"/>
    <w:rsid w:val="46FE3A16"/>
    <w:rsid w:val="470152B5"/>
    <w:rsid w:val="47226FD9"/>
    <w:rsid w:val="47431429"/>
    <w:rsid w:val="476B0980"/>
    <w:rsid w:val="48022B9E"/>
    <w:rsid w:val="48157377"/>
    <w:rsid w:val="481B23A6"/>
    <w:rsid w:val="48A92F64"/>
    <w:rsid w:val="48CC107A"/>
    <w:rsid w:val="4A4D0E08"/>
    <w:rsid w:val="4ABB7443"/>
    <w:rsid w:val="4B517E8D"/>
    <w:rsid w:val="4BA83F51"/>
    <w:rsid w:val="4BD55E03"/>
    <w:rsid w:val="4BE044F3"/>
    <w:rsid w:val="4C2F7BE7"/>
    <w:rsid w:val="4C72630D"/>
    <w:rsid w:val="4C911CAD"/>
    <w:rsid w:val="4D2F7E22"/>
    <w:rsid w:val="4D7F6F33"/>
    <w:rsid w:val="4DA5343B"/>
    <w:rsid w:val="4DB0533F"/>
    <w:rsid w:val="4DC82688"/>
    <w:rsid w:val="4DF25957"/>
    <w:rsid w:val="4E1577A4"/>
    <w:rsid w:val="4E861C3C"/>
    <w:rsid w:val="4EBD51C5"/>
    <w:rsid w:val="4F5D32A4"/>
    <w:rsid w:val="4F6050C1"/>
    <w:rsid w:val="4F840831"/>
    <w:rsid w:val="4F876573"/>
    <w:rsid w:val="4FF77255"/>
    <w:rsid w:val="50770396"/>
    <w:rsid w:val="50F862A0"/>
    <w:rsid w:val="51BD44CE"/>
    <w:rsid w:val="51FD2B1C"/>
    <w:rsid w:val="5253098E"/>
    <w:rsid w:val="527E5A0B"/>
    <w:rsid w:val="52B16D04"/>
    <w:rsid w:val="531A4EF2"/>
    <w:rsid w:val="53437A58"/>
    <w:rsid w:val="53570BC7"/>
    <w:rsid w:val="536A41E2"/>
    <w:rsid w:val="53964FD7"/>
    <w:rsid w:val="53D1600F"/>
    <w:rsid w:val="542425E2"/>
    <w:rsid w:val="545E3D46"/>
    <w:rsid w:val="54E35FFA"/>
    <w:rsid w:val="552042AF"/>
    <w:rsid w:val="55C53951"/>
    <w:rsid w:val="55CF657E"/>
    <w:rsid w:val="55D02A22"/>
    <w:rsid w:val="561022D3"/>
    <w:rsid w:val="567A4F69"/>
    <w:rsid w:val="56927CD7"/>
    <w:rsid w:val="572648C3"/>
    <w:rsid w:val="57A3000D"/>
    <w:rsid w:val="58093FC9"/>
    <w:rsid w:val="580B5F93"/>
    <w:rsid w:val="58112E7E"/>
    <w:rsid w:val="591C4EE5"/>
    <w:rsid w:val="59393832"/>
    <w:rsid w:val="59E85E60"/>
    <w:rsid w:val="5A0C5FF2"/>
    <w:rsid w:val="5A6A4AC7"/>
    <w:rsid w:val="5A731BCE"/>
    <w:rsid w:val="5AF96577"/>
    <w:rsid w:val="5BD91F04"/>
    <w:rsid w:val="5BF64864"/>
    <w:rsid w:val="5BF73F42"/>
    <w:rsid w:val="5C04037F"/>
    <w:rsid w:val="5C337866"/>
    <w:rsid w:val="5C932EB5"/>
    <w:rsid w:val="5CBF3DE7"/>
    <w:rsid w:val="5CF05758"/>
    <w:rsid w:val="5D0B35B7"/>
    <w:rsid w:val="5D8B5480"/>
    <w:rsid w:val="5DC25A79"/>
    <w:rsid w:val="5DCF2120"/>
    <w:rsid w:val="5EB97DCB"/>
    <w:rsid w:val="5EEA41B2"/>
    <w:rsid w:val="5F657910"/>
    <w:rsid w:val="5FA8108B"/>
    <w:rsid w:val="5FCD7FD2"/>
    <w:rsid w:val="5FD4701A"/>
    <w:rsid w:val="5FDC2518"/>
    <w:rsid w:val="604A1623"/>
    <w:rsid w:val="605129B1"/>
    <w:rsid w:val="6083350B"/>
    <w:rsid w:val="60AC5E39"/>
    <w:rsid w:val="60FF065F"/>
    <w:rsid w:val="613D25D4"/>
    <w:rsid w:val="615F10FE"/>
    <w:rsid w:val="616E1341"/>
    <w:rsid w:val="6189617B"/>
    <w:rsid w:val="61E433B1"/>
    <w:rsid w:val="620852F1"/>
    <w:rsid w:val="623E6288"/>
    <w:rsid w:val="62486582"/>
    <w:rsid w:val="62500A46"/>
    <w:rsid w:val="628F156F"/>
    <w:rsid w:val="636B1FDC"/>
    <w:rsid w:val="637A5D7B"/>
    <w:rsid w:val="63AD40E3"/>
    <w:rsid w:val="63BD1724"/>
    <w:rsid w:val="63FA6EBC"/>
    <w:rsid w:val="64281C7B"/>
    <w:rsid w:val="651346D9"/>
    <w:rsid w:val="656A1E1F"/>
    <w:rsid w:val="65A74E21"/>
    <w:rsid w:val="65BD63F3"/>
    <w:rsid w:val="6635242D"/>
    <w:rsid w:val="667B0E94"/>
    <w:rsid w:val="66DE4873"/>
    <w:rsid w:val="66EF79EB"/>
    <w:rsid w:val="681F061D"/>
    <w:rsid w:val="68633281"/>
    <w:rsid w:val="68DE2F22"/>
    <w:rsid w:val="69EB27D8"/>
    <w:rsid w:val="6A383267"/>
    <w:rsid w:val="6A3F1ACC"/>
    <w:rsid w:val="6B0C555D"/>
    <w:rsid w:val="6B573BD9"/>
    <w:rsid w:val="6B5D3872"/>
    <w:rsid w:val="6BBE4C73"/>
    <w:rsid w:val="6BF15048"/>
    <w:rsid w:val="6C007039"/>
    <w:rsid w:val="6C6231EC"/>
    <w:rsid w:val="6C8E2897"/>
    <w:rsid w:val="6CDF30F3"/>
    <w:rsid w:val="6D002A36"/>
    <w:rsid w:val="6D800432"/>
    <w:rsid w:val="6DA700B4"/>
    <w:rsid w:val="6DD662A4"/>
    <w:rsid w:val="6E0C6169"/>
    <w:rsid w:val="6E9028F6"/>
    <w:rsid w:val="6EDA0016"/>
    <w:rsid w:val="6EE40E94"/>
    <w:rsid w:val="6F2B0871"/>
    <w:rsid w:val="6F417921"/>
    <w:rsid w:val="6F59718C"/>
    <w:rsid w:val="6F9B7998"/>
    <w:rsid w:val="6FF7449B"/>
    <w:rsid w:val="6FFE5F86"/>
    <w:rsid w:val="7019691C"/>
    <w:rsid w:val="714C1457"/>
    <w:rsid w:val="71511F07"/>
    <w:rsid w:val="715F5830"/>
    <w:rsid w:val="716607BE"/>
    <w:rsid w:val="716D5171"/>
    <w:rsid w:val="71D30AFF"/>
    <w:rsid w:val="71F17B50"/>
    <w:rsid w:val="725D61C1"/>
    <w:rsid w:val="72712A3F"/>
    <w:rsid w:val="740F0A97"/>
    <w:rsid w:val="74624D35"/>
    <w:rsid w:val="74730CF0"/>
    <w:rsid w:val="747C53AA"/>
    <w:rsid w:val="74C973C0"/>
    <w:rsid w:val="74D140AB"/>
    <w:rsid w:val="74F11C15"/>
    <w:rsid w:val="75045DEC"/>
    <w:rsid w:val="750758DC"/>
    <w:rsid w:val="752E2A01"/>
    <w:rsid w:val="753F6E24"/>
    <w:rsid w:val="755D72AA"/>
    <w:rsid w:val="755F1275"/>
    <w:rsid w:val="75932CCC"/>
    <w:rsid w:val="75AD3D8E"/>
    <w:rsid w:val="75C15A8B"/>
    <w:rsid w:val="7662726E"/>
    <w:rsid w:val="769B736A"/>
    <w:rsid w:val="76E80345"/>
    <w:rsid w:val="7746449A"/>
    <w:rsid w:val="777F6C66"/>
    <w:rsid w:val="779571D0"/>
    <w:rsid w:val="77AD4519"/>
    <w:rsid w:val="78220048"/>
    <w:rsid w:val="7A94551C"/>
    <w:rsid w:val="7AA35350"/>
    <w:rsid w:val="7AA65250"/>
    <w:rsid w:val="7B38250C"/>
    <w:rsid w:val="7B476A33"/>
    <w:rsid w:val="7B672C31"/>
    <w:rsid w:val="7B7D4202"/>
    <w:rsid w:val="7C013085"/>
    <w:rsid w:val="7C29438A"/>
    <w:rsid w:val="7C5807CC"/>
    <w:rsid w:val="7C7C6A8F"/>
    <w:rsid w:val="7C910E4E"/>
    <w:rsid w:val="7CA417FA"/>
    <w:rsid w:val="7CC153E9"/>
    <w:rsid w:val="7CCD11BA"/>
    <w:rsid w:val="7D3A2273"/>
    <w:rsid w:val="7D7E4262"/>
    <w:rsid w:val="7D87697E"/>
    <w:rsid w:val="7DB06B11"/>
    <w:rsid w:val="7DD32800"/>
    <w:rsid w:val="7E6671D0"/>
    <w:rsid w:val="7E6964AC"/>
    <w:rsid w:val="7E856B37"/>
    <w:rsid w:val="7F10538E"/>
    <w:rsid w:val="7F1916F8"/>
    <w:rsid w:val="7F3E014D"/>
    <w:rsid w:val="7F505150"/>
    <w:rsid w:val="7F840077"/>
    <w:rsid w:val="7FB34FD7"/>
    <w:rsid w:val="7FD242A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25"/>
    <w:qFormat/>
    <w:uiPriority w:val="0"/>
    <w:pPr>
      <w:adjustRightInd w:val="0"/>
      <w:snapToGrid w:val="0"/>
      <w:spacing w:before="156" w:beforeLines="50" w:after="156" w:afterLines="50"/>
      <w:outlineLvl w:val="0"/>
    </w:pPr>
    <w:rPr>
      <w:rFonts w:ascii="黑体" w:hAnsi="黑体" w:eastAsia="黑体"/>
      <w:color w:val="000000" w:themeColor="text1"/>
      <w14:textFill>
        <w14:solidFill>
          <w14:schemeClr w14:val="tx1"/>
        </w14:solidFill>
      </w14:textFill>
    </w:rPr>
  </w:style>
  <w:style w:type="paragraph" w:styleId="3">
    <w:name w:val="heading 2"/>
    <w:basedOn w:val="1"/>
    <w:next w:val="1"/>
    <w:link w:val="26"/>
    <w:unhideWhenUsed/>
    <w:qFormat/>
    <w:uiPriority w:val="0"/>
    <w:pPr>
      <w:widowControl/>
      <w:adjustRightInd w:val="0"/>
      <w:spacing w:line="360" w:lineRule="auto"/>
      <w:outlineLvl w:val="1"/>
    </w:pPr>
    <w:rPr>
      <w:b/>
      <w:sz w:val="24"/>
      <w:szCs w:val="24"/>
    </w:rPr>
  </w:style>
  <w:style w:type="paragraph" w:styleId="4">
    <w:name w:val="heading 3"/>
    <w:basedOn w:val="5"/>
    <w:next w:val="1"/>
    <w:link w:val="27"/>
    <w:unhideWhenUsed/>
    <w:qFormat/>
    <w:uiPriority w:val="0"/>
    <w:pPr>
      <w:outlineLvl w:val="2"/>
    </w:pPr>
  </w:style>
  <w:style w:type="paragraph" w:styleId="6">
    <w:name w:val="heading 4"/>
    <w:basedOn w:val="3"/>
    <w:next w:val="1"/>
    <w:link w:val="28"/>
    <w:semiHidden/>
    <w:unhideWhenUsed/>
    <w:qFormat/>
    <w:uiPriority w:val="0"/>
    <w:pPr>
      <w:outlineLvl w:val="3"/>
    </w:p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Subtitle"/>
    <w:basedOn w:val="3"/>
    <w:next w:val="1"/>
    <w:link w:val="29"/>
    <w:qFormat/>
    <w:uiPriority w:val="0"/>
  </w:style>
  <w:style w:type="paragraph" w:styleId="7">
    <w:name w:val="annotation text"/>
    <w:basedOn w:val="1"/>
    <w:link w:val="30"/>
    <w:qFormat/>
    <w:uiPriority w:val="0"/>
    <w:pPr>
      <w:jc w:val="left"/>
    </w:pPr>
    <w:rPr>
      <w:rFonts w:ascii="Calibri" w:hAnsi="Calibri"/>
      <w:kern w:val="2"/>
      <w:szCs w:val="24"/>
    </w:rPr>
  </w:style>
  <w:style w:type="paragraph" w:styleId="8">
    <w:name w:val="toc 3"/>
    <w:basedOn w:val="1"/>
    <w:next w:val="1"/>
    <w:qFormat/>
    <w:uiPriority w:val="39"/>
    <w:pPr>
      <w:ind w:left="840" w:leftChars="400"/>
    </w:pPr>
    <w:rPr>
      <w:rFonts w:ascii="Calibri" w:hAnsi="Calibri"/>
      <w:kern w:val="2"/>
      <w:szCs w:val="24"/>
    </w:rPr>
  </w:style>
  <w:style w:type="paragraph" w:styleId="9">
    <w:name w:val="Balloon Text"/>
    <w:basedOn w:val="1"/>
    <w:link w:val="24"/>
    <w:qFormat/>
    <w:uiPriority w:val="0"/>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rPr>
      <w:rFonts w:ascii="Calibri" w:hAnsi="Calibri"/>
      <w:kern w:val="2"/>
    </w:rPr>
  </w:style>
  <w:style w:type="paragraph" w:styleId="13">
    <w:name w:val="toc 2"/>
    <w:basedOn w:val="1"/>
    <w:next w:val="1"/>
    <w:qFormat/>
    <w:uiPriority w:val="39"/>
    <w:pPr>
      <w:ind w:left="420" w:leftChars="200"/>
    </w:pPr>
    <w:rPr>
      <w:rFonts w:ascii="Calibri" w:hAnsi="Calibri"/>
      <w:kern w:val="2"/>
    </w:rPr>
  </w:style>
  <w:style w:type="paragraph" w:styleId="14">
    <w:name w:val="Normal (Web)"/>
    <w:basedOn w:val="1"/>
    <w:qFormat/>
    <w:uiPriority w:val="99"/>
    <w:rPr>
      <w:rFonts w:ascii="Calibri" w:hAnsi="Calibri"/>
      <w:kern w:val="2"/>
      <w:sz w:val="24"/>
      <w:szCs w:val="24"/>
    </w:rPr>
  </w:style>
  <w:style w:type="paragraph" w:styleId="15">
    <w:name w:val="Title"/>
    <w:basedOn w:val="1"/>
    <w:next w:val="1"/>
    <w:link w:val="52"/>
    <w:qFormat/>
    <w:uiPriority w:val="0"/>
    <w:pPr>
      <w:keepNext/>
      <w:pageBreakBefore/>
      <w:shd w:val="clear" w:color="FFFFFF" w:fill="auto"/>
      <w:overflowPunct w:val="0"/>
      <w:spacing w:before="850" w:after="680"/>
      <w:jc w:val="center"/>
    </w:pPr>
    <w:rPr>
      <w:rFonts w:ascii="黑体" w:hAnsi="黑体" w:eastAsia="黑体" w:cs="黑体"/>
      <w:sz w:val="36"/>
      <w:szCs w:val="21"/>
    </w:rPr>
  </w:style>
  <w:style w:type="paragraph" w:styleId="16">
    <w:name w:val="annotation subject"/>
    <w:basedOn w:val="7"/>
    <w:next w:val="7"/>
    <w:link w:val="31"/>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Strong"/>
    <w:basedOn w:val="19"/>
    <w:qFormat/>
    <w:uiPriority w:val="22"/>
    <w:rPr>
      <w:b/>
      <w:bCs/>
    </w:rPr>
  </w:style>
  <w:style w:type="character" w:styleId="21">
    <w:name w:val="FollowedHyperlink"/>
    <w:basedOn w:val="19"/>
    <w:qFormat/>
    <w:uiPriority w:val="0"/>
    <w:rPr>
      <w:color w:val="954F72"/>
      <w:u w:val="single"/>
    </w:rPr>
  </w:style>
  <w:style w:type="character" w:styleId="22">
    <w:name w:val="Hyperlink"/>
    <w:basedOn w:val="19"/>
    <w:qFormat/>
    <w:uiPriority w:val="99"/>
    <w:rPr>
      <w:color w:val="0563C1"/>
      <w:u w:val="single"/>
    </w:rPr>
  </w:style>
  <w:style w:type="character" w:styleId="23">
    <w:name w:val="annotation reference"/>
    <w:basedOn w:val="19"/>
    <w:qFormat/>
    <w:uiPriority w:val="0"/>
    <w:rPr>
      <w:sz w:val="21"/>
      <w:szCs w:val="21"/>
    </w:rPr>
  </w:style>
  <w:style w:type="character" w:customStyle="1" w:styleId="24">
    <w:name w:val="批注框文本 字符"/>
    <w:basedOn w:val="19"/>
    <w:link w:val="9"/>
    <w:qFormat/>
    <w:uiPriority w:val="0"/>
    <w:rPr>
      <w:sz w:val="18"/>
      <w:szCs w:val="18"/>
    </w:rPr>
  </w:style>
  <w:style w:type="character" w:customStyle="1" w:styleId="25">
    <w:name w:val="标题 1 字符"/>
    <w:basedOn w:val="19"/>
    <w:link w:val="2"/>
    <w:qFormat/>
    <w:uiPriority w:val="0"/>
    <w:rPr>
      <w:rFonts w:ascii="黑体" w:hAnsi="黑体" w:eastAsia="黑体"/>
      <w:color w:val="000000" w:themeColor="text1"/>
      <w:sz w:val="21"/>
      <w:szCs w:val="22"/>
      <w14:textFill>
        <w14:solidFill>
          <w14:schemeClr w14:val="tx1"/>
        </w14:solidFill>
      </w14:textFill>
    </w:rPr>
  </w:style>
  <w:style w:type="character" w:customStyle="1" w:styleId="26">
    <w:name w:val="标题 2 字符"/>
    <w:basedOn w:val="19"/>
    <w:link w:val="3"/>
    <w:qFormat/>
    <w:uiPriority w:val="0"/>
    <w:rPr>
      <w:b/>
      <w:sz w:val="24"/>
      <w:szCs w:val="24"/>
    </w:rPr>
  </w:style>
  <w:style w:type="character" w:customStyle="1" w:styleId="27">
    <w:name w:val="标题 3 字符"/>
    <w:basedOn w:val="19"/>
    <w:link w:val="4"/>
    <w:qFormat/>
    <w:uiPriority w:val="0"/>
    <w:rPr>
      <w:b/>
      <w:sz w:val="24"/>
      <w:szCs w:val="24"/>
    </w:rPr>
  </w:style>
  <w:style w:type="character" w:customStyle="1" w:styleId="28">
    <w:name w:val="标题 4 字符"/>
    <w:basedOn w:val="19"/>
    <w:link w:val="6"/>
    <w:semiHidden/>
    <w:qFormat/>
    <w:uiPriority w:val="0"/>
    <w:rPr>
      <w:b/>
      <w:sz w:val="24"/>
      <w:szCs w:val="24"/>
    </w:rPr>
  </w:style>
  <w:style w:type="character" w:customStyle="1" w:styleId="29">
    <w:name w:val="副标题 字符"/>
    <w:basedOn w:val="19"/>
    <w:link w:val="5"/>
    <w:qFormat/>
    <w:uiPriority w:val="0"/>
    <w:rPr>
      <w:b/>
      <w:sz w:val="24"/>
      <w:szCs w:val="24"/>
    </w:rPr>
  </w:style>
  <w:style w:type="character" w:customStyle="1" w:styleId="30">
    <w:name w:val="批注文字 字符"/>
    <w:basedOn w:val="19"/>
    <w:link w:val="7"/>
    <w:qFormat/>
    <w:uiPriority w:val="0"/>
    <w:rPr>
      <w:rFonts w:ascii="Calibri" w:hAnsi="Calibri"/>
      <w:kern w:val="2"/>
      <w:sz w:val="21"/>
      <w:szCs w:val="24"/>
    </w:rPr>
  </w:style>
  <w:style w:type="character" w:customStyle="1" w:styleId="31">
    <w:name w:val="批注主题 字符"/>
    <w:basedOn w:val="30"/>
    <w:link w:val="16"/>
    <w:qFormat/>
    <w:uiPriority w:val="0"/>
    <w:rPr>
      <w:rFonts w:ascii="Calibri" w:hAnsi="Calibri"/>
      <w:b/>
      <w:bCs/>
      <w:kern w:val="2"/>
      <w:sz w:val="21"/>
      <w:szCs w:val="24"/>
    </w:rPr>
  </w:style>
  <w:style w:type="character" w:customStyle="1" w:styleId="32">
    <w:name w:val="页脚 字符"/>
    <w:basedOn w:val="19"/>
    <w:link w:val="10"/>
    <w:qFormat/>
    <w:uiPriority w:val="99"/>
    <w:rPr>
      <w:sz w:val="18"/>
      <w:szCs w:val="22"/>
    </w:rPr>
  </w:style>
  <w:style w:type="character" w:customStyle="1" w:styleId="33">
    <w:name w:val="页眉 字符"/>
    <w:basedOn w:val="19"/>
    <w:link w:val="11"/>
    <w:qFormat/>
    <w:uiPriority w:val="0"/>
    <w:rPr>
      <w:sz w:val="18"/>
      <w:szCs w:val="22"/>
    </w:rPr>
  </w:style>
  <w:style w:type="table" w:customStyle="1" w:styleId="34">
    <w:name w:val="3xiantable"/>
    <w:basedOn w:val="17"/>
    <w:qFormat/>
    <w:uiPriority w:val="0"/>
    <w:pPr>
      <w:jc w:val="center"/>
    </w:pPr>
    <w:rPr>
      <w:rFonts w:eastAsia="Times New Roman"/>
    </w:rPr>
    <w:tblPr>
      <w:tblBorders>
        <w:top w:val="single" w:color="auto" w:sz="4" w:space="0"/>
        <w:bottom w:val="single" w:color="auto" w:sz="4" w:space="0"/>
      </w:tblBorders>
    </w:tblPr>
    <w:tcPr>
      <w:vAlign w:val="center"/>
    </w:tcPr>
    <w:tblStylePr w:type="firstRow">
      <w:tcPr>
        <w:tcBorders>
          <w:bottom w:val="nil"/>
        </w:tcBorders>
      </w:tcPr>
    </w:tblStylePr>
  </w:style>
  <w:style w:type="table" w:customStyle="1" w:styleId="35">
    <w:name w:val="样式1"/>
    <w:basedOn w:val="17"/>
    <w:qFormat/>
    <w:uiPriority w:val="0"/>
    <w:pPr>
      <w:jc w:val="center"/>
    </w:pPr>
    <w:rPr>
      <w:rFonts w:eastAsia="Times New Roman"/>
      <w:sz w:val="18"/>
      <w:szCs w:val="18"/>
    </w:rPr>
    <w:tblPr>
      <w:tblBorders>
        <w:top w:val="single" w:color="auto" w:sz="6" w:space="0"/>
        <w:bottom w:val="single" w:color="auto" w:sz="4" w:space="0"/>
      </w:tblBorders>
    </w:tblPr>
    <w:tcPr>
      <w:vAlign w:val="center"/>
    </w:tc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3"/>
    <w:qFormat/>
    <w:uiPriority w:val="0"/>
    <w:pPr>
      <w:ind w:left="400" w:leftChars="400"/>
    </w:pPr>
    <w:rPr>
      <w:rFonts w:ascii="Times New Roman" w:hAnsi="Times New Roman" w:eastAsia="宋体" w:cs="Times New Roman"/>
      <w:lang w:val="en-US" w:eastAsia="zh-CN" w:bidi="ar-SA"/>
    </w:rPr>
  </w:style>
  <w:style w:type="character" w:styleId="39">
    <w:name w:val="Placeholder Text"/>
    <w:basedOn w:val="19"/>
    <w:unhideWhenUsed/>
    <w:qFormat/>
    <w:uiPriority w:val="99"/>
    <w:rPr>
      <w:color w:val="666666"/>
    </w:rPr>
  </w:style>
  <w:style w:type="character" w:customStyle="1" w:styleId="40">
    <w:name w:val="font11"/>
    <w:basedOn w:val="19"/>
    <w:qFormat/>
    <w:uiPriority w:val="0"/>
    <w:rPr>
      <w:rFonts w:hint="eastAsia" w:ascii="黑体" w:hAnsi="黑体" w:eastAsia="黑体"/>
      <w:color w:val="000000"/>
      <w:sz w:val="24"/>
      <w:szCs w:val="24"/>
      <w:u w:val="none"/>
    </w:rPr>
  </w:style>
  <w:style w:type="character" w:customStyle="1" w:styleId="41">
    <w:name w:val="font41"/>
    <w:basedOn w:val="19"/>
    <w:qFormat/>
    <w:uiPriority w:val="0"/>
    <w:rPr>
      <w:rFonts w:hint="default" w:ascii="Times New Roman" w:hAnsi="Times New Roman" w:cs="Times New Roman"/>
      <w:color w:val="000000"/>
      <w:sz w:val="24"/>
      <w:szCs w:val="24"/>
      <w:u w:val="none"/>
    </w:rPr>
  </w:style>
  <w:style w:type="character" w:customStyle="1" w:styleId="42">
    <w:name w:val="font71"/>
    <w:basedOn w:val="19"/>
    <w:qFormat/>
    <w:uiPriority w:val="0"/>
    <w:rPr>
      <w:rFonts w:hint="default" w:ascii="Times New Roman" w:hAnsi="Times New Roman" w:cs="Times New Roman"/>
      <w:color w:val="000000"/>
      <w:sz w:val="24"/>
      <w:szCs w:val="24"/>
      <w:u w:val="none"/>
      <w:vertAlign w:val="superscript"/>
    </w:rPr>
  </w:style>
  <w:style w:type="character" w:customStyle="1" w:styleId="43">
    <w:name w:val="font31"/>
    <w:basedOn w:val="19"/>
    <w:qFormat/>
    <w:uiPriority w:val="0"/>
    <w:rPr>
      <w:rFonts w:hint="eastAsia" w:ascii="黑体" w:hAnsi="黑体" w:eastAsia="黑体"/>
      <w:color w:val="000000"/>
      <w:sz w:val="24"/>
      <w:szCs w:val="24"/>
      <w:u w:val="none"/>
    </w:rPr>
  </w:style>
  <w:style w:type="character" w:customStyle="1" w:styleId="44">
    <w:name w:val="font61"/>
    <w:basedOn w:val="19"/>
    <w:qFormat/>
    <w:uiPriority w:val="0"/>
    <w:rPr>
      <w:rFonts w:hint="eastAsia" w:ascii="宋体" w:hAnsi="宋体" w:eastAsia="宋体"/>
      <w:color w:val="000000"/>
      <w:sz w:val="24"/>
      <w:szCs w:val="24"/>
      <w:u w:val="none"/>
    </w:rPr>
  </w:style>
  <w:style w:type="paragraph" w:customStyle="1" w:styleId="45">
    <w:name w:val="修订1"/>
    <w:hidden/>
    <w:unhideWhenUsed/>
    <w:qFormat/>
    <w:uiPriority w:val="99"/>
    <w:rPr>
      <w:rFonts w:ascii="Calibri" w:hAnsi="Calibri" w:eastAsia="宋体" w:cs="Times New Roman"/>
      <w:kern w:val="2"/>
      <w:sz w:val="21"/>
      <w:szCs w:val="24"/>
      <w:lang w:val="en-US" w:eastAsia="zh-CN" w:bidi="ar-SA"/>
    </w:rPr>
  </w:style>
  <w:style w:type="paragraph" w:customStyle="1" w:styleId="46">
    <w:name w:val="修订2"/>
    <w:hidden/>
    <w:unhideWhenUsed/>
    <w:qFormat/>
    <w:uiPriority w:val="99"/>
    <w:rPr>
      <w:rFonts w:ascii="Calibri" w:hAnsi="Calibri" w:eastAsia="宋体" w:cs="Times New Roman"/>
      <w:kern w:val="2"/>
      <w:sz w:val="21"/>
      <w:szCs w:val="24"/>
      <w:lang w:val="en-US" w:eastAsia="zh-CN" w:bidi="ar-SA"/>
    </w:rPr>
  </w:style>
  <w:style w:type="paragraph" w:styleId="47">
    <w:name w:val="List Paragraph"/>
    <w:basedOn w:val="1"/>
    <w:unhideWhenUsed/>
    <w:qFormat/>
    <w:uiPriority w:val="99"/>
    <w:pPr>
      <w:ind w:firstLine="420" w:firstLineChars="200"/>
    </w:pPr>
    <w:rPr>
      <w:rFonts w:ascii="Calibri" w:hAnsi="Calibri"/>
      <w:kern w:val="2"/>
      <w:szCs w:val="24"/>
    </w:rPr>
  </w:style>
  <w:style w:type="paragraph" w:customStyle="1" w:styleId="48">
    <w:name w:val="修订3"/>
    <w:hidden/>
    <w:unhideWhenUsed/>
    <w:qFormat/>
    <w:uiPriority w:val="99"/>
    <w:rPr>
      <w:rFonts w:ascii="Calibri" w:hAnsi="Calibri" w:eastAsia="宋体" w:cs="Times New Roman"/>
      <w:kern w:val="2"/>
      <w:sz w:val="21"/>
      <w:szCs w:val="24"/>
      <w:lang w:val="en-US" w:eastAsia="zh-CN" w:bidi="ar-SA"/>
    </w:rPr>
  </w:style>
  <w:style w:type="paragraph" w:customStyle="1" w:styleId="49">
    <w:name w:val="修订4"/>
    <w:next w:val="50"/>
    <w:hidden/>
    <w:unhideWhenUsed/>
    <w:qFormat/>
    <w:uiPriority w:val="99"/>
    <w:rPr>
      <w:rFonts w:ascii="Calibri" w:hAnsi="Calibri" w:eastAsia="宋体" w:cs="Times New Roman"/>
      <w:kern w:val="2"/>
      <w:sz w:val="21"/>
      <w:szCs w:val="24"/>
      <w:lang w:val="en-US" w:eastAsia="zh-CN" w:bidi="ar-SA"/>
    </w:rPr>
  </w:style>
  <w:style w:type="paragraph" w:customStyle="1" w:styleId="50">
    <w:name w:val="修订5"/>
    <w:hidden/>
    <w:semiHidden/>
    <w:qFormat/>
    <w:uiPriority w:val="99"/>
    <w:rPr>
      <w:rFonts w:ascii="Times New Roman" w:hAnsi="Times New Roman" w:eastAsia="宋体" w:cs="Times New Roman"/>
      <w:sz w:val="21"/>
      <w:szCs w:val="22"/>
      <w:lang w:val="en-US" w:eastAsia="zh-CN" w:bidi="ar-SA"/>
    </w:rPr>
  </w:style>
  <w:style w:type="paragraph" w:customStyle="1" w:styleId="51">
    <w:name w:val="TOC 标题1"/>
    <w:basedOn w:val="2"/>
    <w:next w:val="1"/>
    <w:unhideWhenUsed/>
    <w:qFormat/>
    <w:uiPriority w:val="39"/>
    <w:pPr>
      <w:keepNext/>
      <w:keepLines/>
      <w:adjustRightInd/>
      <w:spacing w:before="240" w:line="259" w:lineRule="auto"/>
      <w:outlineLvl w:val="9"/>
    </w:pPr>
    <w:rPr>
      <w:rFonts w:asciiTheme="majorHAnsi" w:hAnsiTheme="majorHAnsi" w:eastAsiaTheme="majorEastAsia" w:cstheme="majorBidi"/>
      <w:b/>
      <w:bCs/>
      <w:color w:val="376092" w:themeColor="accent1" w:themeShade="BF"/>
      <w:sz w:val="32"/>
      <w:szCs w:val="32"/>
    </w:rPr>
  </w:style>
  <w:style w:type="character" w:customStyle="1" w:styleId="52">
    <w:name w:val="标题 字符"/>
    <w:basedOn w:val="19"/>
    <w:link w:val="15"/>
    <w:qFormat/>
    <w:uiPriority w:val="0"/>
    <w:rPr>
      <w:rFonts w:ascii="黑体" w:hAnsi="黑体" w:eastAsia="黑体" w:cs="黑体"/>
      <w:sz w:val="36"/>
      <w:szCs w:val="21"/>
      <w:shd w:val="clear" w:color="FFFFFF" w:fill="auto"/>
    </w:rPr>
  </w:style>
  <w:style w:type="paragraph" w:customStyle="1" w:styleId="53">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4">
    <w:name w:val="修订6"/>
    <w:hidden/>
    <w:unhideWhenUsed/>
    <w:qFormat/>
    <w:uiPriority w:val="99"/>
    <w:rPr>
      <w:rFonts w:ascii="Times New Roman" w:hAnsi="Times New Roman" w:eastAsia="宋体" w:cs="Times New Roman"/>
      <w:sz w:val="21"/>
      <w:szCs w:val="22"/>
      <w:lang w:val="en-US" w:eastAsia="zh-CN" w:bidi="ar-SA"/>
    </w:rPr>
  </w:style>
  <w:style w:type="paragraph" w:customStyle="1" w:styleId="55">
    <w:name w:val="修订7"/>
    <w:hidden/>
    <w:unhideWhenUsed/>
    <w:qFormat/>
    <w:uiPriority w:val="99"/>
    <w:rPr>
      <w:rFonts w:ascii="Times New Roman" w:hAnsi="Times New Roman" w:eastAsia="宋体" w:cs="Times New Roman"/>
      <w:sz w:val="21"/>
      <w:szCs w:val="22"/>
      <w:lang w:val="en-US" w:eastAsia="zh-CN" w:bidi="ar-SA"/>
    </w:rPr>
  </w:style>
  <w:style w:type="paragraph" w:customStyle="1" w:styleId="56">
    <w:name w:val="修订8"/>
    <w:hidden/>
    <w:unhideWhenUsed/>
    <w:qFormat/>
    <w:uiPriority w:val="99"/>
    <w:rPr>
      <w:rFonts w:ascii="Times New Roman" w:hAnsi="Times New Roman" w:eastAsia="宋体" w:cs="Times New Roman"/>
      <w:sz w:val="21"/>
      <w:szCs w:val="22"/>
      <w:lang w:val="en-US" w:eastAsia="zh-CN" w:bidi="ar-SA"/>
    </w:rPr>
  </w:style>
  <w:style w:type="paragraph" w:customStyle="1" w:styleId="57">
    <w:name w:val="修订9"/>
    <w:hidden/>
    <w:unhideWhenUsed/>
    <w:qFormat/>
    <w:uiPriority w:val="99"/>
    <w:rPr>
      <w:rFonts w:ascii="Times New Roman" w:hAnsi="Times New Roman" w:eastAsia="宋体" w:cs="Times New Roman"/>
      <w:sz w:val="21"/>
      <w:szCs w:val="22"/>
      <w:lang w:val="en-US" w:eastAsia="zh-CN" w:bidi="ar-SA"/>
    </w:rPr>
  </w:style>
  <w:style w:type="paragraph" w:customStyle="1" w:styleId="58">
    <w:name w:val="修订10"/>
    <w:hidden/>
    <w:unhideWhenUsed/>
    <w:qFormat/>
    <w:uiPriority w:val="99"/>
    <w:rPr>
      <w:rFonts w:ascii="Times New Roman" w:hAnsi="Times New Roman" w:eastAsia="宋体" w:cs="Times New Roman"/>
      <w:sz w:val="21"/>
      <w:szCs w:val="22"/>
      <w:lang w:val="en-US" w:eastAsia="zh-CN" w:bidi="ar-SA"/>
    </w:rPr>
  </w:style>
  <w:style w:type="paragraph" w:customStyle="1" w:styleId="59">
    <w:name w:val="修订11"/>
    <w:hidden/>
    <w:unhideWhenUsed/>
    <w:qFormat/>
    <w:uiPriority w:val="99"/>
    <w:rPr>
      <w:rFonts w:ascii="Times New Roman" w:hAnsi="Times New Roman" w:eastAsia="宋体" w:cs="Times New Roman"/>
      <w:sz w:val="21"/>
      <w:szCs w:val="22"/>
      <w:lang w:val="en-US" w:eastAsia="zh-CN" w:bidi="ar-SA"/>
    </w:rPr>
  </w:style>
  <w:style w:type="paragraph" w:customStyle="1" w:styleId="60">
    <w:name w:val="修订12"/>
    <w:hidden/>
    <w:unhideWhenUsed/>
    <w:qFormat/>
    <w:uiPriority w:val="99"/>
    <w:rPr>
      <w:rFonts w:ascii="Times New Roman" w:hAnsi="Times New Roman" w:eastAsia="宋体" w:cs="Times New Roman"/>
      <w:sz w:val="21"/>
      <w:szCs w:val="22"/>
      <w:lang w:val="en-US" w:eastAsia="zh-CN" w:bidi="ar-SA"/>
    </w:rPr>
  </w:style>
  <w:style w:type="paragraph" w:customStyle="1" w:styleId="61">
    <w:name w:val="Revision"/>
    <w:hidden/>
    <w:unhideWhenUsed/>
    <w:qFormat/>
    <w:uiPriority w:val="99"/>
    <w:rPr>
      <w:rFonts w:ascii="Times New Roman" w:hAnsi="Times New Roman" w:eastAsia="宋体" w:cs="Times New Roman"/>
      <w:sz w:val="21"/>
      <w:szCs w:val="22"/>
      <w:lang w:val="en-US" w:eastAsia="zh-CN" w:bidi="ar-SA"/>
    </w:rPr>
  </w:style>
  <w:style w:type="table" w:customStyle="1" w:styleId="62">
    <w:name w:val="Grid Table 1 Light"/>
    <w:basedOn w:val="1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7DFEB-8FF5-469A-9479-20672520C15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8513</Words>
  <Characters>9190</Characters>
  <Lines>1400</Lines>
  <Paragraphs>1678</Paragraphs>
  <TotalTime>92</TotalTime>
  <ScaleCrop>false</ScaleCrop>
  <LinksUpToDate>false</LinksUpToDate>
  <CharactersWithSpaces>9438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2026-01-19T10:29:00Z</dcterms:created>
  <dc:creator>13401</dc:creator>
  <cp:lastModifiedBy>Cynthia王璨</cp:lastModifiedBy>
  <cp:lastPrinted>2025-11-24T05:27:00Z</cp:lastPrinted>
  <dcterms:modified xsi:type="dcterms:W3CDTF">2026-01-21T07:03:46Z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0CB672ED8BC94C2B9CAC1B1BECE2D4F0_13</vt:lpwstr>
  </property>
  <property fmtid="{D5CDD505-2E9C-101B-9397-08002B2CF9AE}" pid="4" name="KSOTemplateDocerSaveRecord">
    <vt:lpwstr>eyJoZGlkIjoiMzEwNTM5NzYwMDRjMzkwZTVkZjY2ODkwMGIxNGU0OTUiLCJ1c2VySWQiOiI3MDczMTQxNDkifQ==</vt:lpwstr>
  </property>
</Properties>
</file>