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F8EF">
      <w:pPr>
        <w:spacing w:after="0" w:afterLines="0" w:line="240" w:lineRule="auto"/>
        <w:ind w:firstLine="0" w:firstLineChars="0"/>
      </w:pPr>
      <w:bookmarkStart w:id="0" w:name="OLE_LINK3"/>
      <w:bookmarkStart w:id="1" w:name="OLE_LINK5"/>
      <w:bookmarkStart w:id="2" w:name="OLE_LINK4"/>
      <w:r>
        <w:t>ICS 13.020.10</w:t>
      </w:r>
    </w:p>
    <w:p w14:paraId="5130CEE0">
      <w:pPr>
        <w:spacing w:after="0" w:afterLines="0" w:line="240" w:lineRule="auto"/>
        <w:ind w:firstLine="0" w:firstLineChars="0"/>
      </w:pPr>
      <w:r>
        <w:t>CSS Z06</w:t>
      </w:r>
    </w:p>
    <w:p w14:paraId="4905F26E">
      <w:pPr>
        <w:spacing w:after="0" w:afterLines="0" w:line="240" w:lineRule="auto"/>
        <w:ind w:firstLine="0" w:firstLineChars="0"/>
      </w:pPr>
    </w:p>
    <w:p w14:paraId="3C8BD8BB">
      <w:pPr>
        <w:spacing w:after="0" w:afterLines="0" w:line="240" w:lineRule="auto"/>
        <w:ind w:firstLine="0" w:firstLineChars="0"/>
      </w:pPr>
    </w:p>
    <w:p w14:paraId="5CACFA51">
      <w:pPr>
        <w:spacing w:after="156"/>
        <w:ind w:firstLine="0" w:firstLineChars="0"/>
        <w:jc w:val="distribute"/>
        <w:rPr>
          <w:rFonts w:eastAsia="华文中宋"/>
          <w:b/>
          <w:bCs/>
          <w:sz w:val="84"/>
          <w:szCs w:val="84"/>
        </w:rPr>
      </w:pPr>
      <w:r>
        <w:rPr>
          <w:rFonts w:eastAsia="华文中宋"/>
          <w:b/>
          <w:bCs/>
          <w:sz w:val="84"/>
          <w:szCs w:val="84"/>
        </w:rPr>
        <w:t>团体标准</w:t>
      </w:r>
    </w:p>
    <w:p w14:paraId="07B13C23">
      <w:pPr>
        <w:spacing w:after="0" w:afterLines="0" w:line="240" w:lineRule="auto"/>
        <w:ind w:firstLine="0" w:firstLineChars="0"/>
      </w:pPr>
    </w:p>
    <w:p w14:paraId="162416FA">
      <w:pPr>
        <w:spacing w:after="156"/>
        <w:ind w:firstLine="560"/>
        <w:jc w:val="right"/>
        <w:rPr>
          <w:sz w:val="28"/>
          <w:szCs w:val="28"/>
        </w:rPr>
      </w:pPr>
      <w:r>
        <w:rPr>
          <w:sz w:val="28"/>
          <w:szCs w:val="28"/>
        </w:rPr>
        <w:t>T/ACEF ×××</w:t>
      </w:r>
      <w:r>
        <w:rPr>
          <w:rFonts w:eastAsia="黑体"/>
          <w:sz w:val="28"/>
          <w:szCs w:val="28"/>
        </w:rPr>
        <w:t>—20</w:t>
      </w:r>
      <w:r>
        <w:rPr>
          <w:sz w:val="28"/>
          <w:szCs w:val="28"/>
        </w:rPr>
        <w:t>××</w:t>
      </w:r>
    </w:p>
    <w:p w14:paraId="0FCACBEB">
      <w:pPr>
        <w:spacing w:after="156"/>
        <w:ind w:firstLine="0" w:firstLineChars="0"/>
      </w:pPr>
      <w:r>
        <w:rPr>
          <w:szCs w:val="21"/>
        </w:rPr>
        <w:pict>
          <v:line id="Line 15" o:spid="_x0000_s2057" o:spt="20" style="height:0pt;width:481.9pt;" coordsize="21600,21600">
            <v:path arrowok="t"/>
            <v:fill focussize="0,0"/>
            <v:stroke/>
            <v:imagedata o:title=""/>
            <o:lock v:ext="edit"/>
            <w10:wrap type="none"/>
            <w10:anchorlock/>
          </v:line>
        </w:pict>
      </w:r>
    </w:p>
    <w:p w14:paraId="390FE6C5">
      <w:pPr>
        <w:spacing w:after="0" w:afterLines="0" w:line="240" w:lineRule="auto"/>
        <w:ind w:firstLine="0" w:firstLineChars="0"/>
      </w:pPr>
    </w:p>
    <w:p w14:paraId="755548FD">
      <w:pPr>
        <w:spacing w:after="0" w:afterLines="0" w:line="240" w:lineRule="auto"/>
        <w:ind w:firstLine="0" w:firstLineChars="0"/>
      </w:pPr>
    </w:p>
    <w:p w14:paraId="522F4524">
      <w:pPr>
        <w:spacing w:before="1701" w:after="0" w:afterLines="0" w:line="240" w:lineRule="auto"/>
        <w:ind w:firstLine="0" w:firstLineChars="0"/>
        <w:jc w:val="center"/>
        <w:rPr>
          <w:rFonts w:eastAsia="黑体"/>
          <w:sz w:val="48"/>
          <w:szCs w:val="48"/>
        </w:rPr>
      </w:pPr>
      <w:bookmarkStart w:id="3" w:name="_Hlk212023701"/>
      <w:r>
        <w:rPr>
          <w:rFonts w:eastAsia="黑体"/>
          <w:sz w:val="48"/>
          <w:szCs w:val="48"/>
        </w:rPr>
        <w:t>工业集聚区土壤-地下水污染分区分类</w:t>
      </w:r>
      <w:bookmarkEnd w:id="3"/>
    </w:p>
    <w:p w14:paraId="0B55EDC9">
      <w:pPr>
        <w:spacing w:after="0" w:afterLines="0" w:line="240" w:lineRule="auto"/>
        <w:ind w:firstLine="0" w:firstLineChars="0"/>
        <w:jc w:val="center"/>
        <w:rPr>
          <w:rFonts w:eastAsia="黑体"/>
          <w:sz w:val="48"/>
          <w:szCs w:val="48"/>
        </w:rPr>
      </w:pPr>
      <w:r>
        <w:rPr>
          <w:rFonts w:eastAsia="黑体"/>
          <w:sz w:val="48"/>
          <w:szCs w:val="48"/>
        </w:rPr>
        <w:t>技术指南</w:t>
      </w:r>
    </w:p>
    <w:p w14:paraId="45A120C8">
      <w:pPr>
        <w:spacing w:after="850" w:afterLines="0" w:line="240" w:lineRule="auto"/>
        <w:ind w:firstLine="560"/>
        <w:jc w:val="center"/>
        <w:rPr>
          <w:rFonts w:eastAsia="黑体"/>
          <w:sz w:val="28"/>
          <w:szCs w:val="28"/>
        </w:rPr>
      </w:pPr>
      <w:r>
        <w:rPr>
          <w:rFonts w:eastAsia="黑体"/>
          <w:sz w:val="28"/>
          <w:szCs w:val="28"/>
        </w:rPr>
        <w:t>Technical guidelines for zonal classification of soil and groundwater pollution in industrial park</w:t>
      </w:r>
    </w:p>
    <w:p w14:paraId="3F9D8A5E">
      <w:pPr>
        <w:spacing w:after="0" w:afterLines="0" w:line="240" w:lineRule="auto"/>
        <w:ind w:firstLine="0" w:firstLineChars="0"/>
        <w:jc w:val="center"/>
        <w:rPr>
          <w:rFonts w:eastAsia="黑体"/>
          <w:sz w:val="28"/>
          <w:szCs w:val="28"/>
        </w:rPr>
      </w:pPr>
      <w:r>
        <w:rPr>
          <w:rFonts w:eastAsia="黑体"/>
          <w:sz w:val="28"/>
          <w:szCs w:val="28"/>
        </w:rPr>
        <w:t>（征求意见稿）</w:t>
      </w:r>
    </w:p>
    <w:p w14:paraId="36D49655">
      <w:pPr>
        <w:spacing w:after="0" w:afterLines="0" w:line="240" w:lineRule="auto"/>
        <w:ind w:firstLine="0" w:firstLineChars="0"/>
        <w:jc w:val="center"/>
        <w:rPr>
          <w:rFonts w:eastAsia="黑体"/>
          <w:sz w:val="28"/>
          <w:szCs w:val="28"/>
        </w:rPr>
      </w:pPr>
    </w:p>
    <w:p w14:paraId="2994D2E5">
      <w:pPr>
        <w:spacing w:after="0" w:afterLines="0" w:line="240" w:lineRule="auto"/>
        <w:ind w:firstLine="0" w:firstLineChars="0"/>
        <w:jc w:val="center"/>
        <w:rPr>
          <w:rFonts w:eastAsia="黑体"/>
          <w:sz w:val="28"/>
          <w:szCs w:val="28"/>
        </w:rPr>
      </w:pPr>
    </w:p>
    <w:p w14:paraId="59F9B082">
      <w:pPr>
        <w:spacing w:after="0" w:afterLines="0" w:line="240" w:lineRule="auto"/>
        <w:ind w:firstLine="0" w:firstLineChars="0"/>
        <w:jc w:val="center"/>
        <w:rPr>
          <w:rFonts w:eastAsia="黑体"/>
          <w:sz w:val="28"/>
          <w:szCs w:val="28"/>
        </w:rPr>
      </w:pPr>
    </w:p>
    <w:p w14:paraId="62E5DE32">
      <w:pPr>
        <w:tabs>
          <w:tab w:val="left" w:pos="3927"/>
        </w:tabs>
        <w:spacing w:after="0" w:afterLines="0" w:line="240" w:lineRule="auto"/>
        <w:ind w:firstLine="0" w:firstLineChars="0"/>
        <w:jc w:val="left"/>
      </w:pPr>
    </w:p>
    <w:p w14:paraId="192FBFA7">
      <w:pPr>
        <w:keepNext w:val="0"/>
        <w:keepLines w:val="0"/>
        <w:pageBreakBefore w:val="0"/>
        <w:widowControl w:val="0"/>
        <w:tabs>
          <w:tab w:val="left" w:pos="3927"/>
        </w:tabs>
        <w:kinsoku/>
        <w:wordWrap/>
        <w:overflowPunct/>
        <w:topLinePunct w:val="0"/>
        <w:autoSpaceDE/>
        <w:autoSpaceDN/>
        <w:bidi w:val="0"/>
        <w:adjustRightInd w:val="0"/>
        <w:snapToGrid w:val="0"/>
        <w:spacing w:after="0" w:afterLines="-2147483648" w:line="240" w:lineRule="auto"/>
        <w:ind w:left="0" w:leftChars="0" w:right="0" w:rightChars="0" w:firstLine="0" w:firstLineChars="0"/>
        <w:jc w:val="center"/>
        <w:textAlignment w:val="auto"/>
        <w:rPr>
          <w:rFonts w:hint="default" w:ascii="Times New Roman" w:hAnsi="Times New Roman" w:eastAsia="黑体" w:cs="Times New Roman"/>
          <w:sz w:val="28"/>
          <w:szCs w:val="28"/>
          <w:lang w:val="en-US" w:eastAsia="zh-CN"/>
        </w:rPr>
      </w:pPr>
    </w:p>
    <w:bookmarkEnd w:id="0"/>
    <w:bookmarkEnd w:id="1"/>
    <w:bookmarkEnd w:id="2"/>
    <w:p w14:paraId="5E7F6263">
      <w:pPr>
        <w:keepNext w:val="0"/>
        <w:keepLines w:val="0"/>
        <w:pageBreakBefore w:val="0"/>
        <w:widowControl w:val="0"/>
        <w:tabs>
          <w:tab w:val="left" w:pos="3927"/>
        </w:tabs>
        <w:kinsoku/>
        <w:wordWrap/>
        <w:overflowPunct/>
        <w:topLinePunct w:val="0"/>
        <w:autoSpaceDE/>
        <w:autoSpaceDN/>
        <w:bidi w:val="0"/>
        <w:adjustRightInd w:val="0"/>
        <w:snapToGrid w:val="0"/>
        <w:spacing w:after="0" w:afterLines="-2147483648" w:line="240" w:lineRule="auto"/>
        <w:ind w:left="0" w:leftChars="0" w:right="0" w:rightChars="0" w:firstLine="0" w:firstLineChars="0"/>
        <w:jc w:val="center"/>
        <w:textAlignment w:val="auto"/>
        <w:rPr>
          <w:rFonts w:hint="eastAsia"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20</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lang w:val="en-US" w:eastAsia="zh-CN"/>
        </w:rPr>
        <w:t xml:space="preserve">×发布                        </w:t>
      </w:r>
      <w:r>
        <w:rPr>
          <w:rFonts w:hint="eastAsia" w:eastAsia="黑体" w:cs="Times New Roman"/>
          <w:sz w:val="28"/>
          <w:szCs w:val="28"/>
          <w:lang w:val="en-US" w:eastAsia="zh-CN"/>
        </w:rPr>
        <w:t xml:space="preserve">                                 </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val="en-US" w:eastAsia="zh-CN"/>
        </w:rPr>
        <w:t>20</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lang w:val="en-US" w:eastAsia="zh-CN"/>
        </w:rPr>
        <w:t>×实施</w:t>
      </w:r>
    </w:p>
    <w:p w14:paraId="738D5086">
      <w:pPr>
        <w:keepNext w:val="0"/>
        <w:keepLines w:val="0"/>
        <w:pageBreakBefore w:val="0"/>
        <w:widowControl w:val="0"/>
        <w:tabs>
          <w:tab w:val="left" w:pos="3927"/>
        </w:tabs>
        <w:kinsoku/>
        <w:wordWrap/>
        <w:overflowPunct/>
        <w:topLinePunct w:val="0"/>
        <w:autoSpaceDE/>
        <w:autoSpaceDN/>
        <w:bidi w:val="0"/>
        <w:adjustRightInd w:val="0"/>
        <w:snapToGrid w:val="0"/>
        <w:spacing w:after="0" w:afterLines="-2147483648" w:line="240" w:lineRule="auto"/>
        <w:ind w:left="0" w:leftChars="0" w:right="0" w:rightChars="0" w:firstLine="0" w:firstLineChars="0"/>
        <w:jc w:val="center"/>
        <w:textAlignment w:val="auto"/>
        <w:rPr>
          <w:rFonts w:hint="eastAsia"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pict>
          <v:line id="_x0000_s2059" o:spid="_x0000_s2059"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mxKnoMkBAACgAwAADgAAAGRycy9lMm9Eb2MueG1srVNNj9sgEL1X&#10;6n9A3BvHWWXVWnH2kGh7SdtIu/0BBGMbFRjEkNj59x1wku7HZQ/1AQEz8+a9N3j1MFrDTiqgBlfz&#10;cjbnTDkJjXZdzX8/P375yhlG4RphwKmanxXyh/XnT6vBV2oBPZhGBUYgDqvB17yP0VdFgbJXVuAM&#10;vHIUbCFYEekYuqIJYiB0a4rFfH5fDBAaH0AqRLrdTkF+QQwfAYS21VJtQR6tcnFCDcqISJKw1x75&#10;OrNtWyXjr7ZFFZmpOSmNeaUmtD+ktVivRNUF4XstLxTERyi80WSFdtT0BrUVUbBj0O+grJYBENo4&#10;k2CLSUh2hFSU8zfePPXCq6yFrEZ/Mx3/H6z8edoHppua33HmhKWB77RTrFwmawaPFWVs3D4kcXJ0&#10;T34H8g8yB5teuE5lis9nT3VlqihelaQDempwGH5AQzniGCH7NLbBJkhygI15HOfbONQYmaTL+5I8&#10;uaNJyWusENW10AeM3xVYljY1N0Q6A4vTDmMiIqprSurj4FEbk6dtHBtq/m25WOYCBKObFExpGLrD&#10;xgR2Eum95C+rosjLtABH10xNjLuITjonxw7QnPfhagYNLrO5PLL0Ml6ec/W/H2v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Kk1hbSAAAAAgEAAA8AAAAAAAAAAQAgAAAAIgAAAGRycy9kb3ducmV2&#10;LnhtbFBLAQIUABQAAAAIAIdO4kCbEqegyQEAAKADAAAOAAAAAAAAAAEAIAAAACEBAABkcnMvZTJv&#10;RG9jLnhtbFBLBQYAAAAABgAGAFkBAABcBQAAAAA=&#10;">
            <v:path arrowok="t"/>
            <v:fill on="f" focussize="0,0"/>
            <v:stroke color="#000000" joinstyle="round"/>
            <v:imagedata o:title=""/>
            <o:lock v:ext="edit" aspectratio="f"/>
            <w10:wrap type="none"/>
            <w10:anchorlock/>
          </v:line>
        </w:pict>
      </w:r>
    </w:p>
    <w:p w14:paraId="7E688514">
      <w:pPr>
        <w:bidi w:val="0"/>
        <w:spacing w:after="0" w:afterLines="-2147483648" w:line="240" w:lineRule="auto"/>
        <w:ind w:firstLine="0" w:firstLineChars="0"/>
        <w:rPr>
          <w:rFonts w:hint="eastAsia"/>
          <w:lang w:val="en-US" w:eastAsia="zh-CN"/>
        </w:rPr>
      </w:pPr>
    </w:p>
    <w:p w14:paraId="482E28D4">
      <w:pPr>
        <w:keepNext w:val="0"/>
        <w:keepLines w:val="0"/>
        <w:pageBreakBefore w:val="0"/>
        <w:widowControl w:val="0"/>
        <w:tabs>
          <w:tab w:val="center" w:pos="4819"/>
        </w:tabs>
        <w:kinsoku/>
        <w:wordWrap/>
        <w:overflowPunct/>
        <w:topLinePunct w:val="0"/>
        <w:autoSpaceDE/>
        <w:autoSpaceDN/>
        <w:bidi w:val="0"/>
        <w:adjustRightInd w:val="0"/>
        <w:snapToGrid w:val="0"/>
        <w:spacing w:after="0" w:afterLines="-2147483648" w:line="240" w:lineRule="auto"/>
        <w:ind w:left="0" w:leftChars="0" w:right="0" w:rightChars="0" w:firstLine="0" w:firstLineChars="0"/>
        <w:jc w:val="center"/>
        <w:textAlignment w:val="auto"/>
        <w:rPr>
          <w:rFonts w:hint="eastAsia" w:ascii="华文中宋" w:hAnsi="华文中宋" w:eastAsia="华文中宋" w:cs="华文中宋"/>
          <w:sz w:val="30"/>
          <w:szCs w:val="30"/>
          <w:lang w:val="en-US" w:eastAsia="zh-CN"/>
        </w:rPr>
      </w:pPr>
    </w:p>
    <w:p w14:paraId="4B32E5E9">
      <w:pPr>
        <w:keepNext w:val="0"/>
        <w:keepLines w:val="0"/>
        <w:pageBreakBefore w:val="0"/>
        <w:widowControl w:val="0"/>
        <w:tabs>
          <w:tab w:val="center" w:pos="4819"/>
        </w:tabs>
        <w:kinsoku/>
        <w:wordWrap/>
        <w:overflowPunct/>
        <w:topLinePunct w:val="0"/>
        <w:autoSpaceDE/>
        <w:autoSpaceDN/>
        <w:bidi w:val="0"/>
        <w:adjustRightInd w:val="0"/>
        <w:snapToGrid w:val="0"/>
        <w:spacing w:after="0" w:afterLines="-2147483648" w:line="240" w:lineRule="auto"/>
        <w:ind w:left="0" w:leftChars="0" w:right="0" w:rightChars="0" w:firstLine="0" w:firstLineChars="0"/>
        <w:jc w:val="center"/>
        <w:textAlignment w:val="auto"/>
        <w:rPr>
          <w:rFonts w:hint="eastAsia" w:ascii="华文中宋" w:hAnsi="华文中宋" w:eastAsia="华文中宋" w:cs="华文中宋"/>
          <w:sz w:val="30"/>
          <w:szCs w:val="30"/>
          <w:lang w:val="en-US" w:eastAsia="zh-CN"/>
        </w:rPr>
        <w:sectPr>
          <w:headerReference r:id="rId5" w:type="default"/>
          <w:headerReference r:id="rId6" w:type="even"/>
          <w:pgSz w:w="11906" w:h="16838"/>
          <w:pgMar w:top="567" w:right="850" w:bottom="1134" w:left="1417" w:header="0" w:footer="0" w:gutter="0"/>
          <w:pgNumType w:fmt="decimal" w:start="1"/>
          <w:cols w:space="0" w:num="1"/>
          <w:rtlGutter w:val="0"/>
          <w:docGrid w:type="lines" w:linePitch="312" w:charSpace="0"/>
        </w:sectPr>
      </w:pPr>
      <w:r>
        <w:rPr>
          <w:rFonts w:hint="eastAsia" w:ascii="华文中宋" w:hAnsi="华文中宋" w:eastAsia="华文中宋" w:cs="华文中宋"/>
          <w:sz w:val="30"/>
          <w:szCs w:val="30"/>
          <w:lang w:val="en-US" w:eastAsia="zh-CN"/>
        </w:rPr>
        <w:t>中华环保联合会   发 布</w:t>
      </w:r>
    </w:p>
    <w:p w14:paraId="3FA79D79">
      <w:pPr>
        <w:widowControl/>
        <w:spacing w:after="156" w:line="720" w:lineRule="auto"/>
        <w:ind w:firstLine="0" w:firstLineChars="0"/>
        <w:rPr>
          <w:rFonts w:eastAsia="黑体"/>
          <w:color w:val="000000" w:themeColor="text1"/>
          <w:sz w:val="32"/>
          <w:szCs w:val="32"/>
          <w:lang w:val="zh-CN"/>
        </w:rPr>
        <w:sectPr>
          <w:headerReference r:id="rId7" w:type="default"/>
          <w:footerReference r:id="rId9" w:type="default"/>
          <w:headerReference r:id="rId8" w:type="even"/>
          <w:footerReference r:id="rId10" w:type="even"/>
          <w:pgSz w:w="11906" w:h="16838"/>
          <w:pgMar w:top="1440" w:right="1800" w:bottom="1440" w:left="1800" w:header="851" w:footer="992" w:gutter="0"/>
          <w:pgNumType w:start="1"/>
          <w:cols w:space="720" w:num="1"/>
          <w:docGrid w:type="lines" w:linePitch="312" w:charSpace="0"/>
        </w:sectPr>
      </w:pPr>
      <w:bookmarkStart w:id="43" w:name="_GoBack"/>
      <w:bookmarkEnd w:id="43"/>
    </w:p>
    <w:sdt>
      <w:sdtPr>
        <w:rPr>
          <w:rFonts w:ascii="Times New Roman" w:hAnsi="Times New Roman" w:eastAsia="宋体" w:cs="Times New Roman"/>
          <w:color w:val="auto"/>
          <w:sz w:val="21"/>
          <w:szCs w:val="22"/>
          <w:lang w:val="zh-CN"/>
        </w:rPr>
        <w:id w:val="930469020"/>
        <w:docPartObj>
          <w:docPartGallery w:val="Table of Contents"/>
          <w:docPartUnique/>
        </w:docPartObj>
      </w:sdtPr>
      <w:sdtEndPr>
        <w:rPr>
          <w:rFonts w:ascii="Times New Roman" w:hAnsi="Times New Roman" w:eastAsia="宋体" w:cs="Times New Roman"/>
          <w:b/>
          <w:bCs/>
          <w:color w:val="auto"/>
          <w:sz w:val="21"/>
          <w:szCs w:val="22"/>
          <w:lang w:val="zh-CN"/>
        </w:rPr>
      </w:sdtEndPr>
      <w:sdtContent>
        <w:p w14:paraId="56CB0B72">
          <w:pPr>
            <w:pStyle w:val="24"/>
            <w:spacing w:after="156"/>
            <w:ind w:firstLine="420"/>
            <w:jc w:val="center"/>
            <w:rPr>
              <w:rFonts w:ascii="Times New Roman" w:hAnsi="Times New Roman" w:eastAsia="黑体" w:cs="Times New Roman"/>
              <w:color w:val="auto"/>
              <w:sz w:val="36"/>
              <w:szCs w:val="21"/>
            </w:rPr>
          </w:pPr>
          <w:r>
            <w:rPr>
              <w:rFonts w:ascii="Times New Roman" w:hAnsi="Times New Roman" w:eastAsia="黑体" w:cs="Times New Roman"/>
              <w:color w:val="auto"/>
              <w:sz w:val="36"/>
              <w:szCs w:val="21"/>
            </w:rPr>
            <w:t>目    次</w:t>
          </w:r>
        </w:p>
        <w:p w14:paraId="0F4587EE">
          <w:pPr>
            <w:pStyle w:val="9"/>
            <w:rPr>
              <w:rFonts w:eastAsiaTheme="minorEastAsia"/>
              <w:kern w:val="2"/>
              <w:sz w:val="22"/>
              <w:szCs w:val="24"/>
              <w14:ligatures w14:val="standardContextual"/>
            </w:rPr>
          </w:pPr>
          <w:r>
            <w:fldChar w:fldCharType="begin"/>
          </w:r>
          <w:r>
            <w:instrText xml:space="preserve"> TOC \o "1-1" \h \z \u </w:instrText>
          </w:r>
          <w:r>
            <w:fldChar w:fldCharType="separate"/>
          </w:r>
          <w:r>
            <w:fldChar w:fldCharType="begin"/>
          </w:r>
          <w:r>
            <w:instrText xml:space="preserve"> HYPERLINK \l "_Toc216861695" </w:instrText>
          </w:r>
          <w:r>
            <w:fldChar w:fldCharType="separate"/>
          </w:r>
          <w:r>
            <w:rPr>
              <w:rStyle w:val="15"/>
              <w:rFonts w:eastAsiaTheme="minorEastAsia"/>
            </w:rPr>
            <w:t>1 范围</w:t>
          </w:r>
          <w:r>
            <w:rPr>
              <w:rFonts w:eastAsiaTheme="minorEastAsia"/>
            </w:rPr>
            <w:tab/>
          </w:r>
          <w:r>
            <w:rPr>
              <w:rFonts w:eastAsiaTheme="minorEastAsia"/>
            </w:rPr>
            <w:fldChar w:fldCharType="begin"/>
          </w:r>
          <w:r>
            <w:rPr>
              <w:rFonts w:eastAsiaTheme="minorEastAsia"/>
            </w:rPr>
            <w:instrText xml:space="preserve"> PAGEREF _Toc216861695 \h </w:instrText>
          </w:r>
          <w:r>
            <w:rPr>
              <w:rFonts w:eastAsiaTheme="minorEastAsia"/>
            </w:rPr>
            <w:fldChar w:fldCharType="separate"/>
          </w:r>
          <w:r>
            <w:rPr>
              <w:rFonts w:eastAsiaTheme="minorEastAsia"/>
            </w:rPr>
            <w:t>1</w:t>
          </w:r>
          <w:r>
            <w:rPr>
              <w:rFonts w:eastAsiaTheme="minorEastAsia"/>
            </w:rPr>
            <w:fldChar w:fldCharType="end"/>
          </w:r>
          <w:r>
            <w:rPr>
              <w:rFonts w:eastAsiaTheme="minorEastAsia"/>
            </w:rPr>
            <w:fldChar w:fldCharType="end"/>
          </w:r>
        </w:p>
        <w:p w14:paraId="797C6291">
          <w:pPr>
            <w:pStyle w:val="9"/>
            <w:rPr>
              <w:rFonts w:eastAsiaTheme="minorEastAsia"/>
              <w:kern w:val="2"/>
              <w:sz w:val="22"/>
              <w:szCs w:val="24"/>
              <w14:ligatures w14:val="standardContextual"/>
            </w:rPr>
          </w:pPr>
          <w:r>
            <w:fldChar w:fldCharType="begin"/>
          </w:r>
          <w:r>
            <w:instrText xml:space="preserve"> HYPERLINK \l "_Toc216861696" </w:instrText>
          </w:r>
          <w:r>
            <w:fldChar w:fldCharType="separate"/>
          </w:r>
          <w:r>
            <w:rPr>
              <w:rStyle w:val="15"/>
              <w:rFonts w:eastAsiaTheme="minorEastAsia"/>
            </w:rPr>
            <w:t>2 规范性引用文件</w:t>
          </w:r>
          <w:r>
            <w:rPr>
              <w:rFonts w:eastAsiaTheme="minorEastAsia"/>
            </w:rPr>
            <w:tab/>
          </w:r>
          <w:r>
            <w:rPr>
              <w:rFonts w:eastAsiaTheme="minorEastAsia"/>
            </w:rPr>
            <w:fldChar w:fldCharType="begin"/>
          </w:r>
          <w:r>
            <w:rPr>
              <w:rFonts w:eastAsiaTheme="minorEastAsia"/>
            </w:rPr>
            <w:instrText xml:space="preserve"> PAGEREF _Toc216861696 \h </w:instrText>
          </w:r>
          <w:r>
            <w:rPr>
              <w:rFonts w:eastAsiaTheme="minorEastAsia"/>
            </w:rPr>
            <w:fldChar w:fldCharType="separate"/>
          </w:r>
          <w:r>
            <w:rPr>
              <w:rFonts w:eastAsiaTheme="minorEastAsia"/>
            </w:rPr>
            <w:t>1</w:t>
          </w:r>
          <w:r>
            <w:rPr>
              <w:rFonts w:eastAsiaTheme="minorEastAsia"/>
            </w:rPr>
            <w:fldChar w:fldCharType="end"/>
          </w:r>
          <w:r>
            <w:rPr>
              <w:rFonts w:eastAsiaTheme="minorEastAsia"/>
            </w:rPr>
            <w:fldChar w:fldCharType="end"/>
          </w:r>
        </w:p>
        <w:p w14:paraId="33DE3BDA">
          <w:pPr>
            <w:pStyle w:val="9"/>
            <w:rPr>
              <w:rFonts w:eastAsiaTheme="minorEastAsia"/>
              <w:kern w:val="2"/>
              <w:sz w:val="22"/>
              <w:szCs w:val="24"/>
              <w14:ligatures w14:val="standardContextual"/>
            </w:rPr>
          </w:pPr>
          <w:r>
            <w:fldChar w:fldCharType="begin"/>
          </w:r>
          <w:r>
            <w:instrText xml:space="preserve"> HYPERLINK \l "_Toc216861697" </w:instrText>
          </w:r>
          <w:r>
            <w:fldChar w:fldCharType="separate"/>
          </w:r>
          <w:r>
            <w:rPr>
              <w:rStyle w:val="15"/>
              <w:rFonts w:eastAsiaTheme="minorEastAsia"/>
            </w:rPr>
            <w:t>3 术语和定义</w:t>
          </w:r>
          <w:r>
            <w:rPr>
              <w:rFonts w:eastAsiaTheme="minorEastAsia"/>
            </w:rPr>
            <w:tab/>
          </w:r>
          <w:r>
            <w:rPr>
              <w:rFonts w:eastAsiaTheme="minorEastAsia"/>
            </w:rPr>
            <w:fldChar w:fldCharType="begin"/>
          </w:r>
          <w:r>
            <w:rPr>
              <w:rFonts w:eastAsiaTheme="minorEastAsia"/>
            </w:rPr>
            <w:instrText xml:space="preserve"> PAGEREF _Toc216861697 \h </w:instrText>
          </w:r>
          <w:r>
            <w:rPr>
              <w:rFonts w:eastAsiaTheme="minorEastAsia"/>
            </w:rPr>
            <w:fldChar w:fldCharType="separate"/>
          </w:r>
          <w:r>
            <w:rPr>
              <w:rFonts w:eastAsiaTheme="minorEastAsia"/>
            </w:rPr>
            <w:t>1</w:t>
          </w:r>
          <w:r>
            <w:rPr>
              <w:rFonts w:eastAsiaTheme="minorEastAsia"/>
            </w:rPr>
            <w:fldChar w:fldCharType="end"/>
          </w:r>
          <w:r>
            <w:rPr>
              <w:rFonts w:eastAsiaTheme="minorEastAsia"/>
            </w:rPr>
            <w:fldChar w:fldCharType="end"/>
          </w:r>
        </w:p>
        <w:p w14:paraId="6FAAF8AD">
          <w:pPr>
            <w:pStyle w:val="9"/>
            <w:rPr>
              <w:rFonts w:eastAsiaTheme="minorEastAsia"/>
              <w:kern w:val="2"/>
              <w:sz w:val="22"/>
              <w:szCs w:val="24"/>
              <w14:ligatures w14:val="standardContextual"/>
            </w:rPr>
          </w:pPr>
          <w:r>
            <w:fldChar w:fldCharType="begin"/>
          </w:r>
          <w:r>
            <w:instrText xml:space="preserve"> HYPERLINK \l "_Toc216861698" </w:instrText>
          </w:r>
          <w:r>
            <w:fldChar w:fldCharType="separate"/>
          </w:r>
          <w:r>
            <w:rPr>
              <w:rStyle w:val="15"/>
              <w:rFonts w:eastAsiaTheme="minorEastAsia"/>
            </w:rPr>
            <w:t>4 总体原则</w:t>
          </w:r>
          <w:r>
            <w:rPr>
              <w:rFonts w:eastAsiaTheme="minorEastAsia"/>
            </w:rPr>
            <w:tab/>
          </w:r>
          <w:r>
            <w:rPr>
              <w:rFonts w:eastAsiaTheme="minorEastAsia"/>
            </w:rPr>
            <w:fldChar w:fldCharType="begin"/>
          </w:r>
          <w:r>
            <w:rPr>
              <w:rFonts w:eastAsiaTheme="minorEastAsia"/>
            </w:rPr>
            <w:instrText xml:space="preserve"> PAGEREF _Toc216861698 \h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fldChar w:fldCharType="end"/>
          </w:r>
        </w:p>
        <w:p w14:paraId="0D1306ED">
          <w:pPr>
            <w:pStyle w:val="9"/>
            <w:rPr>
              <w:rFonts w:eastAsiaTheme="minorEastAsia"/>
              <w:kern w:val="2"/>
              <w:sz w:val="22"/>
              <w:szCs w:val="24"/>
              <w14:ligatures w14:val="standardContextual"/>
            </w:rPr>
          </w:pPr>
          <w:r>
            <w:fldChar w:fldCharType="begin"/>
          </w:r>
          <w:r>
            <w:instrText xml:space="preserve"> HYPERLINK \l "_Toc216861699" </w:instrText>
          </w:r>
          <w:r>
            <w:fldChar w:fldCharType="separate"/>
          </w:r>
          <w:r>
            <w:rPr>
              <w:rStyle w:val="15"/>
              <w:rFonts w:eastAsiaTheme="minorEastAsia"/>
            </w:rPr>
            <w:t>5 技术流程</w:t>
          </w:r>
          <w:r>
            <w:rPr>
              <w:rFonts w:eastAsiaTheme="minorEastAsia"/>
            </w:rPr>
            <w:tab/>
          </w:r>
          <w:r>
            <w:rPr>
              <w:rFonts w:eastAsiaTheme="minorEastAsia"/>
            </w:rPr>
            <w:fldChar w:fldCharType="begin"/>
          </w:r>
          <w:r>
            <w:rPr>
              <w:rFonts w:eastAsiaTheme="minorEastAsia"/>
            </w:rPr>
            <w:instrText xml:space="preserve"> PAGEREF _Toc216861699 \h </w:instrText>
          </w:r>
          <w:r>
            <w:rPr>
              <w:rFonts w:eastAsiaTheme="minorEastAsia"/>
            </w:rPr>
            <w:fldChar w:fldCharType="separate"/>
          </w:r>
          <w:r>
            <w:rPr>
              <w:rFonts w:eastAsiaTheme="minorEastAsia"/>
            </w:rPr>
            <w:t>3</w:t>
          </w:r>
          <w:r>
            <w:rPr>
              <w:rFonts w:eastAsiaTheme="minorEastAsia"/>
            </w:rPr>
            <w:fldChar w:fldCharType="end"/>
          </w:r>
          <w:r>
            <w:rPr>
              <w:rFonts w:eastAsiaTheme="minorEastAsia"/>
            </w:rPr>
            <w:fldChar w:fldCharType="end"/>
          </w:r>
        </w:p>
        <w:p w14:paraId="2DFD722A">
          <w:pPr>
            <w:pStyle w:val="9"/>
            <w:rPr>
              <w:rFonts w:eastAsiaTheme="minorEastAsia"/>
              <w:kern w:val="2"/>
              <w:sz w:val="22"/>
              <w:szCs w:val="24"/>
              <w14:ligatures w14:val="standardContextual"/>
            </w:rPr>
          </w:pPr>
          <w:r>
            <w:fldChar w:fldCharType="begin"/>
          </w:r>
          <w:r>
            <w:instrText xml:space="preserve"> HYPERLINK \l "_Toc216861700" </w:instrText>
          </w:r>
          <w:r>
            <w:fldChar w:fldCharType="separate"/>
          </w:r>
          <w:r>
            <w:rPr>
              <w:rStyle w:val="15"/>
              <w:rFonts w:eastAsiaTheme="minorEastAsia"/>
            </w:rPr>
            <w:t>6 前期资料收集与调研</w:t>
          </w:r>
          <w:r>
            <w:rPr>
              <w:rFonts w:eastAsiaTheme="minorEastAsia"/>
            </w:rPr>
            <w:tab/>
          </w:r>
          <w:r>
            <w:rPr>
              <w:rFonts w:eastAsiaTheme="minorEastAsia"/>
            </w:rPr>
            <w:fldChar w:fldCharType="begin"/>
          </w:r>
          <w:r>
            <w:rPr>
              <w:rFonts w:eastAsiaTheme="minorEastAsia"/>
            </w:rPr>
            <w:instrText xml:space="preserve"> PAGEREF _Toc216861700 \h </w:instrText>
          </w:r>
          <w:r>
            <w:rPr>
              <w:rFonts w:eastAsiaTheme="minorEastAsia"/>
            </w:rPr>
            <w:fldChar w:fldCharType="separate"/>
          </w:r>
          <w:r>
            <w:rPr>
              <w:rFonts w:eastAsiaTheme="minorEastAsia"/>
            </w:rPr>
            <w:t>5</w:t>
          </w:r>
          <w:r>
            <w:rPr>
              <w:rFonts w:eastAsiaTheme="minorEastAsia"/>
            </w:rPr>
            <w:fldChar w:fldCharType="end"/>
          </w:r>
          <w:r>
            <w:rPr>
              <w:rFonts w:eastAsiaTheme="minorEastAsia"/>
            </w:rPr>
            <w:fldChar w:fldCharType="end"/>
          </w:r>
        </w:p>
        <w:p w14:paraId="6F117458">
          <w:pPr>
            <w:pStyle w:val="9"/>
            <w:rPr>
              <w:rFonts w:eastAsiaTheme="minorEastAsia"/>
              <w:kern w:val="2"/>
              <w:sz w:val="22"/>
              <w:szCs w:val="24"/>
              <w14:ligatures w14:val="standardContextual"/>
            </w:rPr>
          </w:pPr>
          <w:r>
            <w:fldChar w:fldCharType="begin"/>
          </w:r>
          <w:r>
            <w:instrText xml:space="preserve"> HYPERLINK \l "_Toc216861701" </w:instrText>
          </w:r>
          <w:r>
            <w:fldChar w:fldCharType="separate"/>
          </w:r>
          <w:r>
            <w:rPr>
              <w:rStyle w:val="15"/>
              <w:rFonts w:eastAsiaTheme="minorEastAsia"/>
            </w:rPr>
            <w:t>7 土壤-地下水污染风险评价</w:t>
          </w:r>
          <w:r>
            <w:rPr>
              <w:rFonts w:eastAsiaTheme="minorEastAsia"/>
            </w:rPr>
            <w:tab/>
          </w:r>
          <w:r>
            <w:rPr>
              <w:rFonts w:eastAsiaTheme="minorEastAsia"/>
            </w:rPr>
            <w:fldChar w:fldCharType="begin"/>
          </w:r>
          <w:r>
            <w:rPr>
              <w:rFonts w:eastAsiaTheme="minorEastAsia"/>
            </w:rPr>
            <w:instrText xml:space="preserve"> PAGEREF _Toc216861701 \h </w:instrText>
          </w:r>
          <w:r>
            <w:rPr>
              <w:rFonts w:eastAsiaTheme="minorEastAsia"/>
            </w:rPr>
            <w:fldChar w:fldCharType="separate"/>
          </w:r>
          <w:r>
            <w:rPr>
              <w:rFonts w:eastAsiaTheme="minorEastAsia"/>
            </w:rPr>
            <w:t>5</w:t>
          </w:r>
          <w:r>
            <w:rPr>
              <w:rFonts w:eastAsiaTheme="minorEastAsia"/>
            </w:rPr>
            <w:fldChar w:fldCharType="end"/>
          </w:r>
          <w:r>
            <w:rPr>
              <w:rFonts w:eastAsiaTheme="minorEastAsia"/>
            </w:rPr>
            <w:fldChar w:fldCharType="end"/>
          </w:r>
        </w:p>
        <w:p w14:paraId="0BA951ED">
          <w:pPr>
            <w:pStyle w:val="9"/>
            <w:rPr>
              <w:rFonts w:eastAsiaTheme="minorEastAsia"/>
              <w:kern w:val="2"/>
              <w:sz w:val="22"/>
              <w:szCs w:val="24"/>
              <w14:ligatures w14:val="standardContextual"/>
            </w:rPr>
          </w:pPr>
          <w:r>
            <w:fldChar w:fldCharType="begin"/>
          </w:r>
          <w:r>
            <w:instrText xml:space="preserve"> HYPERLINK \l "_Toc216861702" </w:instrText>
          </w:r>
          <w:r>
            <w:fldChar w:fldCharType="separate"/>
          </w:r>
          <w:r>
            <w:rPr>
              <w:rStyle w:val="15"/>
              <w:rFonts w:eastAsiaTheme="minorEastAsia"/>
            </w:rPr>
            <w:t>8 土壤地下水污染防治分区</w:t>
          </w:r>
          <w:r>
            <w:rPr>
              <w:rFonts w:eastAsiaTheme="minorEastAsia"/>
            </w:rPr>
            <w:tab/>
          </w:r>
          <w:r>
            <w:rPr>
              <w:rFonts w:eastAsiaTheme="minorEastAsia"/>
            </w:rPr>
            <w:fldChar w:fldCharType="begin"/>
          </w:r>
          <w:r>
            <w:rPr>
              <w:rFonts w:eastAsiaTheme="minorEastAsia"/>
            </w:rPr>
            <w:instrText xml:space="preserve"> PAGEREF _Toc216861702 \h </w:instrText>
          </w:r>
          <w:r>
            <w:rPr>
              <w:rFonts w:eastAsiaTheme="minorEastAsia"/>
            </w:rPr>
            <w:fldChar w:fldCharType="separate"/>
          </w:r>
          <w:r>
            <w:rPr>
              <w:rFonts w:eastAsiaTheme="minorEastAsia"/>
            </w:rPr>
            <w:t>10</w:t>
          </w:r>
          <w:r>
            <w:rPr>
              <w:rFonts w:eastAsiaTheme="minorEastAsia"/>
            </w:rPr>
            <w:fldChar w:fldCharType="end"/>
          </w:r>
          <w:r>
            <w:rPr>
              <w:rFonts w:eastAsiaTheme="minorEastAsia"/>
            </w:rPr>
            <w:fldChar w:fldCharType="end"/>
          </w:r>
        </w:p>
        <w:p w14:paraId="79B8B19C">
          <w:pPr>
            <w:pStyle w:val="9"/>
            <w:rPr>
              <w:rFonts w:eastAsiaTheme="minorEastAsia"/>
              <w:kern w:val="2"/>
              <w:sz w:val="22"/>
              <w:szCs w:val="24"/>
              <w14:ligatures w14:val="standardContextual"/>
            </w:rPr>
          </w:pPr>
          <w:r>
            <w:fldChar w:fldCharType="begin"/>
          </w:r>
          <w:r>
            <w:instrText xml:space="preserve"> HYPERLINK \l "_Toc216861703" </w:instrText>
          </w:r>
          <w:r>
            <w:fldChar w:fldCharType="separate"/>
          </w:r>
          <w:r>
            <w:rPr>
              <w:rStyle w:val="15"/>
              <w:rFonts w:eastAsiaTheme="minorEastAsia"/>
            </w:rPr>
            <w:t>9 土壤地下水污染分类管控</w:t>
          </w:r>
          <w:r>
            <w:rPr>
              <w:rFonts w:eastAsiaTheme="minorEastAsia"/>
            </w:rPr>
            <w:tab/>
          </w:r>
          <w:r>
            <w:rPr>
              <w:rFonts w:eastAsiaTheme="minorEastAsia"/>
            </w:rPr>
            <w:fldChar w:fldCharType="begin"/>
          </w:r>
          <w:r>
            <w:rPr>
              <w:rFonts w:eastAsiaTheme="minorEastAsia"/>
            </w:rPr>
            <w:instrText xml:space="preserve"> PAGEREF _Toc216861703 \h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fldChar w:fldCharType="end"/>
          </w:r>
        </w:p>
        <w:p w14:paraId="3D829692">
          <w:pPr>
            <w:pStyle w:val="9"/>
            <w:rPr>
              <w:rFonts w:eastAsiaTheme="minorEastAsia"/>
              <w:kern w:val="2"/>
              <w:sz w:val="22"/>
              <w:szCs w:val="24"/>
              <w14:ligatures w14:val="standardContextual"/>
            </w:rPr>
          </w:pPr>
          <w:r>
            <w:fldChar w:fldCharType="begin"/>
          </w:r>
          <w:r>
            <w:instrText xml:space="preserve"> HYPERLINK \l "_Toc216861704" </w:instrText>
          </w:r>
          <w:r>
            <w:fldChar w:fldCharType="separate"/>
          </w:r>
          <w:r>
            <w:rPr>
              <w:rStyle w:val="15"/>
              <w:rFonts w:eastAsiaTheme="minorEastAsia"/>
            </w:rPr>
            <w:t>附录A</w:t>
          </w:r>
          <w:r>
            <w:rPr>
              <w:rFonts w:eastAsiaTheme="minorEastAsia"/>
            </w:rPr>
            <w:tab/>
          </w:r>
          <w:r>
            <w:rPr>
              <w:rFonts w:eastAsiaTheme="minorEastAsia"/>
            </w:rPr>
            <w:fldChar w:fldCharType="begin"/>
          </w:r>
          <w:r>
            <w:rPr>
              <w:rFonts w:eastAsiaTheme="minorEastAsia"/>
            </w:rPr>
            <w:instrText xml:space="preserve"> PAGEREF _Toc216861704 \h </w:instrText>
          </w:r>
          <w:r>
            <w:rPr>
              <w:rFonts w:eastAsiaTheme="minorEastAsia"/>
            </w:rPr>
            <w:fldChar w:fldCharType="separate"/>
          </w:r>
          <w:r>
            <w:rPr>
              <w:rFonts w:eastAsiaTheme="minorEastAsia"/>
            </w:rPr>
            <w:t>13</w:t>
          </w:r>
          <w:r>
            <w:rPr>
              <w:rFonts w:eastAsiaTheme="minorEastAsia"/>
            </w:rPr>
            <w:fldChar w:fldCharType="end"/>
          </w:r>
          <w:r>
            <w:rPr>
              <w:rFonts w:eastAsiaTheme="minorEastAsia"/>
            </w:rPr>
            <w:fldChar w:fldCharType="end"/>
          </w:r>
        </w:p>
        <w:p w14:paraId="55D74444">
          <w:pPr>
            <w:pStyle w:val="9"/>
            <w:rPr>
              <w:rFonts w:asciiTheme="minorHAnsi" w:hAnsiTheme="minorHAnsi" w:eastAsiaTheme="minorEastAsia" w:cstheme="minorBidi"/>
              <w:kern w:val="2"/>
              <w:sz w:val="22"/>
              <w:szCs w:val="24"/>
              <w14:ligatures w14:val="standardContextual"/>
            </w:rPr>
          </w:pPr>
          <w:r>
            <w:fldChar w:fldCharType="begin"/>
          </w:r>
          <w:r>
            <w:instrText xml:space="preserve"> HYPERLINK \l "_Toc216861705" </w:instrText>
          </w:r>
          <w:r>
            <w:fldChar w:fldCharType="separate"/>
          </w:r>
          <w:r>
            <w:rPr>
              <w:rStyle w:val="15"/>
              <w:rFonts w:eastAsiaTheme="minorEastAsia"/>
            </w:rPr>
            <w:t>附录B</w:t>
          </w:r>
          <w:r>
            <w:rPr>
              <w:rFonts w:eastAsiaTheme="minorEastAsia"/>
            </w:rPr>
            <w:tab/>
          </w:r>
          <w:r>
            <w:rPr>
              <w:rFonts w:eastAsiaTheme="minorEastAsia"/>
            </w:rPr>
            <w:fldChar w:fldCharType="begin"/>
          </w:r>
          <w:r>
            <w:rPr>
              <w:rFonts w:eastAsiaTheme="minorEastAsia"/>
            </w:rPr>
            <w:instrText xml:space="preserve"> PAGEREF _Toc216861705 \h </w:instrText>
          </w:r>
          <w:r>
            <w:rPr>
              <w:rFonts w:eastAsiaTheme="minorEastAsia"/>
            </w:rPr>
            <w:fldChar w:fldCharType="separate"/>
          </w:r>
          <w:r>
            <w:rPr>
              <w:rFonts w:eastAsiaTheme="minorEastAsia"/>
            </w:rPr>
            <w:t>14</w:t>
          </w:r>
          <w:r>
            <w:rPr>
              <w:rFonts w:eastAsiaTheme="minorEastAsia"/>
            </w:rPr>
            <w:fldChar w:fldCharType="end"/>
          </w:r>
          <w:r>
            <w:rPr>
              <w:rFonts w:eastAsiaTheme="minorEastAsia"/>
            </w:rPr>
            <w:fldChar w:fldCharType="end"/>
          </w:r>
        </w:p>
        <w:p w14:paraId="4682E590">
          <w:pPr>
            <w:pStyle w:val="9"/>
          </w:pPr>
          <w:r>
            <w:fldChar w:fldCharType="end"/>
          </w:r>
        </w:p>
      </w:sdtContent>
    </w:sdt>
    <w:p w14:paraId="45334FDD">
      <w:pPr>
        <w:spacing w:after="156"/>
        <w:ind w:right="840" w:firstLine="0" w:firstLineChars="0"/>
      </w:pPr>
    </w:p>
    <w:p w14:paraId="5C24DEB2">
      <w:pPr>
        <w:keepNext/>
        <w:pageBreakBefore/>
        <w:shd w:val="clear" w:color="FFFFFF" w:fill="auto"/>
        <w:overflowPunct w:val="0"/>
        <w:spacing w:before="850" w:after="156"/>
        <w:ind w:firstLine="720"/>
        <w:jc w:val="center"/>
        <w:rPr>
          <w:rFonts w:eastAsia="黑体"/>
          <w:sz w:val="36"/>
          <w:szCs w:val="21"/>
        </w:rPr>
      </w:pPr>
      <w:bookmarkStart w:id="4" w:name="_Toc12742"/>
      <w:bookmarkStart w:id="5" w:name="_Toc13619"/>
      <w:r>
        <w:rPr>
          <w:rFonts w:eastAsia="黑体"/>
          <w:sz w:val="36"/>
          <w:szCs w:val="21"/>
        </w:rPr>
        <w:t>前    言</w:t>
      </w:r>
      <w:bookmarkEnd w:id="4"/>
      <w:bookmarkEnd w:id="5"/>
    </w:p>
    <w:p w14:paraId="2C27F10D">
      <w:pPr>
        <w:adjustRightInd w:val="0"/>
        <w:snapToGrid w:val="0"/>
        <w:spacing w:after="156" w:line="240" w:lineRule="auto"/>
        <w:ind w:firstLine="420"/>
        <w:rPr>
          <w:color w:val="000000" w:themeColor="text1"/>
          <w:szCs w:val="21"/>
        </w:rPr>
      </w:pPr>
    </w:p>
    <w:p w14:paraId="0D803CEA">
      <w:pPr>
        <w:adjustRightInd w:val="0"/>
        <w:snapToGrid w:val="0"/>
        <w:spacing w:after="156" w:line="240" w:lineRule="auto"/>
        <w:ind w:firstLine="420"/>
        <w:rPr>
          <w:color w:val="000000" w:themeColor="text1"/>
          <w:szCs w:val="21"/>
        </w:rPr>
      </w:pPr>
      <w:r>
        <w:rPr>
          <w:color w:val="000000" w:themeColor="text1"/>
          <w:szCs w:val="21"/>
        </w:rPr>
        <w:t>本文件按照GB/T1.1-2020《标准化工作导则  第1部分：标准化文件的结构和起草规则》的规定起草。</w:t>
      </w:r>
    </w:p>
    <w:p w14:paraId="0BADA637">
      <w:pPr>
        <w:adjustRightInd w:val="0"/>
        <w:snapToGrid w:val="0"/>
        <w:spacing w:after="156" w:line="240" w:lineRule="auto"/>
        <w:ind w:firstLine="420"/>
        <w:rPr>
          <w:color w:val="000000" w:themeColor="text1"/>
          <w:szCs w:val="21"/>
        </w:rPr>
      </w:pPr>
      <w:r>
        <w:rPr>
          <w:color w:val="000000" w:themeColor="text1"/>
          <w:szCs w:val="21"/>
        </w:rPr>
        <w:t>请注意本文件的某些内容可能涉及专利。本文件的发布机构不承担识别专利的责任。</w:t>
      </w:r>
    </w:p>
    <w:p w14:paraId="1FCE5137">
      <w:pPr>
        <w:adjustRightInd w:val="0"/>
        <w:snapToGrid w:val="0"/>
        <w:spacing w:after="156" w:line="240" w:lineRule="auto"/>
        <w:ind w:firstLine="420"/>
        <w:rPr>
          <w:color w:val="000000" w:themeColor="text1"/>
          <w:szCs w:val="21"/>
        </w:rPr>
      </w:pPr>
      <w:r>
        <w:rPr>
          <w:color w:val="000000" w:themeColor="text1"/>
          <w:szCs w:val="21"/>
        </w:rPr>
        <w:t>本文件由浙江大学提出。</w:t>
      </w:r>
    </w:p>
    <w:p w14:paraId="490E7E86">
      <w:pPr>
        <w:adjustRightInd w:val="0"/>
        <w:snapToGrid w:val="0"/>
        <w:spacing w:after="156" w:line="240" w:lineRule="auto"/>
        <w:ind w:firstLine="420"/>
        <w:rPr>
          <w:color w:val="000000" w:themeColor="text1"/>
          <w:szCs w:val="21"/>
        </w:rPr>
      </w:pPr>
      <w:r>
        <w:rPr>
          <w:color w:val="000000" w:themeColor="text1"/>
          <w:szCs w:val="21"/>
        </w:rPr>
        <w:t>本文件由中华环保联合会归口。</w:t>
      </w:r>
    </w:p>
    <w:p w14:paraId="4C18C8D3">
      <w:pPr>
        <w:adjustRightInd w:val="0"/>
        <w:snapToGrid w:val="0"/>
        <w:spacing w:after="156" w:line="240" w:lineRule="auto"/>
        <w:ind w:firstLine="420"/>
        <w:rPr>
          <w:color w:val="000000" w:themeColor="text1"/>
          <w:szCs w:val="21"/>
        </w:rPr>
      </w:pPr>
      <w:r>
        <w:rPr>
          <w:color w:val="000000" w:themeColor="text1"/>
          <w:szCs w:val="21"/>
        </w:rPr>
        <w:t>本文件起草单位：浙江大学、南开大学、华南农业大学、</w:t>
      </w:r>
      <w:bookmarkStart w:id="6" w:name="OLE_LINK1"/>
      <w:r>
        <w:rPr>
          <w:color w:val="000000" w:themeColor="text1"/>
          <w:szCs w:val="21"/>
        </w:rPr>
        <w:t>中国环境科学研究院</w:t>
      </w:r>
      <w:bookmarkEnd w:id="6"/>
      <w:r>
        <w:rPr>
          <w:color w:val="000000" w:themeColor="text1"/>
          <w:szCs w:val="21"/>
        </w:rPr>
        <w:t>、中国地质大学（武汉）、天津生态城环保有限公司、浙江大学长三角智慧绿洲创新中心、无际（嘉善）科技有限公司、嘉兴绿土生态科技有限公司。</w:t>
      </w:r>
    </w:p>
    <w:p w14:paraId="6DDD20F0">
      <w:pPr>
        <w:adjustRightInd w:val="0"/>
        <w:snapToGrid w:val="0"/>
        <w:spacing w:after="156" w:line="240" w:lineRule="auto"/>
        <w:ind w:firstLine="420"/>
        <w:rPr>
          <w:color w:val="000000" w:themeColor="text1"/>
          <w:szCs w:val="21"/>
        </w:rPr>
      </w:pPr>
      <w:r>
        <w:rPr>
          <w:color w:val="000000" w:themeColor="text1"/>
          <w:szCs w:val="21"/>
        </w:rPr>
        <w:t>本文件主要起草人：王飞儿、沈超峰、楼莉萍、黄燕、薛刘铖、符玉龙，魏梦玉，刘磊，羊嘉文，段德超，徐辰、陈威、倪卓彪、苏海磊、文章、宋震宇。</w:t>
      </w:r>
    </w:p>
    <w:p w14:paraId="574592AB">
      <w:pPr>
        <w:spacing w:after="156"/>
        <w:ind w:firstLine="420"/>
        <w:rPr>
          <w:color w:val="000000"/>
        </w:rPr>
      </w:pPr>
    </w:p>
    <w:p w14:paraId="23189126">
      <w:pPr>
        <w:adjustRightInd w:val="0"/>
        <w:snapToGrid w:val="0"/>
        <w:spacing w:after="156"/>
        <w:ind w:firstLine="420"/>
        <w:rPr>
          <w:color w:val="000000" w:themeColor="text1"/>
        </w:rPr>
      </w:pPr>
    </w:p>
    <w:p w14:paraId="00852F48">
      <w:pPr>
        <w:adjustRightInd w:val="0"/>
        <w:snapToGrid w:val="0"/>
        <w:spacing w:after="156"/>
        <w:ind w:firstLine="420"/>
        <w:rPr>
          <w:color w:val="000000" w:themeColor="text1"/>
        </w:rPr>
      </w:pPr>
    </w:p>
    <w:p w14:paraId="21202478">
      <w:pPr>
        <w:spacing w:after="156"/>
        <w:ind w:firstLine="480"/>
        <w:rPr>
          <w:color w:val="000000" w:themeColor="text1"/>
          <w:sz w:val="24"/>
          <w:szCs w:val="24"/>
        </w:rPr>
        <w:sectPr>
          <w:headerReference r:id="rId11" w:type="default"/>
          <w:footerReference r:id="rId12" w:type="default"/>
          <w:footerReference r:id="rId13" w:type="even"/>
          <w:pgSz w:w="11906" w:h="16838"/>
          <w:pgMar w:top="1417" w:right="1134" w:bottom="1134" w:left="1417" w:header="1020" w:footer="850" w:gutter="0"/>
          <w:pgNumType w:fmt="upperRoman" w:start="1"/>
          <w:cols w:space="0" w:num="1"/>
          <w:docGrid w:type="lines" w:linePitch="312" w:charSpace="0"/>
        </w:sectPr>
      </w:pPr>
    </w:p>
    <w:p w14:paraId="3E1902FF">
      <w:pPr>
        <w:spacing w:before="850" w:after="156"/>
        <w:ind w:firstLine="640"/>
        <w:jc w:val="center"/>
        <w:rPr>
          <w:rFonts w:eastAsia="黑体"/>
          <w:sz w:val="32"/>
          <w:szCs w:val="32"/>
        </w:rPr>
      </w:pPr>
      <w:bookmarkStart w:id="7" w:name="_Toc395187803"/>
      <w:r>
        <w:rPr>
          <w:rFonts w:eastAsia="黑体"/>
          <w:sz w:val="32"/>
          <w:szCs w:val="32"/>
        </w:rPr>
        <w:t>工业集聚区土壤-地下水污染分区分类技术指南</w:t>
      </w:r>
    </w:p>
    <w:p w14:paraId="03F5F04E">
      <w:pPr>
        <w:pStyle w:val="2"/>
        <w:spacing w:before="312" w:after="312"/>
        <w:rPr>
          <w:rFonts w:ascii="Times New Roman" w:hAnsi="Times New Roman"/>
          <w:i/>
          <w:iCs/>
          <w:color w:val="000000" w:themeColor="text1"/>
        </w:rPr>
      </w:pPr>
      <w:bookmarkStart w:id="8" w:name="_Toc793"/>
      <w:bookmarkStart w:id="9" w:name="_Toc216861695"/>
      <w:r>
        <w:rPr>
          <w:rStyle w:val="16"/>
          <w:rFonts w:ascii="Times New Roman" w:hAnsi="Times New Roman"/>
          <w:bCs w:val="0"/>
        </w:rPr>
        <w:t>1</w:t>
      </w:r>
      <w:bookmarkEnd w:id="7"/>
      <w:bookmarkEnd w:id="8"/>
      <w:r>
        <w:rPr>
          <w:rStyle w:val="16"/>
          <w:rFonts w:ascii="Times New Roman" w:hAnsi="Times New Roman"/>
          <w:bCs w:val="0"/>
        </w:rPr>
        <w:t xml:space="preserve"> 范围</w:t>
      </w:r>
      <w:bookmarkEnd w:id="9"/>
      <w:r>
        <w:rPr>
          <w:rStyle w:val="16"/>
          <w:rFonts w:ascii="Times New Roman" w:hAnsi="Times New Roman"/>
          <w:bCs w:val="0"/>
        </w:rPr>
        <w:fldChar w:fldCharType="begin"/>
      </w:r>
      <w:r>
        <w:rPr>
          <w:rStyle w:val="16"/>
          <w:rFonts w:ascii="Times New Roman" w:hAnsi="Times New Roman"/>
          <w:bCs w:val="0"/>
        </w:rPr>
        <w:instrText xml:space="preserve"> MACROBUTTON MTEditEquationSection2 </w:instrText>
      </w:r>
      <w:r>
        <w:rPr>
          <w:rStyle w:val="29"/>
          <w:rFonts w:hint="eastAsia"/>
        </w:rPr>
        <w:instrText xml:space="preserve">公式章 (下一章) 节 1</w:instrText>
      </w:r>
      <w:r>
        <w:rPr>
          <w:rStyle w:val="16"/>
          <w:rFonts w:ascii="Times New Roman" w:hAnsi="Times New Roman"/>
          <w:bCs w:val="0"/>
        </w:rPr>
        <w:fldChar w:fldCharType="begin"/>
      </w:r>
      <w:r>
        <w:rPr>
          <w:rStyle w:val="16"/>
          <w:rFonts w:ascii="Times New Roman" w:hAnsi="Times New Roman"/>
          <w:bCs w:val="0"/>
        </w:rPr>
        <w:instrText xml:space="preserve"> </w:instrText>
      </w:r>
      <w:r>
        <w:rPr>
          <w:rStyle w:val="16"/>
          <w:rFonts w:hint="eastAsia" w:ascii="Times New Roman" w:hAnsi="Times New Roman"/>
          <w:bCs w:val="0"/>
        </w:rPr>
        <w:instrText xml:space="preserve">SEQ MTEqn \r \h \* MERGEFORMAT</w:instrText>
      </w:r>
      <w:r>
        <w:rPr>
          <w:rStyle w:val="16"/>
          <w:rFonts w:ascii="Times New Roman" w:hAnsi="Times New Roman"/>
          <w:bCs w:val="0"/>
        </w:rPr>
        <w:instrText xml:space="preserve"> </w:instrText>
      </w:r>
      <w:r>
        <w:rPr>
          <w:rStyle w:val="16"/>
          <w:rFonts w:ascii="Times New Roman" w:hAnsi="Times New Roman"/>
          <w:bCs w:val="0"/>
        </w:rPr>
        <w:fldChar w:fldCharType="end"/>
      </w:r>
      <w:r>
        <w:rPr>
          <w:rStyle w:val="16"/>
          <w:rFonts w:ascii="Times New Roman" w:hAnsi="Times New Roman"/>
          <w:bCs w:val="0"/>
        </w:rPr>
        <w:fldChar w:fldCharType="begin"/>
      </w:r>
      <w:r>
        <w:rPr>
          <w:rStyle w:val="16"/>
          <w:rFonts w:ascii="Times New Roman" w:hAnsi="Times New Roman"/>
          <w:bCs w:val="0"/>
        </w:rPr>
        <w:instrText xml:space="preserve"> SEQ MTSec \r 1 \h \* MERGEFORMAT </w:instrText>
      </w:r>
      <w:r>
        <w:rPr>
          <w:rStyle w:val="16"/>
          <w:rFonts w:ascii="Times New Roman" w:hAnsi="Times New Roman"/>
          <w:bCs w:val="0"/>
        </w:rPr>
        <w:fldChar w:fldCharType="end"/>
      </w:r>
      <w:r>
        <w:rPr>
          <w:rStyle w:val="16"/>
          <w:rFonts w:ascii="Times New Roman" w:hAnsi="Times New Roman"/>
          <w:bCs w:val="0"/>
        </w:rPr>
        <w:fldChar w:fldCharType="begin"/>
      </w:r>
      <w:r>
        <w:rPr>
          <w:rStyle w:val="16"/>
          <w:rFonts w:ascii="Times New Roman" w:hAnsi="Times New Roman"/>
          <w:bCs w:val="0"/>
        </w:rPr>
        <w:instrText xml:space="preserve"> SEQ MTChap \h \* MERGEFORMAT </w:instrText>
      </w:r>
      <w:r>
        <w:rPr>
          <w:rStyle w:val="16"/>
          <w:rFonts w:ascii="Times New Roman" w:hAnsi="Times New Roman"/>
          <w:bCs w:val="0"/>
        </w:rPr>
        <w:fldChar w:fldCharType="end"/>
      </w:r>
      <w:r>
        <w:rPr>
          <w:rStyle w:val="16"/>
          <w:rFonts w:ascii="Times New Roman" w:hAnsi="Times New Roman"/>
          <w:bCs w:val="0"/>
        </w:rPr>
        <w:fldChar w:fldCharType="end"/>
      </w:r>
    </w:p>
    <w:p w14:paraId="3ACAE20C">
      <w:pPr>
        <w:spacing w:after="156"/>
        <w:ind w:firstLine="420"/>
        <w:rPr>
          <w:color w:val="000000" w:themeColor="text1"/>
          <w:szCs w:val="21"/>
        </w:rPr>
      </w:pPr>
      <w:r>
        <w:rPr>
          <w:color w:val="000000" w:themeColor="text1"/>
          <w:szCs w:val="21"/>
        </w:rPr>
        <w:t>本文件规定了工业集聚区土壤地下水污染分区分类的总体原则、程序、内容和方法。</w:t>
      </w:r>
    </w:p>
    <w:p w14:paraId="35D94922">
      <w:pPr>
        <w:spacing w:after="156"/>
        <w:ind w:firstLine="420"/>
        <w:rPr>
          <w:color w:val="000000" w:themeColor="text1"/>
          <w:szCs w:val="21"/>
        </w:rPr>
      </w:pPr>
      <w:r>
        <w:rPr>
          <w:color w:val="000000" w:themeColor="text1"/>
          <w:szCs w:val="21"/>
        </w:rPr>
        <w:t xml:space="preserve">本文件适用于工业集聚区土壤地下水污染分区分类管控。 </w:t>
      </w:r>
    </w:p>
    <w:p w14:paraId="2956D8B5">
      <w:pPr>
        <w:pStyle w:val="2"/>
        <w:spacing w:before="312" w:after="312"/>
        <w:rPr>
          <w:rFonts w:ascii="Times New Roman" w:hAnsi="Times New Roman"/>
        </w:rPr>
      </w:pPr>
      <w:bookmarkStart w:id="10" w:name="_Toc16338"/>
      <w:bookmarkStart w:id="11" w:name="_Toc216861696"/>
      <w:r>
        <w:rPr>
          <w:rFonts w:ascii="Times New Roman" w:hAnsi="Times New Roman"/>
        </w:rPr>
        <w:t>2 规范性引用文件</w:t>
      </w:r>
      <w:bookmarkEnd w:id="10"/>
      <w:bookmarkEnd w:id="11"/>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(下一章)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\h \* MERGEFORMAT </w:instrText>
      </w:r>
      <w:r>
        <w:rPr>
          <w:rFonts w:ascii="Times New Roman" w:hAnsi="Times New Roman"/>
        </w:rPr>
        <w:fldChar w:fldCharType="end"/>
      </w:r>
      <w:r>
        <w:rPr>
          <w:rFonts w:ascii="Times New Roman" w:hAnsi="Times New Roman"/>
        </w:rPr>
        <w:fldChar w:fldCharType="end"/>
      </w:r>
    </w:p>
    <w:p w14:paraId="2202C9CB">
      <w:pPr>
        <w:spacing w:after="156"/>
        <w:ind w:firstLine="420"/>
      </w:pPr>
      <w:r>
        <w:t>下列文件中的内容通过文中的规范性引用而构成本文件必不可少的条款。其中，注日期的引用文件，仅该日期对应的版本适用于本文件；不注日期的引用文件，其最新版本适用于本文件。</w:t>
      </w:r>
    </w:p>
    <w:p w14:paraId="5067A4DC">
      <w:pPr>
        <w:spacing w:after="156"/>
        <w:ind w:firstLine="420"/>
        <w:rPr>
          <w:szCs w:val="21"/>
        </w:rPr>
      </w:pPr>
      <w:r>
        <w:rPr>
          <w:szCs w:val="21"/>
        </w:rPr>
        <w:t xml:space="preserve">GB36600 </w:t>
      </w:r>
      <w:r>
        <w:rPr>
          <w:szCs w:val="21"/>
        </w:rPr>
        <w:tab/>
      </w:r>
      <w:r>
        <w:rPr>
          <w:szCs w:val="21"/>
        </w:rPr>
        <w:tab/>
      </w:r>
      <w:r>
        <w:rPr>
          <w:szCs w:val="21"/>
        </w:rPr>
        <w:t>土壤环境质量 建设用地土壤污染风险管控标准（试行）</w:t>
      </w:r>
    </w:p>
    <w:p w14:paraId="6CCB95B8">
      <w:pPr>
        <w:spacing w:after="156"/>
        <w:ind w:firstLine="420"/>
        <w:rPr>
          <w:szCs w:val="21"/>
        </w:rPr>
      </w:pPr>
      <w:r>
        <w:rPr>
          <w:szCs w:val="21"/>
        </w:rPr>
        <w:t xml:space="preserve">HJ 25.1 </w:t>
      </w:r>
      <w:r>
        <w:rPr>
          <w:szCs w:val="21"/>
        </w:rPr>
        <w:tab/>
      </w:r>
      <w:r>
        <w:rPr>
          <w:szCs w:val="21"/>
        </w:rPr>
        <w:tab/>
      </w:r>
      <w:r>
        <w:rPr>
          <w:szCs w:val="21"/>
        </w:rPr>
        <w:tab/>
      </w:r>
      <w:r>
        <w:rPr>
          <w:szCs w:val="21"/>
        </w:rPr>
        <w:t>建设用地土壤污染状况调查技术导则</w:t>
      </w:r>
    </w:p>
    <w:p w14:paraId="523B8C9B">
      <w:pPr>
        <w:spacing w:after="156"/>
        <w:ind w:firstLine="420"/>
        <w:rPr>
          <w:szCs w:val="21"/>
        </w:rPr>
      </w:pPr>
      <w:r>
        <w:rPr>
          <w:szCs w:val="21"/>
        </w:rPr>
        <w:t>HJ 25.3</w:t>
      </w:r>
      <w:r>
        <w:rPr>
          <w:szCs w:val="21"/>
        </w:rPr>
        <w:tab/>
      </w:r>
      <w:r>
        <w:rPr>
          <w:szCs w:val="21"/>
        </w:rPr>
        <w:tab/>
      </w:r>
      <w:r>
        <w:rPr>
          <w:szCs w:val="21"/>
        </w:rPr>
        <w:tab/>
      </w:r>
      <w:r>
        <w:rPr>
          <w:szCs w:val="21"/>
        </w:rPr>
        <w:t>建设用地土壤污染风险评估技术导则</w:t>
      </w:r>
    </w:p>
    <w:p w14:paraId="518DF804">
      <w:pPr>
        <w:spacing w:after="156"/>
        <w:ind w:firstLine="420"/>
        <w:rPr>
          <w:szCs w:val="21"/>
        </w:rPr>
      </w:pPr>
      <w:r>
        <w:rPr>
          <w:szCs w:val="21"/>
        </w:rPr>
        <w:t>HJ 164</w:t>
      </w:r>
      <w:r>
        <w:rPr>
          <w:szCs w:val="21"/>
        </w:rPr>
        <w:tab/>
      </w:r>
      <w:r>
        <w:rPr>
          <w:szCs w:val="21"/>
        </w:rPr>
        <w:tab/>
      </w:r>
      <w:r>
        <w:rPr>
          <w:szCs w:val="21"/>
        </w:rPr>
        <w:tab/>
      </w:r>
      <w:r>
        <w:rPr>
          <w:szCs w:val="21"/>
        </w:rPr>
        <w:t>地下水环境监测技术规范</w:t>
      </w:r>
    </w:p>
    <w:p w14:paraId="4E7085E6">
      <w:pPr>
        <w:spacing w:after="156"/>
        <w:ind w:firstLine="420"/>
        <w:rPr>
          <w:szCs w:val="21"/>
        </w:rPr>
      </w:pPr>
      <w:r>
        <w:rPr>
          <w:szCs w:val="21"/>
        </w:rPr>
        <w:t>HJ/T 166</w:t>
      </w:r>
      <w:r>
        <w:rPr>
          <w:szCs w:val="21"/>
        </w:rPr>
        <w:tab/>
      </w:r>
      <w:r>
        <w:rPr>
          <w:szCs w:val="21"/>
        </w:rPr>
        <w:tab/>
      </w:r>
      <w:r>
        <w:rPr>
          <w:szCs w:val="21"/>
        </w:rPr>
        <w:tab/>
      </w:r>
      <w:r>
        <w:rPr>
          <w:szCs w:val="21"/>
        </w:rPr>
        <w:t>土壤环境监测技术规范</w:t>
      </w:r>
    </w:p>
    <w:p w14:paraId="4DCD973B">
      <w:pPr>
        <w:spacing w:after="156"/>
        <w:ind w:firstLine="420"/>
        <w:rPr>
          <w:szCs w:val="21"/>
        </w:rPr>
      </w:pPr>
      <w:r>
        <w:rPr>
          <w:szCs w:val="21"/>
        </w:rPr>
        <w:t>《重点行业企业用地调查信息采集技术规定（试行）》（环办土壤[2017]67号）</w:t>
      </w:r>
    </w:p>
    <w:p w14:paraId="632F81A2">
      <w:pPr>
        <w:spacing w:after="156"/>
        <w:ind w:firstLine="420"/>
        <w:rPr>
          <w:szCs w:val="21"/>
        </w:rPr>
      </w:pPr>
      <w:r>
        <w:rPr>
          <w:szCs w:val="21"/>
        </w:rPr>
        <w:t>《地下水环境状况调查评价工作指南》（环办土壤函[2019]770号）</w:t>
      </w:r>
    </w:p>
    <w:p w14:paraId="2F41CAAE">
      <w:pPr>
        <w:pStyle w:val="2"/>
        <w:spacing w:before="312" w:after="312"/>
        <w:rPr>
          <w:rFonts w:ascii="Times New Roman" w:hAnsi="Times New Roman"/>
        </w:rPr>
      </w:pPr>
      <w:bookmarkStart w:id="12" w:name="_Toc21631"/>
      <w:bookmarkStart w:id="13" w:name="_Toc395187805"/>
      <w:bookmarkStart w:id="14" w:name="_Toc216861697"/>
      <w:r>
        <w:rPr>
          <w:rFonts w:ascii="Times New Roman" w:hAnsi="Times New Roman"/>
        </w:rPr>
        <w:t>3 术语和定义</w:t>
      </w:r>
      <w:bookmarkEnd w:id="12"/>
      <w:bookmarkEnd w:id="13"/>
      <w:bookmarkEnd w:id="14"/>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(下一章)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\h \* MERGEFORMAT </w:instrText>
      </w:r>
      <w:r>
        <w:rPr>
          <w:rFonts w:ascii="Times New Roman" w:hAnsi="Times New Roman"/>
        </w:rPr>
        <w:fldChar w:fldCharType="end"/>
      </w:r>
      <w:r>
        <w:rPr>
          <w:rFonts w:ascii="Times New Roman" w:hAnsi="Times New Roman"/>
        </w:rPr>
        <w:fldChar w:fldCharType="end"/>
      </w:r>
    </w:p>
    <w:p w14:paraId="10C109AB">
      <w:pPr>
        <w:spacing w:after="156"/>
        <w:ind w:firstLine="420"/>
        <w:rPr>
          <w:color w:val="000000" w:themeColor="text1"/>
        </w:rPr>
      </w:pPr>
      <w:r>
        <w:rPr>
          <w:color w:val="000000" w:themeColor="text1"/>
        </w:rPr>
        <w:t>下列术语和定义适用于本文件。</w:t>
      </w:r>
    </w:p>
    <w:p w14:paraId="6CA0FB09">
      <w:pPr>
        <w:spacing w:after="156"/>
        <w:ind w:firstLine="0" w:firstLineChars="0"/>
        <w:rPr>
          <w:color w:val="000000" w:themeColor="text1"/>
          <w:szCs w:val="21"/>
        </w:rPr>
      </w:pPr>
      <w:bookmarkStart w:id="15" w:name="_Toc435177494"/>
      <w:bookmarkStart w:id="16" w:name="_Toc435177690"/>
      <w:bookmarkStart w:id="17" w:name="_Toc481504299"/>
      <w:bookmarkStart w:id="18" w:name="_Toc23252664"/>
      <w:bookmarkStart w:id="19" w:name="_Toc511393149"/>
      <w:r>
        <w:rPr>
          <w:rFonts w:eastAsia="黑体"/>
          <w:color w:val="000000" w:themeColor="text1"/>
          <w:szCs w:val="21"/>
        </w:rPr>
        <w:t>3.1</w:t>
      </w:r>
      <w:bookmarkEnd w:id="15"/>
      <w:bookmarkEnd w:id="16"/>
      <w:bookmarkEnd w:id="17"/>
      <w:bookmarkEnd w:id="18"/>
      <w:bookmarkEnd w:id="19"/>
    </w:p>
    <w:p w14:paraId="299ED444">
      <w:pPr>
        <w:spacing w:after="0" w:afterLines="0"/>
        <w:ind w:firstLine="422"/>
        <w:rPr>
          <w:b/>
          <w:bCs/>
          <w:i/>
          <w:iCs/>
          <w:color w:val="000000" w:themeColor="text1"/>
          <w:szCs w:val="21"/>
        </w:rPr>
      </w:pPr>
      <w:r>
        <w:rPr>
          <w:b/>
          <w:bCs/>
          <w:color w:val="000000" w:themeColor="text1"/>
          <w:szCs w:val="21"/>
        </w:rPr>
        <w:t>工业集聚区  industrial park</w:t>
      </w:r>
    </w:p>
    <w:p w14:paraId="4B4DA7EE">
      <w:pPr>
        <w:spacing w:after="0" w:afterLines="0"/>
        <w:ind w:firstLine="420"/>
        <w:rPr>
          <w:color w:val="000000" w:themeColor="text1"/>
          <w:szCs w:val="21"/>
        </w:rPr>
      </w:pPr>
      <w:bookmarkStart w:id="20" w:name="_Toc24348"/>
      <w:r>
        <w:rPr>
          <w:color w:val="000000" w:themeColor="text1"/>
          <w:szCs w:val="21"/>
        </w:rPr>
        <w:t>在一定地理范围内，由多个工业企业或工厂组成的集中区域，专门从事工业生产活动，包括制造业、加工业、仓储物流等多种类型的工业企业，也包括独立设置的专业化工园区、经济技术开发区等。</w:t>
      </w:r>
    </w:p>
    <w:p w14:paraId="4A7A0D22">
      <w:pPr>
        <w:spacing w:after="156"/>
        <w:ind w:firstLine="0" w:firstLineChars="0"/>
        <w:rPr>
          <w:rFonts w:eastAsia="黑体"/>
          <w:color w:val="000000" w:themeColor="text1"/>
          <w:szCs w:val="21"/>
        </w:rPr>
      </w:pPr>
      <w:r>
        <w:rPr>
          <w:rFonts w:eastAsia="黑体"/>
          <w:color w:val="000000" w:themeColor="text1"/>
          <w:szCs w:val="21"/>
        </w:rPr>
        <w:t>3.2</w:t>
      </w:r>
    </w:p>
    <w:p w14:paraId="09600402">
      <w:pPr>
        <w:spacing w:after="0" w:afterLines="0"/>
        <w:ind w:firstLine="422"/>
        <w:rPr>
          <w:b/>
          <w:bCs/>
          <w:color w:val="000000" w:themeColor="text1"/>
          <w:szCs w:val="21"/>
        </w:rPr>
      </w:pPr>
      <w:r>
        <w:rPr>
          <w:b/>
          <w:bCs/>
          <w:color w:val="000000" w:themeColor="text1"/>
          <w:szCs w:val="21"/>
        </w:rPr>
        <w:t>土壤污染  soil pollution</w:t>
      </w:r>
    </w:p>
    <w:p w14:paraId="6229EE78">
      <w:pPr>
        <w:spacing w:after="0" w:afterLines="0"/>
        <w:ind w:firstLine="420"/>
        <w:rPr>
          <w:color w:val="000000" w:themeColor="text1"/>
          <w:szCs w:val="21"/>
        </w:rPr>
      </w:pPr>
      <w:r>
        <w:rPr>
          <w:color w:val="000000" w:themeColor="text1"/>
          <w:szCs w:val="21"/>
        </w:rPr>
        <w:t>因人为因素导致某种物质进入陆地表层土壤，引起土壤化学、物理、生物等方面特性的改变，影响土壤功能和有效利用，危害公众健康或者破坏生态环境的现象。</w:t>
      </w:r>
    </w:p>
    <w:p w14:paraId="102AD191">
      <w:pPr>
        <w:spacing w:after="156"/>
        <w:ind w:firstLine="0" w:firstLineChars="0"/>
        <w:rPr>
          <w:rFonts w:eastAsia="黑体"/>
          <w:color w:val="000000" w:themeColor="text1"/>
          <w:szCs w:val="21"/>
        </w:rPr>
      </w:pPr>
      <w:r>
        <w:rPr>
          <w:rFonts w:eastAsia="黑体"/>
          <w:color w:val="000000" w:themeColor="text1"/>
          <w:szCs w:val="21"/>
        </w:rPr>
        <w:t>3.3</w:t>
      </w:r>
    </w:p>
    <w:p w14:paraId="7396ABE6">
      <w:pPr>
        <w:spacing w:after="0" w:afterLines="0"/>
        <w:ind w:firstLine="422"/>
        <w:rPr>
          <w:b/>
          <w:bCs/>
          <w:color w:val="000000" w:themeColor="text1"/>
          <w:szCs w:val="21"/>
        </w:rPr>
      </w:pPr>
      <w:r>
        <w:rPr>
          <w:b/>
          <w:bCs/>
          <w:color w:val="000000" w:themeColor="text1"/>
          <w:szCs w:val="21"/>
        </w:rPr>
        <w:t>地下水污染  groundwater pollution</w:t>
      </w:r>
    </w:p>
    <w:p w14:paraId="0CE33CBE">
      <w:pPr>
        <w:spacing w:after="0" w:afterLines="0"/>
        <w:ind w:firstLine="420"/>
        <w:rPr>
          <w:color w:val="000000" w:themeColor="text1"/>
          <w:szCs w:val="21"/>
        </w:rPr>
      </w:pPr>
      <w:r>
        <w:rPr>
          <w:color w:val="000000" w:themeColor="text1"/>
          <w:szCs w:val="21"/>
        </w:rPr>
        <w:t>人为因素导致地下水化学、物理、生物等方面特性改变，导致地下水水质恶化，影响地下水功能有效利用，危害公众健康的现象。</w:t>
      </w:r>
    </w:p>
    <w:p w14:paraId="4049531C">
      <w:pPr>
        <w:spacing w:after="156"/>
        <w:ind w:firstLine="0" w:firstLineChars="0"/>
        <w:rPr>
          <w:rFonts w:eastAsia="黑体"/>
          <w:color w:val="000000" w:themeColor="text1"/>
          <w:szCs w:val="21"/>
        </w:rPr>
      </w:pPr>
      <w:r>
        <w:rPr>
          <w:rFonts w:eastAsia="黑体"/>
          <w:color w:val="000000" w:themeColor="text1"/>
          <w:szCs w:val="21"/>
        </w:rPr>
        <w:t>3.4</w:t>
      </w:r>
    </w:p>
    <w:p w14:paraId="3E84F56F">
      <w:pPr>
        <w:spacing w:after="0" w:afterLines="0"/>
        <w:ind w:firstLine="422"/>
        <w:rPr>
          <w:b/>
          <w:bCs/>
          <w:color w:val="000000" w:themeColor="text1"/>
          <w:szCs w:val="21"/>
        </w:rPr>
      </w:pPr>
      <w:r>
        <w:rPr>
          <w:b/>
          <w:bCs/>
          <w:color w:val="000000" w:themeColor="text1"/>
          <w:szCs w:val="21"/>
        </w:rPr>
        <w:t>环境风险  environmental risk</w:t>
      </w:r>
    </w:p>
    <w:p w14:paraId="05D29193">
      <w:pPr>
        <w:spacing w:after="0" w:afterLines="0"/>
        <w:ind w:firstLine="420"/>
        <w:rPr>
          <w:color w:val="000000" w:themeColor="text1"/>
          <w:szCs w:val="21"/>
        </w:rPr>
      </w:pPr>
      <w:r>
        <w:rPr>
          <w:color w:val="000000" w:themeColor="text1"/>
          <w:szCs w:val="21"/>
        </w:rPr>
        <w:t>由于人为因素导致的对人类健康、生态系统或自然环境的潜在危害。</w:t>
      </w:r>
    </w:p>
    <w:p w14:paraId="59A28DEA">
      <w:pPr>
        <w:spacing w:after="156"/>
        <w:ind w:firstLine="0" w:firstLineChars="0"/>
        <w:rPr>
          <w:rFonts w:eastAsia="黑体"/>
          <w:color w:val="000000" w:themeColor="text1"/>
          <w:szCs w:val="21"/>
        </w:rPr>
      </w:pPr>
      <w:r>
        <w:rPr>
          <w:rFonts w:eastAsia="黑体"/>
          <w:color w:val="000000" w:themeColor="text1"/>
          <w:szCs w:val="21"/>
        </w:rPr>
        <w:t>3.5</w:t>
      </w:r>
    </w:p>
    <w:p w14:paraId="18BBECB4">
      <w:pPr>
        <w:spacing w:after="0" w:afterLines="0"/>
        <w:ind w:firstLine="422"/>
        <w:rPr>
          <w:b/>
          <w:bCs/>
          <w:color w:val="000000" w:themeColor="text1"/>
          <w:szCs w:val="21"/>
        </w:rPr>
      </w:pPr>
      <w:r>
        <w:rPr>
          <w:b/>
          <w:bCs/>
          <w:color w:val="000000" w:themeColor="text1"/>
          <w:szCs w:val="21"/>
        </w:rPr>
        <w:t>环境脆弱性  environmental vulnerability</w:t>
      </w:r>
    </w:p>
    <w:p w14:paraId="5170A51B">
      <w:pPr>
        <w:spacing w:after="0" w:afterLines="0"/>
        <w:ind w:firstLine="420"/>
        <w:rPr>
          <w:color w:val="000000" w:themeColor="text1"/>
          <w:szCs w:val="21"/>
        </w:rPr>
      </w:pPr>
      <w:r>
        <w:rPr>
          <w:color w:val="000000" w:themeColor="text1"/>
          <w:szCs w:val="21"/>
        </w:rPr>
        <w:t>指环境系统在特定时空尺度下，相对于外界干扰所具有的敏感反应和自我恢复能力。</w:t>
      </w:r>
    </w:p>
    <w:p w14:paraId="12E64B65">
      <w:pPr>
        <w:spacing w:after="156"/>
        <w:ind w:firstLine="0" w:firstLineChars="0"/>
        <w:rPr>
          <w:rFonts w:eastAsia="黑体"/>
          <w:color w:val="000000" w:themeColor="text1"/>
          <w:szCs w:val="21"/>
        </w:rPr>
      </w:pPr>
      <w:r>
        <w:rPr>
          <w:rFonts w:eastAsia="黑体"/>
          <w:color w:val="000000" w:themeColor="text1"/>
          <w:szCs w:val="21"/>
        </w:rPr>
        <w:t>3.6</w:t>
      </w:r>
    </w:p>
    <w:p w14:paraId="2011463B">
      <w:pPr>
        <w:spacing w:after="0" w:afterLines="0"/>
        <w:ind w:firstLine="422"/>
        <w:rPr>
          <w:b/>
          <w:bCs/>
          <w:color w:val="000000" w:themeColor="text1"/>
          <w:szCs w:val="21"/>
        </w:rPr>
      </w:pPr>
      <w:r>
        <w:rPr>
          <w:b/>
          <w:bCs/>
          <w:color w:val="000000" w:themeColor="text1"/>
          <w:szCs w:val="21"/>
        </w:rPr>
        <w:t>风险管控单元  risk control unit</w:t>
      </w:r>
    </w:p>
    <w:p w14:paraId="188DB033">
      <w:pPr>
        <w:spacing w:after="0" w:afterLines="0"/>
        <w:ind w:firstLine="420"/>
        <w:rPr>
          <w:color w:val="000000" w:themeColor="text1"/>
          <w:szCs w:val="21"/>
        </w:rPr>
      </w:pPr>
      <w:r>
        <w:rPr>
          <w:color w:val="000000" w:themeColor="text1"/>
          <w:szCs w:val="21"/>
        </w:rPr>
        <w:t>工业集聚区土壤和地下水污染风险管控的空间区域。根据环境风险等级及保护要求，分为风险预防区、一般管控区和重点管控区。</w:t>
      </w:r>
    </w:p>
    <w:p w14:paraId="1FA85E31">
      <w:pPr>
        <w:spacing w:after="156"/>
        <w:ind w:firstLine="0" w:firstLineChars="0"/>
        <w:rPr>
          <w:rFonts w:eastAsia="黑体"/>
          <w:color w:val="000000" w:themeColor="text1"/>
          <w:szCs w:val="21"/>
        </w:rPr>
      </w:pPr>
      <w:r>
        <w:rPr>
          <w:rFonts w:eastAsia="黑体"/>
          <w:color w:val="000000" w:themeColor="text1"/>
          <w:szCs w:val="21"/>
        </w:rPr>
        <w:t>3.7</w:t>
      </w:r>
    </w:p>
    <w:p w14:paraId="6416E89D">
      <w:pPr>
        <w:spacing w:after="0" w:afterLines="0"/>
        <w:ind w:firstLine="422"/>
        <w:rPr>
          <w:b/>
          <w:bCs/>
          <w:color w:val="000000" w:themeColor="text1"/>
          <w:szCs w:val="21"/>
        </w:rPr>
      </w:pPr>
      <w:r>
        <w:rPr>
          <w:b/>
          <w:bCs/>
          <w:color w:val="000000" w:themeColor="text1"/>
          <w:szCs w:val="21"/>
        </w:rPr>
        <w:t>分区分类管理  zonal classification management</w:t>
      </w:r>
    </w:p>
    <w:p w14:paraId="6609DB4D">
      <w:pPr>
        <w:spacing w:after="0" w:afterLines="0"/>
        <w:ind w:firstLine="420"/>
        <w:rPr>
          <w:color w:val="000000" w:themeColor="text1"/>
          <w:szCs w:val="21"/>
        </w:rPr>
      </w:pPr>
      <w:r>
        <w:rPr>
          <w:color w:val="000000" w:themeColor="text1"/>
          <w:szCs w:val="21"/>
        </w:rPr>
        <w:t>根据土壤和地下水污染程度和环境风险的空间分布，结合土地利用类型及区域功能等因素，将评估区域划分为不同类型的治理单元，采取差异化的管控措施和修复策略。</w:t>
      </w:r>
    </w:p>
    <w:p w14:paraId="09A38684">
      <w:pPr>
        <w:pStyle w:val="2"/>
        <w:spacing w:before="312" w:after="312"/>
        <w:rPr>
          <w:rFonts w:ascii="Times New Roman" w:hAnsi="Times New Roman"/>
        </w:rPr>
      </w:pPr>
      <w:bookmarkStart w:id="21" w:name="_Toc216861698"/>
      <w:r>
        <w:rPr>
          <w:rFonts w:ascii="Times New Roman" w:hAnsi="Times New Roman"/>
        </w:rPr>
        <w:t xml:space="preserve">4 </w:t>
      </w:r>
      <w:bookmarkEnd w:id="20"/>
      <w:r>
        <w:rPr>
          <w:rFonts w:ascii="Times New Roman" w:hAnsi="Times New Roman"/>
        </w:rPr>
        <w:t>总体原则</w:t>
      </w:r>
      <w:bookmarkEnd w:id="21"/>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(下一章)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\h \* MERGEFORMAT </w:instrText>
      </w:r>
      <w:r>
        <w:rPr>
          <w:rFonts w:ascii="Times New Roman" w:hAnsi="Times New Roman"/>
        </w:rPr>
        <w:fldChar w:fldCharType="end"/>
      </w:r>
      <w:r>
        <w:rPr>
          <w:rFonts w:ascii="Times New Roman" w:hAnsi="Times New Roman"/>
        </w:rPr>
        <w:fldChar w:fldCharType="end"/>
      </w:r>
    </w:p>
    <w:p w14:paraId="04EED172">
      <w:pPr>
        <w:spacing w:after="156"/>
        <w:ind w:firstLine="422" w:firstLineChars="0"/>
        <w:rPr>
          <w:b/>
          <w:bCs/>
        </w:rPr>
      </w:pPr>
      <w:r>
        <w:rPr>
          <w:b/>
          <w:bCs/>
        </w:rPr>
        <w:t>（1）生态安全原则</w:t>
      </w:r>
    </w:p>
    <w:p w14:paraId="6152488A">
      <w:pPr>
        <w:spacing w:after="156"/>
        <w:ind w:firstLine="420"/>
      </w:pPr>
      <w:r>
        <w:t>按照重要功能区优先保护的监管思路，突出对土壤地下水功能价值且脆弱性高的区域进行优先管控，保障区域土壤、地下水生态系统健康，维护区域生态安全。</w:t>
      </w:r>
    </w:p>
    <w:p w14:paraId="4BCD63EE">
      <w:pPr>
        <w:spacing w:after="156"/>
        <w:ind w:firstLine="422"/>
        <w:rPr>
          <w:b/>
          <w:bCs/>
        </w:rPr>
      </w:pPr>
      <w:r>
        <w:rPr>
          <w:b/>
          <w:bCs/>
        </w:rPr>
        <w:t>（2）科学实用原则</w:t>
      </w:r>
    </w:p>
    <w:p w14:paraId="217F6F50">
      <w:pPr>
        <w:spacing w:after="156"/>
        <w:ind w:firstLine="420"/>
      </w:pPr>
      <w:r>
        <w:t>在科学评估与量化分析基础上，确保分区分类方法原理清晰、依据充分、操作简便易行，划分方案及对策建议符合土壤地下水环境保护需求和经济社会发展规划。</w:t>
      </w:r>
    </w:p>
    <w:p w14:paraId="42C3ABA9">
      <w:pPr>
        <w:spacing w:after="156"/>
        <w:ind w:firstLine="422"/>
        <w:rPr>
          <w:b/>
          <w:bCs/>
        </w:rPr>
      </w:pPr>
      <w:r>
        <w:rPr>
          <w:b/>
          <w:bCs/>
        </w:rPr>
        <w:t>（3）因地制宜原则</w:t>
      </w:r>
    </w:p>
    <w:p w14:paraId="679D5885">
      <w:pPr>
        <w:spacing w:after="156"/>
        <w:ind w:firstLine="420"/>
      </w:pPr>
      <w:r>
        <w:t>充分考虑集聚区自然地理条件、产业结构、环境保护目标以及数据采集现实，因地制宜选择合适的分区分类技术方法，制定符合地方实际情况的土壤地下水污染防治分区分类方案。</w:t>
      </w:r>
    </w:p>
    <w:p w14:paraId="1A59D643">
      <w:pPr>
        <w:spacing w:after="156"/>
        <w:ind w:firstLine="422"/>
        <w:rPr>
          <w:b/>
          <w:bCs/>
        </w:rPr>
      </w:pPr>
      <w:r>
        <w:rPr>
          <w:b/>
          <w:bCs/>
        </w:rPr>
        <w:t>（4）可操作性原则</w:t>
      </w:r>
    </w:p>
    <w:p w14:paraId="4DD8BE27">
      <w:pPr>
        <w:spacing w:after="156"/>
        <w:ind w:firstLine="420"/>
      </w:pPr>
      <w:r>
        <w:t>优先选用成熟、公认的体系，技术方法清晰应易于理解和执行，评估单元划分应便于与地方规划衔接，成果能有效支撑日常监管。</w:t>
      </w:r>
    </w:p>
    <w:p w14:paraId="6C822CAB">
      <w:pPr>
        <w:spacing w:after="156"/>
        <w:ind w:firstLine="422"/>
        <w:rPr>
          <w:b/>
          <w:bCs/>
        </w:rPr>
      </w:pPr>
      <w:r>
        <w:rPr>
          <w:b/>
          <w:bCs/>
        </w:rPr>
        <w:t>（5）动态优化原则</w:t>
      </w:r>
    </w:p>
    <w:p w14:paraId="24E17CCC">
      <w:pPr>
        <w:spacing w:after="156"/>
        <w:ind w:firstLine="420"/>
      </w:pPr>
      <w:r>
        <w:t>根据评估区土壤地下水污染源荷载、土壤地下水污染状况等因素的变化，结合土壤地下水环境管理要求，适时对土壤地下水污染防治分区的划分结果进行调整。</w:t>
      </w:r>
    </w:p>
    <w:p w14:paraId="64DD1C8D">
      <w:pPr>
        <w:pStyle w:val="2"/>
        <w:spacing w:before="312" w:after="312"/>
        <w:rPr>
          <w:rFonts w:ascii="Times New Roman" w:hAnsi="Times New Roman"/>
        </w:rPr>
      </w:pPr>
      <w:bookmarkStart w:id="22" w:name="_Toc216861699"/>
      <w:r>
        <w:rPr>
          <w:rFonts w:ascii="Times New Roman" w:hAnsi="Times New Roman"/>
        </w:rPr>
        <w:t>5 技术流程</w:t>
      </w:r>
      <w:bookmarkEnd w:id="22"/>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(下一章)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\h \* MERGEFORMAT </w:instrText>
      </w:r>
      <w:r>
        <w:rPr>
          <w:rFonts w:ascii="Times New Roman" w:hAnsi="Times New Roman"/>
        </w:rPr>
        <w:fldChar w:fldCharType="end"/>
      </w:r>
      <w:r>
        <w:rPr>
          <w:rFonts w:ascii="Times New Roman" w:hAnsi="Times New Roman"/>
        </w:rPr>
        <w:fldChar w:fldCharType="end"/>
      </w:r>
    </w:p>
    <w:p w14:paraId="7CEB41C5">
      <w:pPr>
        <w:spacing w:after="156"/>
        <w:ind w:firstLine="420"/>
      </w:pPr>
      <w:r>
        <w:t>针对工业集聚区污染类型多样、迁移转化机制复杂、污染防治精准性低、一体化防治模式缺乏等现实，综合考虑工业集聚区生产布局、污染物泄漏风险、土壤水文地质结构、环境脆弱性敏感性、土壤地下水污染状况等因素，建立土壤地下水污染防治分区分类分级体系，划定土壤地下水污染风险预防区、一般管控区和重点管控区，并采取差异化的管控对策和措施。主要工作内容包括划分风险评价单元、评价各单元环境风险等级、确定污染防控分区及类别、制定差异化管控对策。技术流程具体见图1。</w:t>
      </w:r>
    </w:p>
    <w:p w14:paraId="31323C5D">
      <w:pPr>
        <w:spacing w:after="156"/>
        <w:ind w:firstLine="0" w:firstLineChars="0"/>
        <w:jc w:val="center"/>
      </w:pPr>
      <w:r>
        <w:drawing>
          <wp:inline distT="0" distB="0" distL="0" distR="0">
            <wp:extent cx="4519930" cy="4146550"/>
            <wp:effectExtent l="0" t="0" r="0" b="0"/>
            <wp:docPr id="593777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7719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28753" cy="4154527"/>
                    </a:xfrm>
                    <a:prstGeom prst="rect">
                      <a:avLst/>
                    </a:prstGeom>
                    <a:noFill/>
                  </pic:spPr>
                </pic:pic>
              </a:graphicData>
            </a:graphic>
          </wp:inline>
        </w:drawing>
      </w:r>
    </w:p>
    <w:p w14:paraId="1D8E3537">
      <w:pPr>
        <w:spacing w:after="156"/>
        <w:ind w:firstLine="0" w:firstLineChars="0"/>
        <w:jc w:val="center"/>
      </w:pPr>
      <w:r>
        <w:t>图1 工作流程</w:t>
      </w:r>
    </w:p>
    <w:p w14:paraId="1A107A0A">
      <w:pPr>
        <w:spacing w:after="156"/>
        <w:ind w:firstLine="420"/>
      </w:pPr>
      <w:r>
        <w:t>工业集聚区土壤地下水污染防治分区分类工作主要分为资料信息收集、风险评价分级、风险聚类分区、风险关注度分类四个阶段：</w:t>
      </w:r>
    </w:p>
    <w:p w14:paraId="0F7184A6">
      <w:pPr>
        <w:spacing w:after="156"/>
        <w:ind w:firstLine="420"/>
      </w:pPr>
      <w:r>
        <w:t>（1）资料收集阶段：按重点行业企业用地调查信息采集技术规定，以资料收集、现场踏勘和人员访谈为主的污染识别阶段，主要收集工业集聚区基本概况、园区内入驻企业基本信息、污染源信息、迁移途径信息、敏感受体信息、地块已有的环境调查与监测信息等，为满足风险筛查与分级、差异化管控提供基础信息。。</w:t>
      </w:r>
    </w:p>
    <w:p w14:paraId="33A4BFA3">
      <w:pPr>
        <w:spacing w:after="156"/>
        <w:ind w:firstLine="420"/>
      </w:pPr>
      <w:r>
        <w:t>（2）风险评价阶段：按照“源-迁-汇”全过程管理要求建立的环境风险评价指标体系及评估方法，评价各评价单元环境风险，确定各单元环境风险等级，即高、中、低环境风险。</w:t>
      </w:r>
    </w:p>
    <w:p w14:paraId="525891ED">
      <w:pPr>
        <w:spacing w:after="156"/>
        <w:ind w:firstLine="420"/>
      </w:pPr>
      <w:r>
        <w:t xml:space="preserve">（3）聚类分区阶段：根据各评价单元环境风险指数，采用空间聚类开展土壤及地下水环境风险分区。采用空间叠置法将集聚区功能分区、土壤及地下水污染水平空间分布与环境风险分区进行耦合，结合园区功能布局，优化各类环境风险分区边界。 </w:t>
      </w:r>
    </w:p>
    <w:p w14:paraId="2AE31667">
      <w:pPr>
        <w:spacing w:after="156"/>
        <w:ind w:firstLine="420"/>
      </w:pPr>
      <w:r>
        <w:t>（4）分类管控阶段：对中高环境风险区土壤及地下水进行补充监测。根据工业集聚区土壤和地下水超标污染物、点位与园区边界位置关系、周边环境敏感度以及各分区环境风险等级，确定土壤和地下水管理风险关注度（高风险关注、中风险关注、低风险关注）。按照关注度分级将工业集聚区分为重点管控区、一般管控区及风险预防区三类，提出各类分区环境控制目标及差异化管控措施。</w:t>
      </w:r>
    </w:p>
    <w:p w14:paraId="1D70F49E">
      <w:pPr>
        <w:pStyle w:val="2"/>
        <w:spacing w:before="312" w:after="312"/>
        <w:rPr>
          <w:rFonts w:ascii="Times New Roman" w:hAnsi="Times New Roman"/>
        </w:rPr>
      </w:pPr>
      <w:bookmarkStart w:id="23" w:name="_Toc216861700"/>
      <w:r>
        <w:rPr>
          <w:rFonts w:ascii="Times New Roman" w:hAnsi="Times New Roman"/>
        </w:rPr>
        <w:t>6 前期资料收集与调研</w:t>
      </w:r>
      <w:bookmarkEnd w:id="23"/>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(下一章)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\h \* MERGEFORMAT </w:instrText>
      </w:r>
      <w:r>
        <w:rPr>
          <w:rFonts w:ascii="Times New Roman" w:hAnsi="Times New Roman"/>
        </w:rPr>
        <w:fldChar w:fldCharType="end"/>
      </w:r>
      <w:r>
        <w:rPr>
          <w:rFonts w:ascii="Times New Roman" w:hAnsi="Times New Roman"/>
        </w:rPr>
        <w:fldChar w:fldCharType="end"/>
      </w:r>
    </w:p>
    <w:p w14:paraId="6FDA4B9A">
      <w:pPr>
        <w:spacing w:after="156"/>
        <w:ind w:firstLine="420"/>
      </w:pPr>
      <w:r>
        <w:t>工业集聚区信息采集工作包括：一是通过资料收集、现场踏勘和人员访谈的方式收集各地块信息；二是核实、分析所收集的信息，填报各地块信息调查表。具体调查可参考《重点行业企业用地调查信息采集技术规定（试行）》（环办土壤[2017]67号）、《地下水环境状况调查评价工作指南》（环办土壤函[2019]770号）等文件。</w:t>
      </w:r>
    </w:p>
    <w:p w14:paraId="0281E892">
      <w:pPr>
        <w:spacing w:after="156"/>
        <w:ind w:firstLine="420"/>
      </w:pPr>
      <w:r>
        <w:t xml:space="preserve">为满足集聚区土壤地下水污染风险评价与分级、差异化管理需求，需收集的基础信息主要包括工业集聚区基础信息、企业基本信息、污染源信息、迁移途径信息、敏感受体信息、地块已有的环境调查与监测信息等（信息分类具体见附录A）。 </w:t>
      </w:r>
    </w:p>
    <w:p w14:paraId="5229B751">
      <w:pPr>
        <w:spacing w:after="156"/>
        <w:ind w:firstLine="420"/>
      </w:pPr>
      <w:r>
        <w:t>工业集聚区基本信息包括但不仅限于：区域水文地质报告、集聚区规划环境影响报告、园区平面布置图、基础设施及运行概况、土壤和地下水环境调查监测数据、调查评估数据、环境统计台帐等。</w:t>
      </w:r>
    </w:p>
    <w:p w14:paraId="75E87A2F">
      <w:pPr>
        <w:spacing w:after="156"/>
        <w:ind w:firstLine="420"/>
      </w:pPr>
      <w:r>
        <w:t>企业基本信息包括但不仅限于：企业地理位置、企业类型、企业规模、行业类别、地块面积、地块利用历史，企业平面布置图、主要产品和原辅村料、三废排放及处理、企业环境管理等。</w:t>
      </w:r>
    </w:p>
    <w:p w14:paraId="267F1716">
      <w:pPr>
        <w:spacing w:after="156"/>
        <w:ind w:firstLine="420"/>
      </w:pPr>
      <w:r>
        <w:t>迁移途径信息包括但不仅限于：土壤质地、地面覆盖、土壤分层、地下水埋深、地下水流向、降雨量、土壤渗透性等。</w:t>
      </w:r>
    </w:p>
    <w:p w14:paraId="34E9A737">
      <w:pPr>
        <w:spacing w:after="156"/>
        <w:ind w:firstLine="420"/>
      </w:pPr>
      <w:r>
        <w:t>敏感受体信息包括但不仅限于：人口数量、敏感目标分布、地下水用途、地表水功能等。</w:t>
      </w:r>
    </w:p>
    <w:p w14:paraId="64360830">
      <w:pPr>
        <w:pStyle w:val="2"/>
        <w:spacing w:before="312" w:after="312"/>
        <w:rPr>
          <w:rFonts w:ascii="Times New Roman" w:hAnsi="Times New Roman"/>
        </w:rPr>
      </w:pPr>
      <w:bookmarkStart w:id="24" w:name="_Toc216861701"/>
      <w:r>
        <w:rPr>
          <w:rFonts w:ascii="Times New Roman" w:hAnsi="Times New Roman"/>
        </w:rPr>
        <w:t>7 土壤-地下水污染风险评价</w:t>
      </w:r>
      <w:bookmarkEnd w:id="24"/>
      <w:r>
        <w:rPr>
          <w:rFonts w:ascii="Times New Roman" w:hAnsi="Times New Roman"/>
        </w:rPr>
        <w:fldChar w:fldCharType="begin"/>
      </w:r>
      <w:r>
        <w:rPr>
          <w:rFonts w:ascii="Times New Roman" w:hAnsi="Times New Roman"/>
        </w:rPr>
        <w:instrText xml:space="preserve"> MACROBUTTON MTEditEquationSection2 </w:instrText>
      </w:r>
      <w:r>
        <w:rPr>
          <w:rStyle w:val="29"/>
          <w:rFonts w:hint="eastAsia"/>
        </w:rPr>
        <w:instrText xml:space="preserve">公式章 7 节 1</w:instrTex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MTEqn \r \h \* MERGEFORMAT</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MTSec \r 1 \h \* MERGEFORMAT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SEQ MTChap \r 7 \h \* MERGEFORMAT </w:instrText>
      </w:r>
      <w:r>
        <w:rPr>
          <w:rFonts w:ascii="Times New Roman" w:hAnsi="Times New Roman"/>
        </w:rPr>
        <w:fldChar w:fldCharType="end"/>
      </w:r>
      <w:r>
        <w:rPr>
          <w:rFonts w:ascii="Times New Roman" w:hAnsi="Times New Roman"/>
        </w:rPr>
        <w:fldChar w:fldCharType="end"/>
      </w:r>
    </w:p>
    <w:p w14:paraId="30338A4F">
      <w:pPr>
        <w:pStyle w:val="3"/>
        <w:spacing w:after="156"/>
        <w:rPr>
          <w:rFonts w:ascii="Times New Roman" w:hAnsi="Times New Roman" w:cs="Times New Roman"/>
        </w:rPr>
      </w:pPr>
      <w:r>
        <w:rPr>
          <w:rFonts w:ascii="Times New Roman" w:hAnsi="Times New Roman" w:cs="Times New Roman"/>
        </w:rPr>
        <w:t>7.1 评价单元划分</w:t>
      </w:r>
    </w:p>
    <w:p w14:paraId="21B613A5">
      <w:pPr>
        <w:pStyle w:val="4"/>
        <w:spacing w:after="156"/>
        <w:rPr>
          <w:rFonts w:ascii="Times New Roman" w:hAnsi="Times New Roman"/>
        </w:rPr>
      </w:pPr>
      <w:r>
        <w:rPr>
          <w:rFonts w:ascii="Times New Roman" w:hAnsi="Times New Roman"/>
        </w:rPr>
        <w:t>7.1.1评价范围确定</w:t>
      </w:r>
    </w:p>
    <w:p w14:paraId="34B3B73D">
      <w:pPr>
        <w:spacing w:after="156"/>
        <w:ind w:firstLine="420"/>
      </w:pPr>
      <w:r>
        <w:t>工业集聚区土壤地下水风险评价单元划分以园区规划红线为边界。土壤、地下水检测可根据区域现状延伸至红线外500米。</w:t>
      </w:r>
    </w:p>
    <w:p w14:paraId="6A17F927">
      <w:pPr>
        <w:pStyle w:val="4"/>
        <w:spacing w:after="156"/>
        <w:rPr>
          <w:rFonts w:ascii="Times New Roman" w:hAnsi="Times New Roman"/>
        </w:rPr>
      </w:pPr>
      <w:r>
        <w:rPr>
          <w:rFonts w:ascii="Times New Roman" w:hAnsi="Times New Roman"/>
        </w:rPr>
        <w:t>7.1.2评价单元划分</w:t>
      </w:r>
    </w:p>
    <w:p w14:paraId="4E544EE3">
      <w:pPr>
        <w:spacing w:after="156"/>
        <w:ind w:firstLine="420"/>
      </w:pPr>
      <w:r>
        <w:t>基于数据的可获得性，以单个企业地块作为一个评价单元。对于大型企业，也可根据其功能布局进一步划分2个或2个以上评价单元。如果企业地块面积过小，可根据实际情况与周边评估单位合并成一个单元。</w:t>
      </w:r>
    </w:p>
    <w:p w14:paraId="0DA5EFBC">
      <w:pPr>
        <w:pStyle w:val="3"/>
        <w:spacing w:after="156"/>
        <w:rPr>
          <w:rFonts w:ascii="Times New Roman" w:hAnsi="Times New Roman" w:cs="Times New Roman"/>
        </w:rPr>
      </w:pPr>
      <w:r>
        <w:rPr>
          <w:rFonts w:ascii="Times New Roman" w:hAnsi="Times New Roman" w:cs="Times New Roman"/>
        </w:rPr>
        <w:t>7.2 评价指标体系</w:t>
      </w:r>
    </w:p>
    <w:p w14:paraId="3C8E7023">
      <w:pPr>
        <w:spacing w:after="156"/>
        <w:ind w:firstLine="420"/>
      </w:pPr>
      <w:r>
        <w:t>针对工业园区污染物类型多样、场地信息不全等现实，基于“源-过程-受体”理论，综合考虑污染物泄露、迁移以及进入受纳环境的全过程，同时结合数据的可得性，筛选出操作性强、适用性广的评价指标，分别构建土壤和地下水的环境风险评价指标。</w:t>
      </w:r>
    </w:p>
    <w:p w14:paraId="182D74BB">
      <w:pPr>
        <w:spacing w:after="156"/>
        <w:ind w:firstLine="420"/>
      </w:pPr>
      <w:r>
        <w:t>环境风险评价指标包括三个级别，其中一级指标按“源-迁-汇”三个过程分别设置了污染源释放风险、污染物迁移扩散风险以及受纳环境对污染物敏感性。二级指标从污染物可能泄露量、评价单元外来迁入量、污染物性质、泄露风险等表征源强指数；从污染物迁移降解性能和环境介质性能表征污染物迁移能力；从区域环境现状与周边敏感目标来表征受体环境脆弱性。三级指标是二级指标的具体分解，表1罗列了相应的建议指标，实际应用</w:t>
      </w:r>
      <w:r>
        <w:rPr>
          <w:rFonts w:hint="eastAsia"/>
        </w:rPr>
        <w:t>时可</w:t>
      </w:r>
      <w:r>
        <w:t>在表1基础上，根据数据的可获得性、参照</w:t>
      </w:r>
      <w:r>
        <w:rPr>
          <w:color w:val="000000" w:themeColor="text1"/>
          <w:szCs w:val="21"/>
        </w:rPr>
        <w:t>HJ 25.3等标准</w:t>
      </w:r>
      <w:r>
        <w:rPr>
          <w:rFonts w:hint="eastAsia"/>
        </w:rPr>
        <w:t>对指标进行部分</w:t>
      </w:r>
      <w:r>
        <w:t>调整。</w:t>
      </w:r>
    </w:p>
    <w:p w14:paraId="278E2A90">
      <w:pPr>
        <w:tabs>
          <w:tab w:val="left" w:pos="709"/>
        </w:tabs>
        <w:spacing w:after="156"/>
        <w:ind w:firstLine="0" w:firstLineChars="0"/>
        <w:jc w:val="center"/>
        <w:rPr>
          <w:rFonts w:eastAsia="黑体"/>
        </w:rPr>
      </w:pPr>
      <w:r>
        <w:rPr>
          <w:rFonts w:eastAsia="黑体"/>
        </w:rPr>
        <w:t>表1 土壤地下水污染环境风险评价指标体系</w:t>
      </w:r>
    </w:p>
    <w:tbl>
      <w:tblPr>
        <w:tblStyle w:val="12"/>
        <w:tblW w:w="87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2367"/>
        <w:gridCol w:w="4252"/>
      </w:tblGrid>
      <w:tr w14:paraId="6EFC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Align w:val="center"/>
          </w:tcPr>
          <w:p w14:paraId="79A4411C">
            <w:pPr>
              <w:pStyle w:val="5"/>
              <w:spacing w:after="156"/>
              <w:jc w:val="center"/>
              <w:rPr>
                <w:b/>
                <w:bCs/>
              </w:rPr>
            </w:pPr>
            <w:bookmarkStart w:id="25" w:name="OLE_LINK2"/>
            <w:r>
              <w:rPr>
                <w:b/>
                <w:bCs/>
              </w:rPr>
              <w:t>一级指标</w:t>
            </w:r>
          </w:p>
        </w:tc>
        <w:tc>
          <w:tcPr>
            <w:tcW w:w="2367" w:type="dxa"/>
            <w:vAlign w:val="center"/>
          </w:tcPr>
          <w:p w14:paraId="2D62BB72">
            <w:pPr>
              <w:pStyle w:val="5"/>
              <w:spacing w:after="156"/>
              <w:jc w:val="center"/>
              <w:rPr>
                <w:b/>
                <w:bCs/>
              </w:rPr>
            </w:pPr>
            <w:r>
              <w:rPr>
                <w:b/>
                <w:bCs/>
              </w:rPr>
              <w:t>二级指标</w:t>
            </w:r>
          </w:p>
        </w:tc>
        <w:tc>
          <w:tcPr>
            <w:tcW w:w="4252" w:type="dxa"/>
            <w:vAlign w:val="center"/>
          </w:tcPr>
          <w:p w14:paraId="3FBDCA06">
            <w:pPr>
              <w:pStyle w:val="5"/>
              <w:spacing w:after="156"/>
              <w:jc w:val="center"/>
              <w:rPr>
                <w:b/>
                <w:bCs/>
                <w:lang w:eastAsia="zh-CN"/>
              </w:rPr>
            </w:pPr>
            <w:r>
              <w:rPr>
                <w:b/>
                <w:bCs/>
              </w:rPr>
              <w:t>三级指标</w:t>
            </w:r>
            <w:r>
              <w:rPr>
                <w:b/>
                <w:bCs/>
                <w:lang w:eastAsia="zh-CN"/>
              </w:rPr>
              <w:t>（建议）</w:t>
            </w:r>
          </w:p>
        </w:tc>
      </w:tr>
      <w:tr w14:paraId="1EEA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restart"/>
            <w:vAlign w:val="center"/>
          </w:tcPr>
          <w:p w14:paraId="2B9BC433">
            <w:pPr>
              <w:pStyle w:val="5"/>
              <w:spacing w:after="156"/>
              <w:jc w:val="center"/>
              <w:rPr>
                <w:lang w:eastAsia="zh-CN"/>
              </w:rPr>
            </w:pPr>
            <w:r>
              <w:rPr>
                <w:lang w:eastAsia="zh-CN"/>
              </w:rPr>
              <w:t>污染源荷载指数P</w:t>
            </w:r>
          </w:p>
        </w:tc>
        <w:tc>
          <w:tcPr>
            <w:tcW w:w="2367" w:type="dxa"/>
            <w:vAlign w:val="center"/>
          </w:tcPr>
          <w:p w14:paraId="72F44C54">
            <w:pPr>
              <w:pStyle w:val="5"/>
              <w:spacing w:after="156"/>
              <w:jc w:val="center"/>
            </w:pPr>
            <w:r>
              <w:rPr>
                <w:lang w:eastAsia="zh-CN"/>
              </w:rPr>
              <w:t>污染物源强Q</w:t>
            </w:r>
            <w:r>
              <w:rPr>
                <w:vertAlign w:val="subscript"/>
                <w:lang w:eastAsia="zh-CN"/>
              </w:rPr>
              <w:t>1</w:t>
            </w:r>
          </w:p>
        </w:tc>
        <w:tc>
          <w:tcPr>
            <w:tcW w:w="4252" w:type="dxa"/>
            <w:vAlign w:val="center"/>
          </w:tcPr>
          <w:p w14:paraId="21213318">
            <w:pPr>
              <w:pStyle w:val="5"/>
              <w:spacing w:after="156"/>
              <w:ind w:firstLine="105" w:firstLineChars="50"/>
              <w:rPr>
                <w:lang w:eastAsia="zh-CN"/>
              </w:rPr>
            </w:pPr>
            <w:bookmarkStart w:id="26" w:name="OLE_LINK7"/>
            <w:r>
              <w:rPr>
                <w:lang w:eastAsia="zh-CN"/>
              </w:rPr>
              <w:t>原辅材料中有毒有害物质总量（q</w:t>
            </w:r>
            <w:r>
              <w:rPr>
                <w:vertAlign w:val="subscript"/>
                <w:lang w:eastAsia="zh-CN"/>
              </w:rPr>
              <w:t>1</w:t>
            </w:r>
            <w:r>
              <w:rPr>
                <w:lang w:eastAsia="zh-CN"/>
              </w:rPr>
              <w:t>吨）</w:t>
            </w:r>
          </w:p>
          <w:p w14:paraId="11B1EDDF">
            <w:pPr>
              <w:pStyle w:val="5"/>
              <w:spacing w:after="156"/>
              <w:ind w:firstLine="105" w:firstLineChars="50"/>
              <w:rPr>
                <w:lang w:eastAsia="zh-CN"/>
              </w:rPr>
            </w:pPr>
            <w:r>
              <w:rPr>
                <w:lang w:eastAsia="zh-CN"/>
              </w:rPr>
              <w:t>一般固废年贮存量（q</w:t>
            </w:r>
            <w:r>
              <w:rPr>
                <w:vertAlign w:val="subscript"/>
                <w:lang w:eastAsia="zh-CN"/>
              </w:rPr>
              <w:t>2</w:t>
            </w:r>
            <w:r>
              <w:rPr>
                <w:lang w:eastAsia="zh-CN"/>
              </w:rPr>
              <w:t>吨）</w:t>
            </w:r>
          </w:p>
          <w:p w14:paraId="71FF48CB">
            <w:pPr>
              <w:pStyle w:val="5"/>
              <w:spacing w:after="156"/>
              <w:ind w:firstLine="105" w:firstLineChars="50"/>
              <w:rPr>
                <w:lang w:eastAsia="zh-CN"/>
              </w:rPr>
            </w:pPr>
            <w:r>
              <w:rPr>
                <w:lang w:eastAsia="zh-CN"/>
              </w:rPr>
              <w:t>危险固废年贮存量（q</w:t>
            </w:r>
            <w:r>
              <w:rPr>
                <w:vertAlign w:val="subscript"/>
                <w:lang w:eastAsia="zh-CN"/>
              </w:rPr>
              <w:t>3</w:t>
            </w:r>
            <w:r>
              <w:rPr>
                <w:lang w:eastAsia="zh-CN"/>
              </w:rPr>
              <w:t>吨）</w:t>
            </w:r>
          </w:p>
          <w:p w14:paraId="69988A35">
            <w:pPr>
              <w:pStyle w:val="5"/>
              <w:spacing w:after="156"/>
              <w:ind w:firstLine="105" w:firstLineChars="50"/>
              <w:rPr>
                <w:lang w:eastAsia="zh-CN"/>
              </w:rPr>
            </w:pPr>
            <w:r>
              <w:rPr>
                <w:lang w:eastAsia="zh-CN"/>
              </w:rPr>
              <w:t>废水管控水平（d</w:t>
            </w:r>
            <w:r>
              <w:rPr>
                <w:vertAlign w:val="subscript"/>
                <w:lang w:eastAsia="zh-CN"/>
              </w:rPr>
              <w:t>1</w:t>
            </w:r>
            <w:r>
              <w:rPr>
                <w:lang w:eastAsia="zh-CN"/>
              </w:rPr>
              <w:t>）</w:t>
            </w:r>
          </w:p>
          <w:p w14:paraId="1BFAF3D7">
            <w:pPr>
              <w:pStyle w:val="5"/>
              <w:spacing w:after="156"/>
              <w:ind w:firstLine="105" w:firstLineChars="50"/>
              <w:rPr>
                <w:lang w:eastAsia="zh-CN"/>
              </w:rPr>
            </w:pPr>
            <w:r>
              <w:rPr>
                <w:lang w:eastAsia="zh-CN"/>
              </w:rPr>
              <w:t>废气管控水平（d</w:t>
            </w:r>
            <w:r>
              <w:rPr>
                <w:vertAlign w:val="subscript"/>
                <w:lang w:eastAsia="zh-CN"/>
              </w:rPr>
              <w:t>2</w:t>
            </w:r>
            <w:r>
              <w:rPr>
                <w:lang w:eastAsia="zh-CN"/>
              </w:rPr>
              <w:t>）</w:t>
            </w:r>
          </w:p>
          <w:p w14:paraId="056937C1">
            <w:pPr>
              <w:pStyle w:val="5"/>
              <w:spacing w:after="156"/>
              <w:ind w:firstLine="105" w:firstLineChars="50"/>
              <w:rPr>
                <w:lang w:eastAsia="zh-CN"/>
              </w:rPr>
            </w:pPr>
            <w:r>
              <w:rPr>
                <w:lang w:eastAsia="zh-CN"/>
              </w:rPr>
              <w:t>一般固废管控水平（d</w:t>
            </w:r>
            <w:r>
              <w:rPr>
                <w:vertAlign w:val="subscript"/>
                <w:lang w:eastAsia="zh-CN"/>
              </w:rPr>
              <w:t>3</w:t>
            </w:r>
            <w:r>
              <w:rPr>
                <w:lang w:eastAsia="zh-CN"/>
              </w:rPr>
              <w:t>）</w:t>
            </w:r>
          </w:p>
          <w:p w14:paraId="308CA6E1">
            <w:pPr>
              <w:pStyle w:val="5"/>
              <w:spacing w:after="156"/>
              <w:ind w:firstLine="105" w:firstLineChars="50"/>
              <w:rPr>
                <w:lang w:eastAsia="zh-CN"/>
              </w:rPr>
            </w:pPr>
            <w:r>
              <w:rPr>
                <w:lang w:eastAsia="zh-CN"/>
              </w:rPr>
              <w:t>危险固废管控水平（d</w:t>
            </w:r>
            <w:r>
              <w:rPr>
                <w:vertAlign w:val="subscript"/>
                <w:lang w:eastAsia="zh-CN"/>
              </w:rPr>
              <w:t>4</w:t>
            </w:r>
            <w:bookmarkEnd w:id="26"/>
            <w:r>
              <w:rPr>
                <w:lang w:eastAsia="zh-CN"/>
              </w:rPr>
              <w:t>）</w:t>
            </w:r>
          </w:p>
        </w:tc>
      </w:tr>
      <w:tr w14:paraId="73064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continue"/>
            <w:vAlign w:val="center"/>
          </w:tcPr>
          <w:p w14:paraId="31258A17">
            <w:pPr>
              <w:pStyle w:val="5"/>
              <w:spacing w:after="156"/>
              <w:ind w:firstLine="420"/>
              <w:jc w:val="center"/>
              <w:rPr>
                <w:lang w:eastAsia="zh-CN"/>
              </w:rPr>
            </w:pPr>
          </w:p>
        </w:tc>
        <w:tc>
          <w:tcPr>
            <w:tcW w:w="2367" w:type="dxa"/>
            <w:vAlign w:val="center"/>
          </w:tcPr>
          <w:p w14:paraId="082F661B">
            <w:pPr>
              <w:pStyle w:val="5"/>
              <w:spacing w:after="156"/>
              <w:jc w:val="center"/>
              <w:rPr>
                <w:lang w:eastAsia="zh-CN"/>
              </w:rPr>
            </w:pPr>
            <w:r>
              <w:rPr>
                <w:rFonts w:hint="eastAsia"/>
                <w:lang w:eastAsia="zh-CN"/>
              </w:rPr>
              <w:t>同类源输入</w:t>
            </w:r>
            <w:r>
              <w:rPr>
                <w:lang w:eastAsia="zh-CN"/>
              </w:rPr>
              <w:t>Q</w:t>
            </w:r>
            <w:r>
              <w:rPr>
                <w:vertAlign w:val="subscript"/>
                <w:lang w:eastAsia="zh-CN"/>
              </w:rPr>
              <w:t>2</w:t>
            </w:r>
          </w:p>
        </w:tc>
        <w:tc>
          <w:tcPr>
            <w:tcW w:w="4252" w:type="dxa"/>
            <w:vAlign w:val="center"/>
          </w:tcPr>
          <w:p w14:paraId="57C827E6">
            <w:pPr>
              <w:pStyle w:val="5"/>
              <w:spacing w:after="156"/>
              <w:ind w:firstLine="105" w:firstLineChars="50"/>
              <w:rPr>
                <w:lang w:eastAsia="zh-CN"/>
              </w:rPr>
            </w:pPr>
            <w:r>
              <w:rPr>
                <w:lang w:eastAsia="zh-CN"/>
              </w:rPr>
              <w:t>*</w:t>
            </w:r>
            <w:r>
              <w:rPr>
                <w:rFonts w:hint="eastAsia"/>
                <w:lang w:eastAsia="zh-CN"/>
              </w:rPr>
              <w:t>评价单元周边相邻地块同类源潜在输入</w:t>
            </w:r>
          </w:p>
          <w:p w14:paraId="1D6CD3CE">
            <w:pPr>
              <w:pStyle w:val="5"/>
              <w:spacing w:after="156"/>
              <w:ind w:firstLine="105" w:firstLineChars="50"/>
              <w:rPr>
                <w:lang w:eastAsia="zh-CN"/>
              </w:rPr>
            </w:pPr>
            <w:r>
              <w:rPr>
                <w:rFonts w:hint="eastAsia"/>
                <w:lang w:eastAsia="zh-CN"/>
              </w:rPr>
              <w:t>地下水上游同类源潜在输入</w:t>
            </w:r>
          </w:p>
        </w:tc>
      </w:tr>
      <w:tr w14:paraId="49B8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continue"/>
            <w:vAlign w:val="center"/>
          </w:tcPr>
          <w:p w14:paraId="31203E81">
            <w:pPr>
              <w:pStyle w:val="5"/>
              <w:spacing w:after="156"/>
              <w:ind w:firstLine="420"/>
              <w:jc w:val="center"/>
              <w:rPr>
                <w:lang w:eastAsia="zh-CN"/>
              </w:rPr>
            </w:pPr>
          </w:p>
        </w:tc>
        <w:tc>
          <w:tcPr>
            <w:tcW w:w="2367" w:type="dxa"/>
            <w:vAlign w:val="center"/>
          </w:tcPr>
          <w:p w14:paraId="5ABB3D7D">
            <w:pPr>
              <w:pStyle w:val="5"/>
              <w:spacing w:after="156"/>
              <w:jc w:val="center"/>
            </w:pPr>
            <w:bookmarkStart w:id="27" w:name="OLE_LINK6"/>
            <w:r>
              <w:t>污染物毒性</w:t>
            </w:r>
            <w:bookmarkEnd w:id="27"/>
            <w:r>
              <w:rPr>
                <w:lang w:eastAsia="zh-CN"/>
              </w:rPr>
              <w:t>T</w:t>
            </w:r>
          </w:p>
        </w:tc>
        <w:tc>
          <w:tcPr>
            <w:tcW w:w="4252" w:type="dxa"/>
            <w:vAlign w:val="center"/>
          </w:tcPr>
          <w:p w14:paraId="5C32D374">
            <w:pPr>
              <w:pStyle w:val="5"/>
              <w:spacing w:after="156"/>
              <w:ind w:firstLine="105" w:firstLineChars="50"/>
            </w:pPr>
            <w:bookmarkStart w:id="28" w:name="OLE_LINK8"/>
            <w:r>
              <w:t>致癌斜率因子（</w:t>
            </w:r>
            <w:r>
              <w:rPr>
                <w:lang w:eastAsia="zh-CN"/>
              </w:rPr>
              <w:t>SF, mg/kg·day</w:t>
            </w:r>
            <w:r>
              <w:t>）</w:t>
            </w:r>
          </w:p>
          <w:p w14:paraId="24E6EA53">
            <w:pPr>
              <w:pStyle w:val="5"/>
              <w:spacing w:after="156"/>
              <w:ind w:firstLine="105" w:firstLineChars="50"/>
            </w:pPr>
            <w:r>
              <w:t>非致癌参考剂量（</w:t>
            </w:r>
            <w:r>
              <w:rPr>
                <w:lang w:eastAsia="zh-CN"/>
              </w:rPr>
              <w:t>RfD, mg/kg·day</w:t>
            </w:r>
            <w:r>
              <w:t>）</w:t>
            </w:r>
            <w:bookmarkEnd w:id="28"/>
          </w:p>
        </w:tc>
      </w:tr>
      <w:tr w14:paraId="63D33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continue"/>
            <w:vAlign w:val="center"/>
          </w:tcPr>
          <w:p w14:paraId="3BE99C3C">
            <w:pPr>
              <w:pStyle w:val="5"/>
              <w:spacing w:after="156"/>
              <w:ind w:firstLine="420"/>
              <w:jc w:val="center"/>
            </w:pPr>
          </w:p>
        </w:tc>
        <w:tc>
          <w:tcPr>
            <w:tcW w:w="2367" w:type="dxa"/>
            <w:vAlign w:val="center"/>
          </w:tcPr>
          <w:p w14:paraId="14990CC8">
            <w:pPr>
              <w:pStyle w:val="5"/>
              <w:spacing w:after="156"/>
              <w:jc w:val="center"/>
            </w:pPr>
            <w:r>
              <w:t>泄漏风险</w:t>
            </w:r>
            <w:r>
              <w:rPr>
                <w:lang w:eastAsia="zh-CN"/>
              </w:rPr>
              <w:t>L</w:t>
            </w:r>
          </w:p>
        </w:tc>
        <w:tc>
          <w:tcPr>
            <w:tcW w:w="4252" w:type="dxa"/>
            <w:vAlign w:val="center"/>
          </w:tcPr>
          <w:p w14:paraId="4E8C0835">
            <w:pPr>
              <w:pStyle w:val="5"/>
              <w:spacing w:after="156"/>
              <w:ind w:firstLine="105" w:firstLineChars="50"/>
              <w:rPr>
                <w:lang w:eastAsia="zh-CN"/>
              </w:rPr>
            </w:pPr>
            <w:bookmarkStart w:id="29" w:name="OLE_LINK9"/>
            <w:r>
              <w:rPr>
                <w:lang w:eastAsia="zh-CN"/>
              </w:rPr>
              <w:t>三年内企业违法行为（L</w:t>
            </w:r>
            <w:r>
              <w:rPr>
                <w:vertAlign w:val="subscript"/>
                <w:lang w:eastAsia="zh-CN"/>
              </w:rPr>
              <w:t>1</w:t>
            </w:r>
            <w:r>
              <w:rPr>
                <w:lang w:eastAsia="zh-CN"/>
              </w:rPr>
              <w:t>）</w:t>
            </w:r>
          </w:p>
          <w:p w14:paraId="6D23B1E4">
            <w:pPr>
              <w:pStyle w:val="5"/>
              <w:spacing w:after="156"/>
              <w:ind w:firstLine="105" w:firstLineChars="50"/>
              <w:rPr>
                <w:lang w:eastAsia="zh-CN"/>
              </w:rPr>
            </w:pPr>
            <w:r>
              <w:rPr>
                <w:lang w:eastAsia="zh-CN"/>
              </w:rPr>
              <w:t>重点区域地表覆盖(L</w:t>
            </w:r>
            <w:r>
              <w:rPr>
                <w:vertAlign w:val="subscript"/>
                <w:lang w:eastAsia="zh-CN"/>
              </w:rPr>
              <w:t>2</w:t>
            </w:r>
            <w:r>
              <w:rPr>
                <w:lang w:eastAsia="zh-CN"/>
              </w:rPr>
              <w:t>)</w:t>
            </w:r>
          </w:p>
          <w:p w14:paraId="0D6C7377">
            <w:pPr>
              <w:pStyle w:val="5"/>
              <w:spacing w:after="156"/>
              <w:ind w:firstLine="105" w:firstLineChars="50"/>
              <w:rPr>
                <w:lang w:eastAsia="zh-CN"/>
              </w:rPr>
            </w:pPr>
            <w:r>
              <w:rPr>
                <w:lang w:eastAsia="zh-CN"/>
              </w:rPr>
              <w:t>地下防渗措施(L</w:t>
            </w:r>
            <w:r>
              <w:rPr>
                <w:vertAlign w:val="subscript"/>
                <w:lang w:eastAsia="zh-CN"/>
              </w:rPr>
              <w:t>3</w:t>
            </w:r>
            <w:r>
              <w:rPr>
                <w:lang w:eastAsia="zh-CN"/>
              </w:rPr>
              <w:t>)</w:t>
            </w:r>
          </w:p>
          <w:p w14:paraId="1496449F">
            <w:pPr>
              <w:pStyle w:val="5"/>
              <w:spacing w:after="156"/>
              <w:ind w:firstLine="105" w:firstLineChars="50"/>
            </w:pPr>
            <w:r>
              <w:t>生产经营时间（</w:t>
            </w:r>
            <w:r>
              <w:rPr>
                <w:lang w:eastAsia="zh-CN"/>
              </w:rPr>
              <w:t>L</w:t>
            </w:r>
            <w:r>
              <w:rPr>
                <w:vertAlign w:val="subscript"/>
                <w:lang w:eastAsia="zh-CN"/>
              </w:rPr>
              <w:t>4</w:t>
            </w:r>
            <w:r>
              <w:t>）</w:t>
            </w:r>
            <w:bookmarkEnd w:id="29"/>
          </w:p>
        </w:tc>
      </w:tr>
      <w:tr w14:paraId="47EC5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restart"/>
            <w:vAlign w:val="center"/>
          </w:tcPr>
          <w:p w14:paraId="7172D420">
            <w:pPr>
              <w:pStyle w:val="5"/>
              <w:spacing w:after="156"/>
              <w:jc w:val="center"/>
              <w:rPr>
                <w:lang w:eastAsia="zh-CN"/>
              </w:rPr>
            </w:pPr>
            <w:r>
              <w:rPr>
                <w:lang w:eastAsia="zh-CN"/>
              </w:rPr>
              <w:t>污染迁移指数M</w:t>
            </w:r>
          </w:p>
        </w:tc>
        <w:tc>
          <w:tcPr>
            <w:tcW w:w="2367" w:type="dxa"/>
            <w:vAlign w:val="center"/>
          </w:tcPr>
          <w:p w14:paraId="15F3FD7F">
            <w:pPr>
              <w:pStyle w:val="5"/>
              <w:spacing w:after="156"/>
              <w:jc w:val="center"/>
              <w:rPr>
                <w:lang w:eastAsia="zh-CN"/>
              </w:rPr>
            </w:pPr>
            <w:r>
              <w:rPr>
                <w:lang w:eastAsia="zh-CN"/>
              </w:rPr>
              <w:t>污染物迁移属性M</w:t>
            </w:r>
            <w:r>
              <w:rPr>
                <w:vertAlign w:val="subscript"/>
                <w:lang w:eastAsia="zh-CN"/>
              </w:rPr>
              <w:t>1</w:t>
            </w:r>
          </w:p>
        </w:tc>
        <w:tc>
          <w:tcPr>
            <w:tcW w:w="4252" w:type="dxa"/>
            <w:vAlign w:val="center"/>
          </w:tcPr>
          <w:p w14:paraId="4C50A9EF">
            <w:pPr>
              <w:pStyle w:val="5"/>
              <w:spacing w:after="156"/>
              <w:ind w:firstLine="105" w:firstLineChars="50"/>
              <w:rPr>
                <w:lang w:eastAsia="zh-CN"/>
              </w:rPr>
            </w:pPr>
            <w:bookmarkStart w:id="30" w:name="OLE_LINK10"/>
            <w:r>
              <w:rPr>
                <w:lang w:eastAsia="zh-CN"/>
              </w:rPr>
              <w:t>溶解度（SO，mg/L）</w:t>
            </w:r>
          </w:p>
          <w:p w14:paraId="4D940386">
            <w:pPr>
              <w:pStyle w:val="5"/>
              <w:spacing w:after="156"/>
              <w:ind w:firstLine="105" w:firstLineChars="50"/>
              <w:rPr>
                <w:lang w:eastAsia="zh-CN"/>
              </w:rPr>
            </w:pPr>
            <w:r>
              <w:rPr>
                <w:lang w:eastAsia="zh-CN"/>
              </w:rPr>
              <w:t>分配系数（Kd，L/kg）</w:t>
            </w:r>
          </w:p>
          <w:p w14:paraId="696F1FCA">
            <w:pPr>
              <w:pStyle w:val="5"/>
              <w:spacing w:after="156"/>
              <w:ind w:firstLine="105" w:firstLineChars="50"/>
              <w:rPr>
                <w:lang w:eastAsia="zh-CN"/>
              </w:rPr>
            </w:pPr>
            <w:r>
              <w:rPr>
                <w:lang w:eastAsia="zh-CN"/>
              </w:rPr>
              <w:t>污染物可降解性（D）</w:t>
            </w:r>
            <w:bookmarkEnd w:id="30"/>
          </w:p>
          <w:p w14:paraId="42581361">
            <w:pPr>
              <w:pStyle w:val="5"/>
              <w:spacing w:after="156"/>
              <w:ind w:firstLine="105" w:firstLineChars="50"/>
              <w:rPr>
                <w:lang w:eastAsia="zh-CN"/>
              </w:rPr>
            </w:pPr>
            <w:r>
              <w:rPr>
                <w:lang w:eastAsia="zh-CN"/>
              </w:rPr>
              <w:t>污染物挥发性（H）</w:t>
            </w:r>
          </w:p>
        </w:tc>
      </w:tr>
      <w:tr w14:paraId="3C548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continue"/>
            <w:vAlign w:val="center"/>
          </w:tcPr>
          <w:p w14:paraId="51219912">
            <w:pPr>
              <w:pStyle w:val="5"/>
              <w:spacing w:after="156"/>
              <w:jc w:val="center"/>
              <w:rPr>
                <w:lang w:eastAsia="zh-CN"/>
              </w:rPr>
            </w:pPr>
          </w:p>
        </w:tc>
        <w:tc>
          <w:tcPr>
            <w:tcW w:w="2367" w:type="dxa"/>
            <w:vAlign w:val="center"/>
          </w:tcPr>
          <w:p w14:paraId="69C4F68B">
            <w:pPr>
              <w:pStyle w:val="5"/>
              <w:spacing w:after="156"/>
              <w:jc w:val="center"/>
              <w:rPr>
                <w:lang w:eastAsia="zh-CN"/>
              </w:rPr>
            </w:pPr>
            <w:r>
              <w:rPr>
                <w:lang w:eastAsia="zh-CN"/>
              </w:rPr>
              <w:t>环境介质输送属性M</w:t>
            </w:r>
            <w:r>
              <w:rPr>
                <w:vertAlign w:val="subscript"/>
                <w:lang w:eastAsia="zh-CN"/>
              </w:rPr>
              <w:t>2</w:t>
            </w:r>
          </w:p>
        </w:tc>
        <w:tc>
          <w:tcPr>
            <w:tcW w:w="4252" w:type="dxa"/>
            <w:vAlign w:val="center"/>
          </w:tcPr>
          <w:p w14:paraId="443316D3">
            <w:pPr>
              <w:pStyle w:val="5"/>
              <w:spacing w:after="156"/>
              <w:ind w:firstLine="105" w:firstLineChars="50"/>
              <w:rPr>
                <w:lang w:eastAsia="zh-CN"/>
              </w:rPr>
            </w:pPr>
            <w:r>
              <w:rPr>
                <w:lang w:eastAsia="zh-CN"/>
              </w:rPr>
              <w:t>*包气带土壤渗透性(P</w:t>
            </w:r>
            <w:r>
              <w:rPr>
                <w:vertAlign w:val="subscript"/>
                <w:lang w:eastAsia="zh-CN"/>
              </w:rPr>
              <w:t>1</w:t>
            </w:r>
            <w:r>
              <w:rPr>
                <w:lang w:eastAsia="zh-CN"/>
              </w:rPr>
              <w:t>)</w:t>
            </w:r>
          </w:p>
          <w:p w14:paraId="76FF7ECE">
            <w:pPr>
              <w:pStyle w:val="5"/>
              <w:spacing w:after="156"/>
              <w:ind w:firstLine="105" w:firstLineChars="50"/>
              <w:rPr>
                <w:lang w:eastAsia="zh-CN"/>
              </w:rPr>
            </w:pPr>
            <w:r>
              <w:rPr>
                <w:lang w:eastAsia="zh-CN"/>
              </w:rPr>
              <w:t>*降水量（R，mm）</w:t>
            </w:r>
          </w:p>
          <w:p w14:paraId="42B0A317">
            <w:pPr>
              <w:pStyle w:val="5"/>
              <w:spacing w:after="156"/>
              <w:ind w:firstLine="105" w:firstLineChars="50"/>
              <w:rPr>
                <w:lang w:eastAsia="zh-CN"/>
              </w:rPr>
            </w:pPr>
            <w:r>
              <w:rPr>
                <w:lang w:eastAsia="zh-CN"/>
              </w:rPr>
              <w:t>饱和带土壤渗透性(P</w:t>
            </w:r>
            <w:r>
              <w:rPr>
                <w:vertAlign w:val="subscript"/>
                <w:lang w:eastAsia="zh-CN"/>
              </w:rPr>
              <w:t>2</w:t>
            </w:r>
            <w:r>
              <w:rPr>
                <w:lang w:eastAsia="zh-CN"/>
              </w:rPr>
              <w:t>)</w:t>
            </w:r>
          </w:p>
          <w:p w14:paraId="0D6D85BF">
            <w:pPr>
              <w:pStyle w:val="5"/>
              <w:spacing w:after="156"/>
              <w:ind w:firstLine="105" w:firstLineChars="50"/>
              <w:rPr>
                <w:lang w:eastAsia="zh-CN"/>
              </w:rPr>
            </w:pPr>
            <w:r>
              <w:rPr>
                <w:lang w:eastAsia="zh-CN"/>
              </w:rPr>
              <w:t>地下水埋深（GD，m）</w:t>
            </w:r>
          </w:p>
          <w:p w14:paraId="3DB0A270">
            <w:pPr>
              <w:pStyle w:val="5"/>
              <w:spacing w:after="156"/>
              <w:ind w:firstLine="105" w:firstLineChars="50"/>
              <w:rPr>
                <w:lang w:eastAsia="zh-CN"/>
              </w:rPr>
            </w:pPr>
            <w:r>
              <w:rPr>
                <w:lang w:eastAsia="zh-CN"/>
              </w:rPr>
              <w:t>地下水流向影响（I，无量纲）</w:t>
            </w:r>
          </w:p>
        </w:tc>
      </w:tr>
      <w:tr w14:paraId="2D54F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restart"/>
            <w:vAlign w:val="center"/>
          </w:tcPr>
          <w:p w14:paraId="37222311">
            <w:pPr>
              <w:pStyle w:val="5"/>
              <w:spacing w:after="156"/>
              <w:jc w:val="center"/>
              <w:rPr>
                <w:lang w:eastAsia="zh-CN"/>
              </w:rPr>
            </w:pPr>
            <w:r>
              <w:rPr>
                <w:lang w:eastAsia="zh-CN"/>
              </w:rPr>
              <w:t>环境脆弱性指数V</w:t>
            </w:r>
          </w:p>
        </w:tc>
        <w:tc>
          <w:tcPr>
            <w:tcW w:w="2367" w:type="dxa"/>
            <w:vAlign w:val="center"/>
          </w:tcPr>
          <w:p w14:paraId="4FD8FD61">
            <w:pPr>
              <w:pStyle w:val="5"/>
              <w:spacing w:after="156"/>
              <w:jc w:val="center"/>
              <w:rPr>
                <w:lang w:eastAsia="zh-CN"/>
              </w:rPr>
            </w:pPr>
            <w:bookmarkStart w:id="31" w:name="OLE_LINK11"/>
            <w:r>
              <w:rPr>
                <w:lang w:eastAsia="zh-CN"/>
              </w:rPr>
              <w:t>地块环境现状</w:t>
            </w:r>
            <w:bookmarkEnd w:id="31"/>
            <w:r>
              <w:rPr>
                <w:lang w:eastAsia="zh-CN"/>
              </w:rPr>
              <w:t>V</w:t>
            </w:r>
            <w:r>
              <w:rPr>
                <w:vertAlign w:val="subscript"/>
                <w:lang w:eastAsia="zh-CN"/>
              </w:rPr>
              <w:t>1</w:t>
            </w:r>
          </w:p>
        </w:tc>
        <w:tc>
          <w:tcPr>
            <w:tcW w:w="4252" w:type="dxa"/>
            <w:vAlign w:val="center"/>
          </w:tcPr>
          <w:p w14:paraId="527D55E4">
            <w:pPr>
              <w:pStyle w:val="5"/>
              <w:spacing w:after="156"/>
              <w:ind w:firstLine="105" w:firstLineChars="50"/>
              <w:rPr>
                <w:lang w:eastAsia="zh-CN"/>
              </w:rPr>
            </w:pPr>
            <w:r>
              <w:rPr>
                <w:lang w:eastAsia="zh-CN"/>
              </w:rPr>
              <w:t>污染物土壤（地下水）超标倍数（E）</w:t>
            </w:r>
          </w:p>
        </w:tc>
      </w:tr>
      <w:tr w14:paraId="7BD0D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119" w:type="dxa"/>
            <w:vMerge w:val="continue"/>
            <w:vAlign w:val="center"/>
          </w:tcPr>
          <w:p w14:paraId="30543C41">
            <w:pPr>
              <w:pStyle w:val="5"/>
              <w:spacing w:after="156"/>
              <w:jc w:val="center"/>
              <w:rPr>
                <w:lang w:eastAsia="zh-CN"/>
              </w:rPr>
            </w:pPr>
          </w:p>
        </w:tc>
        <w:tc>
          <w:tcPr>
            <w:tcW w:w="2367" w:type="dxa"/>
            <w:vAlign w:val="center"/>
          </w:tcPr>
          <w:p w14:paraId="3309AC5E">
            <w:pPr>
              <w:pStyle w:val="5"/>
              <w:spacing w:after="156"/>
              <w:jc w:val="center"/>
              <w:rPr>
                <w:lang w:eastAsia="zh-CN"/>
              </w:rPr>
            </w:pPr>
            <w:bookmarkStart w:id="32" w:name="OLE_LINK12"/>
            <w:r>
              <w:rPr>
                <w:lang w:eastAsia="zh-CN"/>
              </w:rPr>
              <w:t>受体敏感性指数</w:t>
            </w:r>
            <w:bookmarkEnd w:id="32"/>
            <w:r>
              <w:rPr>
                <w:lang w:eastAsia="zh-CN"/>
              </w:rPr>
              <w:t>V</w:t>
            </w:r>
            <w:r>
              <w:rPr>
                <w:vertAlign w:val="subscript"/>
                <w:lang w:eastAsia="zh-CN"/>
              </w:rPr>
              <w:t>2</w:t>
            </w:r>
          </w:p>
        </w:tc>
        <w:tc>
          <w:tcPr>
            <w:tcW w:w="4252" w:type="dxa"/>
            <w:vAlign w:val="center"/>
          </w:tcPr>
          <w:p w14:paraId="15265044">
            <w:pPr>
              <w:pStyle w:val="5"/>
              <w:spacing w:after="156"/>
              <w:ind w:firstLine="105" w:firstLineChars="50"/>
              <w:rPr>
                <w:lang w:eastAsia="zh-CN"/>
              </w:rPr>
            </w:pPr>
            <w:r>
              <w:rPr>
                <w:lang w:eastAsia="zh-CN"/>
              </w:rPr>
              <w:t>敏感目标</w:t>
            </w:r>
            <w:r>
              <w:rPr>
                <w:rFonts w:hint="eastAsia"/>
                <w:lang w:eastAsia="zh-CN"/>
              </w:rPr>
              <w:t>最近</w:t>
            </w:r>
            <w:r>
              <w:rPr>
                <w:lang w:eastAsia="zh-CN"/>
              </w:rPr>
              <w:t>距离（D</w:t>
            </w:r>
            <w:r>
              <w:rPr>
                <w:vertAlign w:val="subscript"/>
                <w:lang w:eastAsia="zh-CN"/>
              </w:rPr>
              <w:t>S1</w:t>
            </w:r>
            <w:r>
              <w:rPr>
                <w:lang w:eastAsia="zh-CN"/>
              </w:rPr>
              <w:t>）m</w:t>
            </w:r>
          </w:p>
          <w:p w14:paraId="79E20A6E">
            <w:pPr>
              <w:pStyle w:val="5"/>
              <w:spacing w:after="156"/>
              <w:ind w:firstLine="105" w:firstLineChars="50"/>
              <w:rPr>
                <w:lang w:eastAsia="zh-CN"/>
              </w:rPr>
            </w:pPr>
            <w:r>
              <w:rPr>
                <w:lang w:eastAsia="zh-CN"/>
              </w:rPr>
              <w:t>地表水体距离（D</w:t>
            </w:r>
            <w:r>
              <w:rPr>
                <w:vertAlign w:val="subscript"/>
                <w:lang w:eastAsia="zh-CN"/>
              </w:rPr>
              <w:t>S2</w:t>
            </w:r>
            <w:r>
              <w:rPr>
                <w:lang w:eastAsia="zh-CN"/>
              </w:rPr>
              <w:t>）m</w:t>
            </w:r>
          </w:p>
          <w:p w14:paraId="6FB713F8">
            <w:pPr>
              <w:pStyle w:val="5"/>
              <w:spacing w:after="156"/>
              <w:ind w:firstLine="105" w:firstLineChars="50"/>
              <w:rPr>
                <w:lang w:eastAsia="zh-CN"/>
              </w:rPr>
            </w:pPr>
            <w:r>
              <w:rPr>
                <w:rFonts w:hint="eastAsia"/>
                <w:lang w:eastAsia="zh-CN"/>
              </w:rPr>
              <w:t>地表水</w:t>
            </w:r>
            <w:r>
              <w:rPr>
                <w:lang w:eastAsia="zh-CN"/>
              </w:rPr>
              <w:t xml:space="preserve"> (</w:t>
            </w:r>
            <w:r>
              <w:rPr>
                <w:rFonts w:hint="eastAsia"/>
                <w:lang w:eastAsia="zh-CN"/>
              </w:rPr>
              <w:t>或</w:t>
            </w:r>
            <w:r>
              <w:rPr>
                <w:lang w:eastAsia="zh-CN"/>
              </w:rPr>
              <w:t>地</w:t>
            </w:r>
            <w:r>
              <w:rPr>
                <w:rFonts w:hint="eastAsia"/>
                <w:lang w:eastAsia="zh-CN"/>
              </w:rPr>
              <w:t>下</w:t>
            </w:r>
            <w:r>
              <w:rPr>
                <w:lang w:eastAsia="zh-CN"/>
              </w:rPr>
              <w:t>水)功能（W）</w:t>
            </w:r>
          </w:p>
          <w:p w14:paraId="5D861497">
            <w:pPr>
              <w:pStyle w:val="5"/>
              <w:spacing w:after="156"/>
              <w:ind w:firstLine="105" w:firstLineChars="50"/>
              <w:rPr>
                <w:lang w:eastAsia="zh-CN"/>
              </w:rPr>
            </w:pPr>
            <w:r>
              <w:rPr>
                <w:lang w:eastAsia="zh-CN"/>
              </w:rPr>
              <w:t>地块周边500m内人数（H）</w:t>
            </w:r>
          </w:p>
        </w:tc>
      </w:tr>
      <w:bookmarkEnd w:id="25"/>
    </w:tbl>
    <w:p w14:paraId="264E4B27">
      <w:pPr>
        <w:spacing w:after="156"/>
        <w:ind w:firstLine="420"/>
        <w:jc w:val="left"/>
        <w:rPr>
          <w:szCs w:val="21"/>
        </w:rPr>
      </w:pPr>
      <w:r>
        <w:rPr>
          <w:szCs w:val="21"/>
        </w:rPr>
        <w:t>注* 适用于土壤介质指标</w:t>
      </w:r>
    </w:p>
    <w:p w14:paraId="20DA816F">
      <w:pPr>
        <w:pStyle w:val="3"/>
        <w:spacing w:after="156"/>
        <w:rPr>
          <w:rFonts w:ascii="Times New Roman" w:hAnsi="Times New Roman" w:cs="Times New Roman"/>
        </w:rPr>
      </w:pPr>
      <w:r>
        <w:rPr>
          <w:rFonts w:ascii="Times New Roman" w:hAnsi="Times New Roman" w:cs="Times New Roman"/>
        </w:rPr>
        <w:t>7.3环境风险评价</w:t>
      </w:r>
    </w:p>
    <w:p w14:paraId="1518D2E3">
      <w:pPr>
        <w:pStyle w:val="4"/>
        <w:spacing w:after="156"/>
        <w:rPr>
          <w:rFonts w:ascii="Times New Roman" w:hAnsi="Times New Roman"/>
        </w:rPr>
      </w:pPr>
      <w:r>
        <w:rPr>
          <w:rFonts w:ascii="Times New Roman" w:hAnsi="Times New Roman"/>
        </w:rPr>
        <w:t>7.3.1环境风险综合指数</w:t>
      </w:r>
    </w:p>
    <w:p w14:paraId="2CB86E91">
      <w:pPr>
        <w:spacing w:after="156"/>
        <w:ind w:firstLine="420"/>
      </w:pPr>
      <w:r>
        <w:t>对某一评价单元的污染荷载风险指数、污染物迁移指数、受体脆弱性指数三者进行加权综合计算得到环境风险综合指数，用于环境风险总体评价。</w:t>
      </w:r>
    </w:p>
    <w:p w14:paraId="08F4FBA5">
      <w:pPr>
        <w:spacing w:after="156"/>
        <w:ind w:firstLine="420"/>
      </w:pPr>
      <w:r>
        <w:t>环境风险综合指数计算公式如（式</w:t>
      </w:r>
      <w:r>
        <w:rPr>
          <w:iCs/>
        </w:rPr>
        <w:fldChar w:fldCharType="begin"/>
      </w:r>
      <w:r>
        <w:rPr>
          <w:iCs/>
        </w:rPr>
        <w:instrText xml:space="preserve"> </w:instrText>
      </w:r>
      <w:r>
        <w:rPr>
          <w:rFonts w:hint="eastAsia"/>
          <w:iCs/>
        </w:rPr>
        <w:instrText xml:space="preserve">GOTOBUTTON ZEqnNum800636  \* MERGEFORMAT</w:instrText>
      </w:r>
      <w:r>
        <w:rPr>
          <w:iCs/>
        </w:rPr>
        <w:instrText xml:space="preserve"> </w:instrText>
      </w:r>
      <w:r>
        <w:rPr>
          <w:iCs/>
        </w:rPr>
        <w:fldChar w:fldCharType="begin"/>
      </w:r>
      <w:r>
        <w:rPr>
          <w:iCs/>
        </w:rPr>
        <w:instrText xml:space="preserve"> REF ZEqnNum800636 \* Charformat \! \* MERGEFORMAT </w:instrText>
      </w:r>
      <w:r>
        <w:rPr>
          <w:iCs/>
        </w:rPr>
        <w:fldChar w:fldCharType="separate"/>
      </w:r>
      <w:r>
        <w:rPr>
          <w:iCs/>
        </w:rPr>
        <w:instrText xml:space="preserve">(7-1)</w:instrText>
      </w:r>
      <w:r>
        <w:rPr>
          <w:iCs/>
        </w:rPr>
        <w:fldChar w:fldCharType="end"/>
      </w:r>
      <w:r>
        <w:rPr>
          <w:iCs/>
        </w:rPr>
        <w:fldChar w:fldCharType="end"/>
      </w:r>
      <w:r>
        <w:t>）：</w:t>
      </w:r>
    </w:p>
    <w:p w14:paraId="0B435062">
      <w:pPr>
        <w:pStyle w:val="22"/>
        <w:rPr>
          <w:rFonts w:hint="eastAsia"/>
        </w:rPr>
      </w:pPr>
      <w:r>
        <w:tab/>
      </w:r>
      <w:r>
        <w:rPr>
          <w:position w:val="-14"/>
        </w:rPr>
        <w:object>
          <v:shape id="_x0000_i1025" o:spt="75" type="#_x0000_t75" style="height:18.2pt;width:128.2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33" w:name="ZEqnNum800636"/>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bookmarkEnd w:id="33"/>
      <w:r>
        <w:fldChar w:fldCharType="end"/>
      </w:r>
    </w:p>
    <w:p w14:paraId="654D2A37">
      <w:pPr>
        <w:spacing w:after="156"/>
        <w:ind w:firstLine="420"/>
      </w:pPr>
      <w:r>
        <w:t>式中，RI为环境风险指数，P、M、V分别代表污染荷载风险指数、污染物迁移指数、受体脆弱性指数，W</w:t>
      </w:r>
      <w:r>
        <w:rPr>
          <w:vertAlign w:val="subscript"/>
        </w:rPr>
        <w:t>p</w:t>
      </w:r>
      <w:r>
        <w:t>、W</w:t>
      </w:r>
      <w:r>
        <w:rPr>
          <w:vertAlign w:val="subscript"/>
        </w:rPr>
        <w:t>M</w:t>
      </w:r>
      <w:r>
        <w:t>、W</w:t>
      </w:r>
      <w:r>
        <w:rPr>
          <w:vertAlign w:val="subscript"/>
        </w:rPr>
        <w:t>V</w:t>
      </w:r>
      <w:r>
        <w:t>分别代表污染荷载风险指数、污染物迁移指数、受体脆弱性指数的权重。</w:t>
      </w:r>
    </w:p>
    <w:p w14:paraId="681A1C2A">
      <w:pPr>
        <w:spacing w:after="156"/>
        <w:ind w:firstLine="420"/>
      </w:pPr>
      <w:r>
        <w:t>P、M、V三指数总分值为100，相应的权重建议为0.4、0.4、0.2，具体可根据实际情形与评估需要进行调整。</w:t>
      </w:r>
    </w:p>
    <w:p w14:paraId="520E7207">
      <w:pPr>
        <w:spacing w:after="156"/>
        <w:ind w:firstLine="420"/>
      </w:pPr>
      <w:r>
        <w:t>在GIS上对各评价单元的RI值进行分级，绘制工业集聚区土壤地下水环境风险分级图。环境风险综合指数分级如表2所示。</w:t>
      </w:r>
    </w:p>
    <w:p w14:paraId="0F395E52">
      <w:pPr>
        <w:spacing w:after="156"/>
        <w:ind w:firstLine="0" w:firstLineChars="0"/>
        <w:jc w:val="center"/>
      </w:pPr>
      <w:r>
        <w:t>表2 环境风险分级标准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655"/>
        <w:gridCol w:w="1559"/>
        <w:gridCol w:w="1560"/>
      </w:tblGrid>
      <w:tr w14:paraId="2B5B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51" w:type="dxa"/>
            <w:vAlign w:val="center"/>
          </w:tcPr>
          <w:p w14:paraId="26E43938">
            <w:pPr>
              <w:pStyle w:val="5"/>
              <w:spacing w:after="156"/>
              <w:jc w:val="center"/>
            </w:pPr>
            <w:r>
              <w:t>环境风险综合指数</w:t>
            </w:r>
          </w:p>
        </w:tc>
        <w:tc>
          <w:tcPr>
            <w:tcW w:w="1655" w:type="dxa"/>
            <w:vAlign w:val="center"/>
          </w:tcPr>
          <w:p w14:paraId="1C73F37C">
            <w:pPr>
              <w:pStyle w:val="5"/>
              <w:spacing w:after="156"/>
              <w:jc w:val="center"/>
            </w:pPr>
            <w:r>
              <w:t>RI≤30</w:t>
            </w:r>
          </w:p>
        </w:tc>
        <w:tc>
          <w:tcPr>
            <w:tcW w:w="1559" w:type="dxa"/>
            <w:vAlign w:val="center"/>
          </w:tcPr>
          <w:p w14:paraId="2750A33B">
            <w:pPr>
              <w:pStyle w:val="5"/>
              <w:spacing w:after="156"/>
              <w:jc w:val="center"/>
              <w:rPr>
                <w:lang w:eastAsia="zh-CN"/>
              </w:rPr>
            </w:pPr>
            <w:r>
              <w:t>30＜RI≤</w:t>
            </w:r>
            <w:r>
              <w:rPr>
                <w:lang w:eastAsia="zh-CN"/>
              </w:rPr>
              <w:t>60</w:t>
            </w:r>
          </w:p>
        </w:tc>
        <w:tc>
          <w:tcPr>
            <w:tcW w:w="1560" w:type="dxa"/>
            <w:vAlign w:val="center"/>
          </w:tcPr>
          <w:p w14:paraId="5B92D756">
            <w:pPr>
              <w:pStyle w:val="5"/>
              <w:spacing w:after="156"/>
              <w:jc w:val="center"/>
            </w:pPr>
            <w:r>
              <w:rPr>
                <w:lang w:eastAsia="zh-CN"/>
              </w:rPr>
              <w:t>60</w:t>
            </w:r>
            <w:r>
              <w:t>&lt;RI</w:t>
            </w:r>
          </w:p>
        </w:tc>
      </w:tr>
      <w:tr w14:paraId="496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51" w:type="dxa"/>
            <w:vAlign w:val="center"/>
          </w:tcPr>
          <w:p w14:paraId="01B91E8D">
            <w:pPr>
              <w:pStyle w:val="5"/>
              <w:spacing w:after="156"/>
              <w:jc w:val="center"/>
            </w:pPr>
            <w:r>
              <w:t>风险分级</w:t>
            </w:r>
          </w:p>
        </w:tc>
        <w:tc>
          <w:tcPr>
            <w:tcW w:w="1655" w:type="dxa"/>
            <w:vAlign w:val="center"/>
          </w:tcPr>
          <w:p w14:paraId="35D5A725">
            <w:pPr>
              <w:pStyle w:val="5"/>
              <w:spacing w:after="156"/>
              <w:jc w:val="center"/>
            </w:pPr>
            <w:r>
              <w:t>低</w:t>
            </w:r>
          </w:p>
        </w:tc>
        <w:tc>
          <w:tcPr>
            <w:tcW w:w="1559" w:type="dxa"/>
            <w:vAlign w:val="center"/>
          </w:tcPr>
          <w:p w14:paraId="6079F874">
            <w:pPr>
              <w:pStyle w:val="5"/>
              <w:spacing w:after="156"/>
              <w:jc w:val="center"/>
            </w:pPr>
            <w:r>
              <w:t>中等</w:t>
            </w:r>
          </w:p>
        </w:tc>
        <w:tc>
          <w:tcPr>
            <w:tcW w:w="1560" w:type="dxa"/>
            <w:vAlign w:val="center"/>
          </w:tcPr>
          <w:p w14:paraId="423D6BF5">
            <w:pPr>
              <w:pStyle w:val="5"/>
              <w:spacing w:after="156"/>
              <w:jc w:val="center"/>
            </w:pPr>
            <w:r>
              <w:t>高</w:t>
            </w:r>
          </w:p>
        </w:tc>
      </w:tr>
    </w:tbl>
    <w:p w14:paraId="304F1C87">
      <w:pPr>
        <w:spacing w:after="156"/>
        <w:ind w:firstLine="420"/>
      </w:pPr>
      <w:r>
        <w:t>为评估某工业集聚区土壤地下水环境风险分级梯度，也可在GIS平台上采用自然裂解法对环境风险等级进行划分。</w:t>
      </w:r>
    </w:p>
    <w:p w14:paraId="64384782">
      <w:pPr>
        <w:pStyle w:val="4"/>
        <w:spacing w:after="156"/>
        <w:rPr>
          <w:rFonts w:ascii="Times New Roman" w:hAnsi="Times New Roman"/>
        </w:rPr>
      </w:pPr>
      <w:r>
        <w:rPr>
          <w:rFonts w:ascii="Times New Roman" w:hAnsi="Times New Roman"/>
        </w:rPr>
        <w:t>7.3.2污染源荷载指数</w:t>
      </w:r>
    </w:p>
    <w:p w14:paraId="351FAEB8">
      <w:pPr>
        <w:spacing w:after="156"/>
        <w:ind w:firstLine="420"/>
      </w:pPr>
      <w:r>
        <w:t>污染源荷载指数主要是指污染物泄漏到环境的强度。采用污染物源强、污染物属性、泄露风险进行表征，其计算公式如下：</w:t>
      </w:r>
    </w:p>
    <w:p w14:paraId="31F5CAFB">
      <w:pPr>
        <w:pStyle w:val="22"/>
        <w:rPr>
          <w:rFonts w:hint="eastAsia"/>
        </w:rPr>
      </w:pPr>
      <w:r>
        <w:tab/>
      </w:r>
      <w:r>
        <w:rPr>
          <w:position w:val="-10"/>
        </w:rPr>
        <w:object>
          <v:shape id="_x0000_i1026" o:spt="75" type="#_x0000_t75" style="height:15.8pt;width:85.8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2</w:instrText>
      </w:r>
      <w:r>
        <w:fldChar w:fldCharType="end"/>
      </w:r>
      <w:r>
        <w:instrText xml:space="preserve">)</w:instrText>
      </w:r>
      <w:r>
        <w:fldChar w:fldCharType="end"/>
      </w:r>
    </w:p>
    <w:p w14:paraId="7CC2376D">
      <w:pPr>
        <w:spacing w:after="156"/>
        <w:ind w:firstLine="420"/>
      </w:pPr>
      <w:r>
        <w:t>P表示评价单元某污染物荷载风险指数；Q</w:t>
      </w:r>
      <w:r>
        <w:rPr>
          <w:vertAlign w:val="subscript"/>
        </w:rPr>
        <w:t>1</w:t>
      </w:r>
      <w:r>
        <w:t>表示该评价单元污染物源强指数；Q</w:t>
      </w:r>
      <w:r>
        <w:rPr>
          <w:vertAlign w:val="subscript"/>
        </w:rPr>
        <w:t>2</w:t>
      </w:r>
      <w:r>
        <w:t>表示该评价单元上游或周边同类源输入；T表示污染物毒性；L表示评价单元污染物泄漏水平，即进入土壤和地下水的可能性。</w:t>
      </w:r>
    </w:p>
    <w:p w14:paraId="701A0CFB">
      <w:pPr>
        <w:spacing w:after="156"/>
        <w:ind w:firstLine="420"/>
      </w:pPr>
      <w:r>
        <w:t>污染物源强指数（Q</w:t>
      </w:r>
      <w:r>
        <w:rPr>
          <w:vertAlign w:val="subscript"/>
        </w:rPr>
        <w:t>1</w:t>
      </w:r>
      <w:r>
        <w:t>）由评价单元内企业生产过程中原辅材料有毒有害物质总量（q</w:t>
      </w:r>
      <w:r>
        <w:rPr>
          <w:vertAlign w:val="subscript"/>
        </w:rPr>
        <w:t>1</w:t>
      </w:r>
      <w:r>
        <w:t>）、固废产生量(q</w:t>
      </w:r>
      <w:r>
        <w:rPr>
          <w:vertAlign w:val="subscript"/>
        </w:rPr>
        <w:t>2</w:t>
      </w:r>
      <w:r>
        <w:t>)及危险废物贮存量(q</w:t>
      </w:r>
      <w:r>
        <w:rPr>
          <w:vertAlign w:val="subscript"/>
        </w:rPr>
        <w:t>3</w:t>
      </w:r>
      <w:r>
        <w:t>)以及废水、废气、固废等管控水平d</w:t>
      </w:r>
      <w:r>
        <w:rPr>
          <w:vertAlign w:val="subscript"/>
        </w:rPr>
        <w:t>i</w:t>
      </w:r>
      <w:r>
        <w:t>决定。具体分值计算如下：</w:t>
      </w:r>
    </w:p>
    <w:p w14:paraId="4CC282A4">
      <w:pPr>
        <w:pStyle w:val="22"/>
        <w:rPr>
          <w:rFonts w:hint="eastAsia"/>
        </w:rPr>
      </w:pPr>
      <w:r>
        <w:tab/>
      </w:r>
      <w:r>
        <w:rPr>
          <w:position w:val="-10"/>
        </w:rPr>
        <w:object>
          <v:shape id="_x0000_i1027" o:spt="75" type="#_x0000_t75" style="height:15.8pt;width:161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3</w:instrText>
      </w:r>
      <w:r>
        <w:fldChar w:fldCharType="end"/>
      </w:r>
      <w:r>
        <w:instrText xml:space="preserve">)</w:instrText>
      </w:r>
      <w:r>
        <w:fldChar w:fldCharType="end"/>
      </w:r>
    </w:p>
    <w:p w14:paraId="39430D85">
      <w:pPr>
        <w:spacing w:after="156"/>
        <w:ind w:firstLine="420"/>
      </w:pPr>
      <w:r>
        <w:t>同类源输入Q</w:t>
      </w:r>
      <w:r>
        <w:rPr>
          <w:vertAlign w:val="subscript"/>
        </w:rPr>
        <w:t>2</w:t>
      </w:r>
      <w:r>
        <w:t>主要考虑评价单元周边同类源或地下水上游同类源输入，</w:t>
      </w:r>
      <w:r>
        <w:rPr>
          <w:rFonts w:hint="eastAsia"/>
        </w:rPr>
        <w:t>使用两种介质下的同类源潜在输入影响指数Q</w:t>
      </w:r>
      <w:r>
        <w:rPr>
          <w:rFonts w:hint="eastAsia"/>
          <w:vertAlign w:val="subscript"/>
        </w:rPr>
        <w:t>2</w:t>
      </w:r>
      <w:r>
        <w:rPr>
          <w:rFonts w:hint="eastAsia"/>
        </w:rPr>
        <w:t>进行定量表征，包含如下四个步骤。</w:t>
      </w:r>
    </w:p>
    <w:p w14:paraId="4F5CAFD5">
      <w:pPr>
        <w:spacing w:after="156"/>
        <w:ind w:firstLine="420"/>
      </w:pPr>
      <w:r>
        <w:rPr>
          <w:rFonts w:hint="eastAsia"/>
        </w:rPr>
        <w:t>步骤1：确定“同类源”识别范围</w:t>
      </w:r>
    </w:p>
    <w:p w14:paraId="6E275222">
      <w:pPr>
        <w:spacing w:after="156"/>
        <w:ind w:firstLine="420"/>
      </w:pPr>
      <w:r>
        <w:rPr>
          <w:rFonts w:hint="eastAsia"/>
        </w:rPr>
        <w:t>对于土壤介质，污染物迁移以短距离扩散和地表过程为主，建议直接以相邻地块为评估范围；</w:t>
      </w:r>
    </w:p>
    <w:p w14:paraId="147DE723">
      <w:pPr>
        <w:spacing w:after="156"/>
        <w:ind w:firstLine="420"/>
      </w:pPr>
      <w:r>
        <w:rPr>
          <w:rFonts w:hint="eastAsia"/>
        </w:rPr>
        <w:t>对于地下水介质，污染物迁移受地下水流控制具有方向性和长距离特征，建议以地下水流向上游所有区域为评估范围。</w:t>
      </w:r>
    </w:p>
    <w:p w14:paraId="39BF2FBE">
      <w:pPr>
        <w:spacing w:after="156"/>
        <w:ind w:firstLine="420"/>
      </w:pPr>
      <w:r>
        <w:rPr>
          <w:rFonts w:hint="eastAsia"/>
        </w:rPr>
        <w:t>步骤2：构建“距离衰减函数”</w:t>
      </w:r>
    </w:p>
    <w:p w14:paraId="09FD9C22">
      <w:pPr>
        <w:spacing w:after="156"/>
        <w:ind w:firstLine="420"/>
      </w:pPr>
      <w:r>
        <w:rPr>
          <w:rFonts w:hint="eastAsia"/>
        </w:rPr>
        <w:t>使用“指数衰减模型”模拟同类源随距离增加的影响衰减，具体计算如下:</w:t>
      </w:r>
    </w:p>
    <w:p w14:paraId="76EEE5C0">
      <w:pPr>
        <w:pStyle w:val="22"/>
        <w:rPr>
          <w:rFonts w:hint="eastAsia"/>
        </w:rPr>
      </w:pPr>
      <w:r>
        <w:tab/>
      </w:r>
      <w:r>
        <w:rPr>
          <w:position w:val="-10"/>
        </w:rPr>
        <w:object>
          <v:shape id="_x0000_i1028" o:spt="75" type="#_x0000_t75" style="height:17pt;width:43.1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4</w:instrText>
      </w:r>
      <w:r>
        <w:fldChar w:fldCharType="end"/>
      </w:r>
      <w:r>
        <w:instrText xml:space="preserve">)</w:instrText>
      </w:r>
      <w:r>
        <w:fldChar w:fldCharType="end"/>
      </w:r>
    </w:p>
    <w:p w14:paraId="655E23F2">
      <w:pPr>
        <w:spacing w:after="156"/>
        <w:ind w:firstLine="420"/>
      </w:pPr>
      <w:r>
        <w:rPr>
          <w:rFonts w:hint="eastAsia"/>
        </w:rPr>
        <w:t>其中，</w:t>
      </w: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rPr>
        <w:t>为距离衰减因子；</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rPr>
        <w:t>表示当前评价单元与第i个同类源之间的实际距离（m）；k为衰减系数，建议取0.003（对应约300m衰减至约40%）。</w:t>
      </w:r>
    </w:p>
    <w:p w14:paraId="3C3A4AB6">
      <w:pPr>
        <w:spacing w:after="156"/>
        <w:ind w:firstLine="420"/>
      </w:pPr>
      <w:r>
        <w:rPr>
          <w:rFonts w:hint="eastAsia"/>
        </w:rPr>
        <w:t>步骤3：同类源输入强度计算</w:t>
      </w:r>
    </w:p>
    <w:p w14:paraId="086401A8">
      <w:pPr>
        <w:spacing w:after="156"/>
        <w:ind w:firstLine="420"/>
      </w:pPr>
      <w:r>
        <w:rPr>
          <w:rFonts w:hint="eastAsia"/>
        </w:rPr>
        <w:t>土壤介质中同类源潜在输入影响指数Q</w:t>
      </w:r>
      <w:r>
        <w:rPr>
          <w:rFonts w:hint="eastAsia"/>
          <w:vertAlign w:val="subscript"/>
        </w:rPr>
        <w:t>2土</w:t>
      </w:r>
      <w:r>
        <w:rPr>
          <w:rFonts w:hint="eastAsia"/>
        </w:rPr>
        <w:t>计算如下：</w:t>
      </w:r>
    </w:p>
    <w:p w14:paraId="587147A4">
      <w:pPr>
        <w:pStyle w:val="22"/>
        <w:rPr>
          <w:rFonts w:hint="eastAsia"/>
        </w:rPr>
      </w:pPr>
      <w:r>
        <w:tab/>
      </w:r>
      <w:r>
        <w:rPr>
          <w:position w:val="-26"/>
        </w:rPr>
        <w:object>
          <v:shape id="_x0000_i1029" o:spt="75" type="#_x0000_t75" style="height:30.85pt;width:98.1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5</w:instrText>
      </w:r>
      <w:r>
        <w:fldChar w:fldCharType="end"/>
      </w:r>
      <w:r>
        <w:instrText xml:space="preserve">)</w:instrText>
      </w:r>
      <w:r>
        <w:fldChar w:fldCharType="end"/>
      </w:r>
    </w:p>
    <w:p w14:paraId="27A09EE3">
      <w:pPr>
        <w:spacing w:after="156"/>
        <w:ind w:firstLine="420"/>
      </w:pPr>
      <w:r>
        <w:rPr>
          <w:rFonts w:hint="eastAsia"/>
        </w:rPr>
        <w:t>其中，</w:t>
      </w: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rPr>
        <w:t>为评价单元周边第i个同类源的目标污染物排放量，若污染物排放数据缺失，可使用原辅材料有毒有害物质总量代替。</w:t>
      </w:r>
    </w:p>
    <w:p w14:paraId="72D5CA7D">
      <w:pPr>
        <w:spacing w:after="156"/>
        <w:ind w:firstLine="420"/>
      </w:pPr>
      <w:r>
        <w:rPr>
          <w:rFonts w:hint="eastAsia"/>
        </w:rPr>
        <w:t>地下水同类源潜在输入影响指数Q</w:t>
      </w:r>
      <w:r>
        <w:rPr>
          <w:rFonts w:hint="eastAsia"/>
          <w:vertAlign w:val="subscript"/>
        </w:rPr>
        <w:t>2水</w:t>
      </w:r>
      <w:r>
        <w:rPr>
          <w:rFonts w:hint="eastAsia"/>
        </w:rPr>
        <w:t>依赖地下水流场模拟结果，根据流场确定评价单元上游同类源，后续计算公式同上。</w:t>
      </w:r>
    </w:p>
    <w:p w14:paraId="5EC5CD24">
      <w:pPr>
        <w:spacing w:after="156"/>
        <w:ind w:firstLine="420"/>
      </w:pPr>
      <w:r>
        <w:rPr>
          <w:rFonts w:hint="eastAsia"/>
        </w:rPr>
        <w:t>步骤4：指标量化与赋分</w:t>
      </w:r>
    </w:p>
    <w:p w14:paraId="71022E24">
      <w:pPr>
        <w:spacing w:after="156"/>
        <w:ind w:firstLine="420"/>
      </w:pPr>
      <w:r>
        <w:rPr>
          <w:rFonts w:hint="eastAsia"/>
        </w:rPr>
        <w:t>计算出所有评价单元的Q</w:t>
      </w:r>
      <w:r>
        <w:rPr>
          <w:rFonts w:hint="eastAsia"/>
          <w:vertAlign w:val="subscript"/>
        </w:rPr>
        <w:t>2土</w:t>
      </w:r>
      <w:r>
        <w:rPr>
          <w:rFonts w:hint="eastAsia"/>
        </w:rPr>
        <w:t>以及Q</w:t>
      </w:r>
      <w:r>
        <w:rPr>
          <w:rFonts w:hint="eastAsia"/>
          <w:vertAlign w:val="subscript"/>
        </w:rPr>
        <w:t>2水</w:t>
      </w:r>
      <w:r>
        <w:rPr>
          <w:rFonts w:hint="eastAsia"/>
        </w:rPr>
        <w:t>，根据园区内所有评价单元的该值分布，进行百分位数划分并对应赋分，具体赋分规则可参考附录B。</w:t>
      </w:r>
    </w:p>
    <w:p w14:paraId="7C8569F1">
      <w:pPr>
        <w:spacing w:after="156"/>
        <w:ind w:firstLine="420"/>
      </w:pPr>
      <w:r>
        <w:t>污染物毒性系数（T）反映泄露物的环境危害风险性，采用致癌斜率因子（SF）和非致癌参考剂量（RfD）表征。T取两者赋分的最高值，即：</w:t>
      </w:r>
    </w:p>
    <w:p w14:paraId="6F1AFAC3">
      <w:pPr>
        <w:pStyle w:val="22"/>
        <w:rPr>
          <w:rFonts w:hint="eastAsia"/>
        </w:rPr>
      </w:pPr>
      <w:r>
        <w:tab/>
      </w:r>
      <w:r>
        <w:rPr>
          <w:position w:val="-12"/>
        </w:rPr>
        <w:object>
          <v:shape id="_x0000_i1030" o:spt="75" type="#_x0000_t75" style="height:17pt;width:81.9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6</w:instrText>
      </w:r>
      <w:r>
        <w:fldChar w:fldCharType="end"/>
      </w:r>
      <w:r>
        <w:instrText xml:space="preserve">)</w:instrText>
      </w:r>
      <w:r>
        <w:fldChar w:fldCharType="end"/>
      </w:r>
    </w:p>
    <w:p w14:paraId="5FD60065">
      <w:pPr>
        <w:spacing w:after="156"/>
        <w:ind w:firstLine="420"/>
      </w:pPr>
      <w:r>
        <w:t>泄露风险（L）主要反映企业环境管理不善导致污染物进入环境的可能性大小。一方面与企业经营活动水平有关，另一方面与企业场地建设水平有关，取其综合评分平均值：</w:t>
      </w:r>
    </w:p>
    <w:p w14:paraId="37E0DA43">
      <w:pPr>
        <w:pStyle w:val="22"/>
        <w:rPr>
          <w:rFonts w:hint="eastAsia"/>
        </w:rPr>
      </w:pPr>
      <w:r>
        <w:tab/>
      </w:r>
      <w:r>
        <w:rPr>
          <w:position w:val="-22"/>
        </w:rPr>
        <w:object>
          <v:shape id="_x0000_i1031" o:spt="75" type="#_x0000_t75" style="height:28.1pt;width:56.9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7</w:instrText>
      </w:r>
      <w:r>
        <w:fldChar w:fldCharType="end"/>
      </w:r>
      <w:r>
        <w:instrText xml:space="preserve">)</w:instrText>
      </w:r>
      <w:r>
        <w:fldChar w:fldCharType="end"/>
      </w:r>
    </w:p>
    <w:p w14:paraId="453C9D54">
      <w:pPr>
        <w:spacing w:after="156"/>
        <w:ind w:firstLine="420"/>
        <w:rPr>
          <w:b/>
          <w:bCs/>
        </w:rPr>
      </w:pPr>
      <w:r>
        <w:t>污染荷载指数的三级指标可根据各工业集聚区管理需要进行赋分，汇总成二级指标指数值。二级指标综合成一级指标时，可根据分指数赋分进行权重整整，满足污染源荷载指数（P）最高分为100的需要。污染源荷载分指数赋分及三级指标分级参考附录表B.1。</w:t>
      </w:r>
    </w:p>
    <w:p w14:paraId="2A8B94AA">
      <w:pPr>
        <w:pStyle w:val="4"/>
        <w:spacing w:after="156"/>
        <w:rPr>
          <w:rFonts w:ascii="Times New Roman" w:hAnsi="Times New Roman"/>
        </w:rPr>
      </w:pPr>
      <w:r>
        <w:rPr>
          <w:rFonts w:ascii="Times New Roman" w:hAnsi="Times New Roman"/>
        </w:rPr>
        <w:t>7.3.3污染迁移指数</w:t>
      </w:r>
    </w:p>
    <w:p w14:paraId="47D309F6">
      <w:pPr>
        <w:spacing w:after="156"/>
        <w:ind w:firstLine="420"/>
      </w:pPr>
      <w:r>
        <w:t>污染物迁移指数反映污染物在土壤和地下水中迁移过程难易程度，一方面与污染物本身降解迁移能力有关，如污染物的可降解性、可溶性、挥发性等；另一方面与外在驱动力及环境介质属性有关，如降雨、土壤渗透能力、地下水埋深等。其中土壤下渗风险主要采用降水量及包气带土壤渗透性表征，地下水污染物迁移能力增加了地下水埋深、饱和带土壤渗透性、地下水流向三个指标。</w:t>
      </w:r>
    </w:p>
    <w:p w14:paraId="2DF36A5F">
      <w:pPr>
        <w:spacing w:after="156"/>
        <w:ind w:firstLine="420"/>
      </w:pPr>
      <w:r>
        <w:t>污染物迁移指数（M</w:t>
      </w:r>
      <w:r>
        <w:rPr>
          <w:vertAlign w:val="subscript"/>
        </w:rPr>
        <w:t>土（地下水）</w:t>
      </w:r>
      <w:r>
        <w:t>）计算公式如下：</w:t>
      </w:r>
    </w:p>
    <w:p w14:paraId="1C992012">
      <w:pPr>
        <w:pStyle w:val="22"/>
        <w:rPr>
          <w:rFonts w:hint="eastAsia"/>
        </w:rPr>
      </w:pPr>
      <w:r>
        <w:tab/>
      </w:r>
      <w:r>
        <w:rPr>
          <w:position w:val="-12"/>
        </w:rPr>
        <w:object>
          <v:shape id="_x0000_i1032" o:spt="75" type="#_x0000_t75" style="height:17pt;width:128.2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2">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8</w:instrText>
      </w:r>
      <w:r>
        <w:fldChar w:fldCharType="end"/>
      </w:r>
      <w:r>
        <w:instrText xml:space="preserve">)</w:instrText>
      </w:r>
      <w:r>
        <w:fldChar w:fldCharType="end"/>
      </w:r>
    </w:p>
    <w:p w14:paraId="6E9634AF">
      <w:pPr>
        <w:spacing w:after="156"/>
        <w:ind w:firstLine="420"/>
      </w:pPr>
      <w:r>
        <w:t>其中，污染物迁移属性指标（M</w:t>
      </w:r>
      <w:r>
        <w:rPr>
          <w:vertAlign w:val="subscript"/>
        </w:rPr>
        <w:t>1</w:t>
      </w:r>
      <w:r>
        <w:t>）计算如下：</w:t>
      </w:r>
    </w:p>
    <w:p w14:paraId="5FEC6B8A">
      <w:pPr>
        <w:pStyle w:val="22"/>
        <w:rPr>
          <w:rFonts w:hint="eastAsia"/>
        </w:rPr>
      </w:pPr>
      <w:r>
        <w:tab/>
      </w:r>
      <w:r>
        <w:rPr>
          <w:position w:val="-10"/>
        </w:rPr>
        <w:object>
          <v:shape id="_x0000_i1033" o:spt="75" type="#_x0000_t75" style="height:15.8pt;width:98.9pt;" o:ole="t" filled="f" o:preferrelative="t" stroked="f" coordsize="21600,21600">
            <v:path/>
            <v:fill on="f" focussize="0,0"/>
            <v:stroke on="f" joinstyle="miter"/>
            <v:imagedata r:id="rId35" o:title=""/>
            <o:lock v:ext="edit" aspectratio="t"/>
            <w10:wrap type="none"/>
            <w10:anchorlock/>
          </v:shape>
          <o:OLEObject Type="Embed" ProgID="Equation.DSMT4" ShapeID="_x0000_i1033" DrawAspect="Content" ObjectID="_1468075733" r:id="rId34">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9</w:instrText>
      </w:r>
      <w:r>
        <w:fldChar w:fldCharType="end"/>
      </w:r>
      <w:r>
        <w:instrText xml:space="preserve">)</w:instrText>
      </w:r>
      <w:r>
        <w:fldChar w:fldCharType="end"/>
      </w:r>
    </w:p>
    <w:p w14:paraId="4B6798C0">
      <w:pPr>
        <w:spacing w:after="156"/>
        <w:ind w:firstLine="420"/>
      </w:pPr>
      <w:r>
        <w:t>土壤介质中污染物迁移能力（M</w:t>
      </w:r>
      <w:r>
        <w:rPr>
          <w:vertAlign w:val="subscript"/>
        </w:rPr>
        <w:t>2土</w:t>
      </w:r>
      <w:r>
        <w:t>）计算如下：</w:t>
      </w:r>
    </w:p>
    <w:p w14:paraId="212089F1">
      <w:pPr>
        <w:pStyle w:val="22"/>
        <w:rPr>
          <w:rFonts w:hint="eastAsia"/>
        </w:rPr>
      </w:pPr>
      <w:r>
        <w:tab/>
      </w:r>
      <w:r>
        <w:rPr>
          <w:position w:val="-10"/>
        </w:rPr>
        <w:object>
          <v:shape id="_x0000_i1034" o:spt="75" type="#_x0000_t75" style="height:15.8pt;width:58.15pt;" o:ole="t" filled="f" o:preferrelative="t" stroked="f" coordsize="21600,21600">
            <v:path/>
            <v:fill on="f" focussize="0,0"/>
            <v:stroke on="f" joinstyle="miter"/>
            <v:imagedata r:id="rId37" o:title=""/>
            <o:lock v:ext="edit" aspectratio="t"/>
            <w10:wrap type="none"/>
            <w10:anchorlock/>
          </v:shape>
          <o:OLEObject Type="Embed" ProgID="Equation.DSMT4" ShapeID="_x0000_i1034" DrawAspect="Content" ObjectID="_1468075734" r:id="rId36">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10</w:instrText>
      </w:r>
      <w:r>
        <w:fldChar w:fldCharType="end"/>
      </w:r>
      <w:r>
        <w:instrText xml:space="preserve">)</w:instrText>
      </w:r>
      <w:r>
        <w:fldChar w:fldCharType="end"/>
      </w:r>
    </w:p>
    <w:p w14:paraId="412ACDD8">
      <w:pPr>
        <w:spacing w:after="156"/>
        <w:ind w:firstLine="420"/>
      </w:pPr>
      <w:r>
        <w:t>地下水介质中污染物迁移能力（M</w:t>
      </w:r>
      <w:r>
        <w:rPr>
          <w:vertAlign w:val="subscript"/>
        </w:rPr>
        <w:t>2地下水</w:t>
      </w:r>
      <w:r>
        <w:t>）计算如下：</w:t>
      </w:r>
    </w:p>
    <w:p w14:paraId="7CA4E8B8">
      <w:pPr>
        <w:pStyle w:val="22"/>
        <w:rPr>
          <w:rFonts w:hint="eastAsia"/>
        </w:rPr>
      </w:pPr>
      <w:r>
        <w:tab/>
      </w:r>
      <w:r>
        <w:rPr>
          <w:position w:val="-12"/>
        </w:rPr>
        <w:object>
          <v:shape id="_x0000_i1035" o:spt="75" type="#_x0000_t75" style="height:17pt;width:168.15pt;" o:ole="t" filled="f" o:preferrelative="t" stroked="f" coordsize="21600,21600">
            <v:path/>
            <v:fill on="f" focussize="0,0"/>
            <v:stroke on="f" joinstyle="miter"/>
            <v:imagedata r:id="rId39" o:title=""/>
            <o:lock v:ext="edit" aspectratio="t"/>
            <w10:wrap type="none"/>
            <w10:anchorlock/>
          </v:shape>
          <o:OLEObject Type="Embed" ProgID="Equation.DSMT4" ShapeID="_x0000_i1035" DrawAspect="Content" ObjectID="_1468075735" r:id="rId38">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11</w:instrText>
      </w:r>
      <w:r>
        <w:fldChar w:fldCharType="end"/>
      </w:r>
      <w:r>
        <w:instrText xml:space="preserve">)</w:instrText>
      </w:r>
      <w:r>
        <w:fldChar w:fldCharType="end"/>
      </w:r>
    </w:p>
    <w:p w14:paraId="5025A1EE">
      <w:pPr>
        <w:spacing w:after="156"/>
        <w:ind w:firstLine="420"/>
        <w:rPr>
          <w:b/>
          <w:bCs/>
        </w:rPr>
      </w:pPr>
      <w:r>
        <w:t>污染迁移指数三级指标可根据各工业集聚区管理需要进行赋分，按式7-6~式7-9汇总成二级指标指数值。二级指标根据分指数赋分进行权重调整。迁移指数（M）分指数赋分及三级指标分级参考附录表B.2。</w:t>
      </w:r>
    </w:p>
    <w:p w14:paraId="794F7280">
      <w:pPr>
        <w:pStyle w:val="4"/>
        <w:spacing w:after="156"/>
        <w:rPr>
          <w:rFonts w:ascii="Times New Roman" w:hAnsi="Times New Roman"/>
        </w:rPr>
      </w:pPr>
      <w:r>
        <w:rPr>
          <w:rFonts w:ascii="Times New Roman" w:hAnsi="Times New Roman"/>
        </w:rPr>
        <w:t>7.3.4环境脆弱性指数</w:t>
      </w:r>
    </w:p>
    <w:p w14:paraId="326D752C">
      <w:pPr>
        <w:spacing w:after="156"/>
        <w:ind w:firstLine="420"/>
      </w:pPr>
      <w:r>
        <w:t>环境脆弱性指数（V）由土壤和地下水污染物超标倍数（V</w:t>
      </w:r>
      <w:r>
        <w:rPr>
          <w:vertAlign w:val="subscript"/>
        </w:rPr>
        <w:t>1</w:t>
      </w:r>
      <w:r>
        <w:t>）、环境受体敏感性（V</w:t>
      </w:r>
      <w:r>
        <w:rPr>
          <w:vertAlign w:val="subscript"/>
        </w:rPr>
        <w:t>2</w:t>
      </w:r>
      <w:r>
        <w:t>）决定。环境脆弱性指数计算公式如下：</w:t>
      </w:r>
    </w:p>
    <w:p w14:paraId="26B6F709">
      <w:pPr>
        <w:pStyle w:val="22"/>
        <w:rPr>
          <w:rFonts w:hint="eastAsia"/>
        </w:rPr>
      </w:pPr>
      <w:r>
        <w:tab/>
      </w:r>
      <w:r>
        <w:rPr>
          <w:position w:val="-10"/>
        </w:rPr>
        <w:object>
          <v:shape id="_x0000_i1036" o:spt="75" type="#_x0000_t75" style="height:15.8pt;width:47.1pt;" o:ole="t" filled="f" o:preferrelative="t" stroked="f" coordsize="21600,21600">
            <v:path/>
            <v:fill on="f" focussize="0,0"/>
            <v:stroke on="f" joinstyle="miter"/>
            <v:imagedata r:id="rId41" o:title=""/>
            <o:lock v:ext="edit" aspectratio="t"/>
            <w10:wrap type="none"/>
            <w10:anchorlock/>
          </v:shape>
          <o:OLEObject Type="Embed" ProgID="Equation.DSMT4" ShapeID="_x0000_i1036" DrawAspect="Content" ObjectID="_1468075736" r:id="rId40">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12</w:instrText>
      </w:r>
      <w:r>
        <w:fldChar w:fldCharType="end"/>
      </w:r>
      <w:r>
        <w:instrText xml:space="preserve">)</w:instrText>
      </w:r>
      <w:r>
        <w:fldChar w:fldCharType="end"/>
      </w:r>
    </w:p>
    <w:p w14:paraId="03DBF6C8">
      <w:pPr>
        <w:spacing w:after="156"/>
        <w:ind w:firstLine="420"/>
      </w:pPr>
      <w:r>
        <w:t>其中地块环境现状采用土壤（地下水）污染物超标倍数表征；受体敏感性选择敏感目标（如饮用水水源、学校、社区等）距离（D</w:t>
      </w:r>
      <w:r>
        <w:rPr>
          <w:vertAlign w:val="subscript"/>
        </w:rPr>
        <w:t>S1</w:t>
      </w:r>
      <w:r>
        <w:t>）、地表水体距离（D</w:t>
      </w:r>
      <w:r>
        <w:rPr>
          <w:vertAlign w:val="subscript"/>
        </w:rPr>
        <w:t>S2</w:t>
      </w:r>
      <w:r>
        <w:t>）、地表水水体功能（W）及评价单元周边500米内人数（H）进行分级评分，</w:t>
      </w:r>
      <w:r>
        <w:rPr>
          <w:rFonts w:hint="eastAsia"/>
        </w:rPr>
        <w:t>若地表水功能不明确，可根据实际用途或规划用途进行判断，或参考当地水环境功能区划。</w:t>
      </w:r>
      <w:r>
        <w:t>具体计算如下：</w:t>
      </w:r>
    </w:p>
    <w:p w14:paraId="6EB0070A">
      <w:pPr>
        <w:pStyle w:val="22"/>
        <w:rPr>
          <w:rFonts w:hint="eastAsia"/>
        </w:rPr>
      </w:pPr>
      <w:r>
        <w:tab/>
      </w:r>
      <w:r>
        <w:rPr>
          <w:position w:val="-10"/>
        </w:rPr>
        <w:object>
          <v:shape id="_x0000_i1037" o:spt="75" type="#_x0000_t75" style="height:15.8pt;width:121.05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MTChap \c \* Arabic \* MERGEFORMAT </w:instrText>
      </w:r>
      <w:r>
        <w:fldChar w:fldCharType="separate"/>
      </w:r>
      <w:r>
        <w:instrText xml:space="preserve">7</w:instrText>
      </w:r>
      <w:r>
        <w:fldChar w:fldCharType="end"/>
      </w:r>
      <w:r>
        <w:instrText xml:space="preserve">-</w:instrText>
      </w:r>
      <w:r>
        <w:fldChar w:fldCharType="begin"/>
      </w:r>
      <w:r>
        <w:instrText xml:space="preserve"> SEQ MTEqn \c \* Arabic \* MERGEFORMAT </w:instrText>
      </w:r>
      <w:r>
        <w:fldChar w:fldCharType="separate"/>
      </w:r>
      <w:r>
        <w:instrText xml:space="preserve">13</w:instrText>
      </w:r>
      <w:r>
        <w:fldChar w:fldCharType="end"/>
      </w:r>
      <w:r>
        <w:instrText xml:space="preserve">)</w:instrText>
      </w:r>
      <w:r>
        <w:fldChar w:fldCharType="end"/>
      </w:r>
    </w:p>
    <w:p w14:paraId="433EE51D">
      <w:pPr>
        <w:spacing w:after="156"/>
        <w:ind w:firstLine="420"/>
      </w:pPr>
      <w:r>
        <w:t>环境脆弱性指数三级指标可根据各工业集聚区管理需要进行赋分。评价单元环境未进行监测，可参考周边环境监测数据，或根据工业集聚区现有实测数据通过空间插值得到评价单元土壤或地下水某污染物含量水平。二级指标根据分指数赋分进行权重调整。各指标分级及等级赋分见附录B表B.3。</w:t>
      </w:r>
    </w:p>
    <w:p w14:paraId="2F0EF389">
      <w:pPr>
        <w:pStyle w:val="2"/>
        <w:spacing w:before="312" w:after="312"/>
        <w:rPr>
          <w:rFonts w:ascii="Times New Roman" w:hAnsi="Times New Roman"/>
        </w:rPr>
      </w:pPr>
      <w:bookmarkStart w:id="34" w:name="_Toc216861702"/>
      <w:r>
        <w:rPr>
          <w:rFonts w:ascii="Times New Roman" w:hAnsi="Times New Roman"/>
        </w:rPr>
        <w:t>8 土壤地下水污染防治分区</w:t>
      </w:r>
      <w:bookmarkEnd w:id="34"/>
    </w:p>
    <w:p w14:paraId="6BA19A5F">
      <w:pPr>
        <w:spacing w:after="156"/>
        <w:ind w:firstLine="420"/>
      </w:pPr>
      <w:r>
        <w:t>根据各评价单元环境风险指数等级分布，在GIS平台上采用空间聚类法，将工业集聚区地块土壤和地下水的环境风险进行聚类，形成若干等级，根据不同等级空间分布开展分区，形成土壤、地下水污染环境风险分区图。在此基础上，将工业集聚区生产布局功能图、区域土壤地下水地质分区</w:t>
      </w:r>
      <w:r>
        <w:rPr>
          <w:rFonts w:hint="eastAsia"/>
        </w:rPr>
        <w:t>、土壤地下水污染分布</w:t>
      </w:r>
      <w:r>
        <w:t>等图层与土壤、地下水污染环境风险分区进行图层叠加分析，根据各类要素与多边形边界的交点或多边形属性建立具有多重属性组合的新图层，并对那些在结构和属性上既相互叠加又相互联系的多种现象要素进行综合分析和评价，耦合成新的空间结构关系，修正环境污染风险分区边界，最终形成土壤、地下水污染防治分级分区图。</w:t>
      </w:r>
    </w:p>
    <w:p w14:paraId="31AC12EB">
      <w:pPr>
        <w:spacing w:after="156"/>
        <w:ind w:firstLine="420"/>
      </w:pPr>
      <w:r>
        <w:t>部分有条件地区，可开展土壤、地下水污染防治分区立体分层区划，即在单一结构含水层和多层结构含水层考虑相应的污染物迁移性和环境脆弱性，以及通过不同土层和地下水监测结果开展立体三维浓度刻画和健康风险评估，获得立体式分层区划结果。</w:t>
      </w:r>
    </w:p>
    <w:p w14:paraId="315E8422">
      <w:pPr>
        <w:pStyle w:val="2"/>
        <w:spacing w:before="312" w:after="312"/>
        <w:rPr>
          <w:rFonts w:ascii="Times New Roman" w:hAnsi="Times New Roman"/>
        </w:rPr>
      </w:pPr>
      <w:bookmarkStart w:id="35" w:name="_Toc216861703"/>
      <w:r>
        <w:rPr>
          <w:rFonts w:ascii="Times New Roman" w:hAnsi="Times New Roman"/>
        </w:rPr>
        <w:t>9 土壤地下水污染分类管控</w:t>
      </w:r>
      <w:bookmarkEnd w:id="35"/>
    </w:p>
    <w:p w14:paraId="34180812">
      <w:pPr>
        <w:pStyle w:val="4"/>
        <w:spacing w:after="156"/>
        <w:rPr>
          <w:rFonts w:ascii="Times New Roman" w:hAnsi="Times New Roman"/>
        </w:rPr>
      </w:pPr>
      <w:r>
        <w:rPr>
          <w:rFonts w:ascii="Times New Roman" w:hAnsi="Times New Roman"/>
        </w:rPr>
        <w:t>9.1.1 土壤地下水污染分区补充监测</w:t>
      </w:r>
    </w:p>
    <w:p w14:paraId="42E7AB39">
      <w:pPr>
        <w:spacing w:after="156"/>
        <w:ind w:firstLine="420"/>
      </w:pPr>
      <w:r>
        <w:t>为了解不同风险分区污染特点，对不同区块污染物水平进行监测。对所有高风险区域进行布点监测，中低风险区块可以根据实际管理需要有选择进行监测。各分区土壤地下水污染补充监测参照HJ 164和HJ/T 166技术规范，结合风险管控要求进行。</w:t>
      </w:r>
    </w:p>
    <w:p w14:paraId="4DC47611">
      <w:pPr>
        <w:spacing w:after="156"/>
        <w:ind w:firstLine="0" w:firstLineChars="0"/>
      </w:pPr>
      <w:r>
        <w:t xml:space="preserve">9.1.1.1监测布点 </w:t>
      </w:r>
    </w:p>
    <w:p w14:paraId="79FF67CB">
      <w:pPr>
        <w:spacing w:after="156"/>
        <w:ind w:firstLine="420"/>
      </w:pPr>
      <w:r>
        <w:t>监测布点以专业判断、经济高效为原则，以系统性布点法与专业判断布点法相结合，在60m×60m网格基础上，结合不同的功能区、环境风险区，对潜在污染源区、迁移路径及敏感区进行布点，布点要避开园区地下管线等设施。</w:t>
      </w:r>
    </w:p>
    <w:p w14:paraId="1A852ED1">
      <w:pPr>
        <w:spacing w:after="156"/>
        <w:ind w:firstLine="420"/>
      </w:pPr>
      <w:r>
        <w:t>每个相对独立的风险区布设1-3个采样点，对于面积较小的中风险区（如&lt;</w:t>
      </w:r>
      <w:r>
        <w:rPr>
          <w:rFonts w:hint="eastAsia"/>
        </w:rPr>
        <w:t>5</w:t>
      </w:r>
      <w:r>
        <w:t>000m</w:t>
      </w:r>
      <w:r>
        <w:rPr>
          <w:vertAlign w:val="superscript"/>
        </w:rPr>
        <w:t>2</w:t>
      </w:r>
      <w:r>
        <w:t>）</w:t>
      </w:r>
      <w:r>
        <w:rPr>
          <w:rFonts w:hint="eastAsia"/>
        </w:rPr>
        <w:t>，</w:t>
      </w:r>
      <w:r>
        <w:t xml:space="preserve">布点数量可适当减少，对于面积较大的复杂风险区以及高风险区加密布点。 </w:t>
      </w:r>
    </w:p>
    <w:p w14:paraId="71063727">
      <w:pPr>
        <w:spacing w:after="156"/>
        <w:ind w:firstLine="0" w:firstLineChars="0"/>
      </w:pPr>
      <w:r>
        <w:t>9.1.1.2监测指标</w:t>
      </w:r>
    </w:p>
    <w:p w14:paraId="20418661">
      <w:pPr>
        <w:spacing w:after="156"/>
        <w:ind w:firstLine="420"/>
      </w:pPr>
      <w:r>
        <w:t xml:space="preserve">风险区土壤污染状况调查监测项目选择应根据 GB36600要求、前期土壤污染状况调查阶段性结论与风险评估特征值确定，具体按照HJ 25.1相关要求确定。 </w:t>
      </w:r>
    </w:p>
    <w:p w14:paraId="11FFE020">
      <w:pPr>
        <w:pStyle w:val="4"/>
        <w:spacing w:after="156"/>
        <w:rPr>
          <w:rFonts w:ascii="Times New Roman" w:hAnsi="Times New Roman"/>
        </w:rPr>
      </w:pPr>
      <w:r>
        <w:rPr>
          <w:rFonts w:ascii="Times New Roman" w:hAnsi="Times New Roman"/>
        </w:rPr>
        <w:t>9.1.2 土壤地下水污染区域分类</w:t>
      </w:r>
    </w:p>
    <w:p w14:paraId="2045E1F3">
      <w:pPr>
        <w:spacing w:after="156"/>
        <w:ind w:firstLine="420"/>
      </w:pPr>
      <w:r>
        <w:t>根据土壤地下水污染风险分级、分区及补充监测结果，结合各个区块土壤、地下水污染程度、环境风险识别，确定不同区块风险关注度，即低风险关注度、中风险关注度、高风险关注度，相应确定管控类型：</w:t>
      </w:r>
    </w:p>
    <w:p w14:paraId="33F9F534">
      <w:pPr>
        <w:spacing w:after="156"/>
        <w:ind w:firstLine="0" w:firstLineChars="0"/>
        <w:rPr>
          <w:b/>
          <w:bCs/>
        </w:rPr>
      </w:pPr>
      <w:r>
        <w:rPr>
          <w:b/>
          <w:bCs/>
        </w:rPr>
        <w:t>9.1.2.1风险预防区</w:t>
      </w:r>
    </w:p>
    <w:p w14:paraId="1740A223">
      <w:pPr>
        <w:spacing w:after="156"/>
        <w:ind w:firstLine="420"/>
      </w:pPr>
      <w:r>
        <w:t>区块内土壤、地下水未受污染或污染程度较低的区域，环境风险为低风险为主，同时环境相对较敏感，需要采取预防措施以保护土壤和地下水质量。</w:t>
      </w:r>
    </w:p>
    <w:p w14:paraId="2598CED1">
      <w:pPr>
        <w:spacing w:after="156"/>
        <w:ind w:firstLine="0" w:firstLineChars="0"/>
        <w:rPr>
          <w:b/>
          <w:bCs/>
        </w:rPr>
      </w:pPr>
      <w:r>
        <w:rPr>
          <w:b/>
          <w:bCs/>
        </w:rPr>
        <w:t>9.1.2.2一般管控区</w:t>
      </w:r>
    </w:p>
    <w:p w14:paraId="7242E0F2">
      <w:pPr>
        <w:spacing w:after="156"/>
        <w:ind w:firstLine="420"/>
      </w:pPr>
      <w:r>
        <w:t>区块内土壤、地下水污染未超标，但区域环境风险以中风险为主，则归为风险一般管控区。需要进行定期监测和风险评估，以确保污染不会扩散或对环境和公共健康造成影响。</w:t>
      </w:r>
    </w:p>
    <w:p w14:paraId="0ABC8686">
      <w:pPr>
        <w:spacing w:after="156"/>
        <w:ind w:firstLine="0" w:firstLineChars="0"/>
        <w:rPr>
          <w:b/>
          <w:bCs/>
        </w:rPr>
      </w:pPr>
      <w:r>
        <w:rPr>
          <w:b/>
          <w:bCs/>
        </w:rPr>
        <w:t>9.1.2.3重点管控区</w:t>
      </w:r>
    </w:p>
    <w:p w14:paraId="7D8177A7">
      <w:pPr>
        <w:spacing w:after="156"/>
        <w:ind w:firstLine="420"/>
      </w:pPr>
      <w:r>
        <w:t>区块内土壤与地下水污染存在超标现象，环境风险以高风险为主，需要采取具体的污染治理和修复措施的区域。</w:t>
      </w:r>
    </w:p>
    <w:p w14:paraId="6AD82B9D">
      <w:pPr>
        <w:pStyle w:val="4"/>
        <w:spacing w:after="156"/>
        <w:rPr>
          <w:rFonts w:ascii="Times New Roman" w:hAnsi="Times New Roman"/>
        </w:rPr>
      </w:pPr>
      <w:r>
        <w:rPr>
          <w:rFonts w:ascii="Times New Roman" w:hAnsi="Times New Roman"/>
        </w:rPr>
        <w:t>9.1.3 土壤地下水污染区域分类管控</w:t>
      </w:r>
    </w:p>
    <w:p w14:paraId="020E203F">
      <w:pPr>
        <w:spacing w:after="156"/>
        <w:ind w:firstLine="420"/>
      </w:pPr>
      <w:r>
        <w:t>根据初步确定的土壤、地下水污染防治分区分类划分结果，对各类分区提出相应的管控目标与措施</w:t>
      </w:r>
      <w:r>
        <w:rPr>
          <w:rFonts w:hint="eastAsia"/>
        </w:rPr>
        <w:t>：</w:t>
      </w:r>
    </w:p>
    <w:p w14:paraId="72F7CE40">
      <w:pPr>
        <w:spacing w:after="156"/>
        <w:ind w:firstLine="422"/>
      </w:pPr>
      <w:r>
        <w:rPr>
          <w:b/>
          <w:bCs/>
        </w:rPr>
        <w:t>风险预防区：</w:t>
      </w:r>
      <w:r>
        <w:t>根据区域环境功能确定环境保护目标，提出降低生态环境风险的预防性对策措施。</w:t>
      </w:r>
    </w:p>
    <w:p w14:paraId="27B06464">
      <w:pPr>
        <w:spacing w:after="156"/>
        <w:ind w:firstLine="422"/>
      </w:pPr>
      <w:r>
        <w:rPr>
          <w:b/>
          <w:bCs/>
        </w:rPr>
        <w:t>一般管控区：</w:t>
      </w:r>
      <w:r>
        <w:t>以确保环境和公共健康为目标，结合环境风险评价结果，提出相应降低环境风险对策措施。</w:t>
      </w:r>
    </w:p>
    <w:p w14:paraId="085DABE9">
      <w:pPr>
        <w:spacing w:after="156"/>
        <w:ind w:firstLine="422"/>
      </w:pPr>
      <w:r>
        <w:rPr>
          <w:b/>
          <w:bCs/>
        </w:rPr>
        <w:t>重点管控区：</w:t>
      </w:r>
      <w:r>
        <w:t>结合评价单元主要超标污染物，确定治理目标</w:t>
      </w:r>
      <w:r>
        <w:rPr>
          <w:rFonts w:hint="eastAsia"/>
        </w:rPr>
        <w:t>与</w:t>
      </w:r>
      <w:r>
        <w:t>管控原则，为土壤、地下水污染治理与修复方案编制提供技术支撑。</w:t>
      </w:r>
    </w:p>
    <w:p w14:paraId="2AAAAA4B">
      <w:pPr>
        <w:spacing w:after="0" w:afterLines="0" w:line="240" w:lineRule="auto"/>
        <w:ind w:firstLine="420"/>
      </w:pPr>
    </w:p>
    <w:p w14:paraId="49EFDF6D">
      <w:pPr>
        <w:spacing w:after="156"/>
        <w:ind w:firstLine="420"/>
      </w:pPr>
    </w:p>
    <w:p w14:paraId="5F96DF4A">
      <w:pPr>
        <w:spacing w:after="156"/>
        <w:ind w:firstLine="420"/>
      </w:pPr>
    </w:p>
    <w:p w14:paraId="32A97205">
      <w:pPr>
        <w:pStyle w:val="2"/>
        <w:spacing w:before="0" w:beforeLines="0" w:after="0" w:afterLines="0" w:line="360" w:lineRule="auto"/>
        <w:jc w:val="center"/>
        <w:rPr>
          <w:rFonts w:ascii="Times New Roman" w:hAnsi="Times New Roman"/>
        </w:rPr>
      </w:pPr>
      <w:r>
        <w:rPr>
          <w:rFonts w:ascii="Times New Roman" w:hAnsi="Times New Roman"/>
        </w:rPr>
        <w:br w:type="page"/>
      </w:r>
      <w:bookmarkStart w:id="36" w:name="_Toc10691"/>
      <w:bookmarkStart w:id="37" w:name="_Toc216861704"/>
      <w:bookmarkStart w:id="38" w:name="_Toc395187810"/>
      <w:r>
        <w:rPr>
          <w:rFonts w:ascii="Times New Roman" w:hAnsi="Times New Roman"/>
        </w:rPr>
        <w:t>附录</w:t>
      </w:r>
      <w:bookmarkEnd w:id="36"/>
      <w:r>
        <w:rPr>
          <w:rFonts w:ascii="Times New Roman" w:hAnsi="Times New Roman"/>
        </w:rPr>
        <w:t>A</w:t>
      </w:r>
      <w:bookmarkEnd w:id="37"/>
    </w:p>
    <w:p w14:paraId="116D8402">
      <w:pPr>
        <w:spacing w:after="0" w:afterLines="0"/>
        <w:ind w:firstLine="420"/>
        <w:jc w:val="center"/>
      </w:pPr>
      <w:r>
        <w:t>（资料性附录）</w:t>
      </w:r>
    </w:p>
    <w:p w14:paraId="610EA0C6">
      <w:pPr>
        <w:tabs>
          <w:tab w:val="left" w:pos="709"/>
        </w:tabs>
        <w:spacing w:after="0" w:afterLines="0"/>
        <w:ind w:firstLine="420"/>
        <w:jc w:val="center"/>
        <w:rPr>
          <w:color w:val="000000" w:themeColor="text1"/>
          <w:szCs w:val="21"/>
        </w:rPr>
      </w:pPr>
      <w:r>
        <w:rPr>
          <w:color w:val="000000" w:themeColor="text1"/>
          <w:szCs w:val="21"/>
        </w:rPr>
        <w:t>拟收集资料清单</w:t>
      </w:r>
    </w:p>
    <w:p w14:paraId="5DEAD27E">
      <w:pPr>
        <w:tabs>
          <w:tab w:val="left" w:pos="709"/>
        </w:tabs>
        <w:spacing w:after="0" w:afterLines="0"/>
        <w:ind w:firstLine="0" w:firstLineChars="0"/>
        <w:jc w:val="center"/>
        <w:rPr>
          <w:b/>
          <w:bCs/>
          <w:color w:val="000000" w:themeColor="text1"/>
          <w:szCs w:val="21"/>
        </w:rPr>
      </w:pPr>
      <w:r>
        <w:rPr>
          <w:b/>
          <w:bCs/>
          <w:color w:val="000000" w:themeColor="text1"/>
          <w:szCs w:val="21"/>
        </w:rPr>
        <w:t>表A.1  工业集聚区土壤地下水污染分区分类拟收集资料清单（包括但不限于）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6320"/>
      </w:tblGrid>
      <w:tr w14:paraId="3DC5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39D70C7C">
            <w:pPr>
              <w:pStyle w:val="5"/>
              <w:spacing w:after="156"/>
              <w:jc w:val="center"/>
              <w:rPr>
                <w:rFonts w:ascii="Times New Roman" w:hAnsi="Times New Roman" w:cs="Times New Roman" w:eastAsiaTheme="minorEastAsia"/>
                <w:b/>
                <w:bCs/>
                <w:kern w:val="2"/>
              </w:rPr>
            </w:pPr>
            <w:bookmarkStart w:id="39" w:name="_Toc511393205"/>
            <w:bookmarkStart w:id="40" w:name="_Toc481504351"/>
            <w:r>
              <w:rPr>
                <w:rFonts w:ascii="Times New Roman" w:hAnsi="Times New Roman" w:cs="Times New Roman" w:eastAsiaTheme="minorEastAsia"/>
                <w:b/>
                <w:bCs/>
                <w:kern w:val="2"/>
              </w:rPr>
              <w:t>资料类型</w:t>
            </w:r>
          </w:p>
        </w:tc>
        <w:tc>
          <w:tcPr>
            <w:tcW w:w="6320" w:type="dxa"/>
            <w:vAlign w:val="center"/>
          </w:tcPr>
          <w:p w14:paraId="0A06B11D">
            <w:pPr>
              <w:pStyle w:val="5"/>
              <w:spacing w:after="156"/>
              <w:jc w:val="center"/>
              <w:rPr>
                <w:rFonts w:ascii="Times New Roman" w:hAnsi="Times New Roman" w:cs="Times New Roman" w:eastAsiaTheme="minorEastAsia"/>
                <w:b/>
                <w:bCs/>
                <w:kern w:val="2"/>
              </w:rPr>
            </w:pPr>
            <w:r>
              <w:rPr>
                <w:rFonts w:ascii="Times New Roman" w:hAnsi="Times New Roman" w:cs="Times New Roman" w:eastAsiaTheme="minorEastAsia"/>
                <w:b/>
                <w:bCs/>
                <w:kern w:val="2"/>
              </w:rPr>
              <w:t>名称</w:t>
            </w:r>
          </w:p>
        </w:tc>
      </w:tr>
      <w:tr w14:paraId="0D48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58B225B7">
            <w:pPr>
              <w:pStyle w:val="5"/>
              <w:spacing w:after="156"/>
              <w:jc w:val="center"/>
              <w:rPr>
                <w:rFonts w:ascii="Times New Roman" w:hAnsi="Times New Roman" w:cs="Times New Roman" w:eastAsiaTheme="minorEastAsia"/>
                <w:kern w:val="2"/>
              </w:rPr>
            </w:pPr>
            <w:r>
              <w:rPr>
                <w:rFonts w:ascii="Times New Roman" w:hAnsi="Times New Roman" w:cs="Times New Roman" w:eastAsiaTheme="minorEastAsia"/>
                <w:kern w:val="2"/>
              </w:rPr>
              <w:t>基础资料</w:t>
            </w:r>
          </w:p>
        </w:tc>
        <w:tc>
          <w:tcPr>
            <w:tcW w:w="6320" w:type="dxa"/>
            <w:vAlign w:val="center"/>
          </w:tcPr>
          <w:p w14:paraId="455DC448">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集聚区规划环境影响报告</w:t>
            </w:r>
          </w:p>
          <w:p w14:paraId="6F0DCC87">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区域水文地质勘探报告、工程地质勘探报告</w:t>
            </w:r>
          </w:p>
          <w:p w14:paraId="75D369DA">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区域“三线一单”生态环境管控方案</w:t>
            </w:r>
          </w:p>
          <w:p w14:paraId="5951A313">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集聚区平面布置图</w:t>
            </w:r>
          </w:p>
          <w:p w14:paraId="44C4BAD3">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集聚区基础设施概况及分布图</w:t>
            </w:r>
          </w:p>
          <w:p w14:paraId="4F346C50">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集聚区企业名单</w:t>
            </w:r>
          </w:p>
          <w:p w14:paraId="11E0E43A">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集聚区环境管理统计台帐</w:t>
            </w:r>
          </w:p>
          <w:p w14:paraId="57A84795">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园区周边环境调查报告</w:t>
            </w:r>
          </w:p>
          <w:p w14:paraId="40F18A05">
            <w:pPr>
              <w:pStyle w:val="5"/>
              <w:numPr>
                <w:ilvl w:val="0"/>
                <w:numId w:val="1"/>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园区及周边环境人口统计资料</w:t>
            </w:r>
          </w:p>
        </w:tc>
      </w:tr>
      <w:tr w14:paraId="043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39797788">
            <w:pPr>
              <w:pStyle w:val="5"/>
              <w:spacing w:after="156"/>
              <w:jc w:val="center"/>
              <w:rPr>
                <w:rFonts w:ascii="Times New Roman" w:hAnsi="Times New Roman" w:cs="Times New Roman" w:eastAsiaTheme="minorEastAsia"/>
                <w:kern w:val="2"/>
              </w:rPr>
            </w:pPr>
            <w:r>
              <w:rPr>
                <w:rFonts w:ascii="Times New Roman" w:hAnsi="Times New Roman" w:cs="Times New Roman" w:eastAsiaTheme="minorEastAsia"/>
                <w:kern w:val="2"/>
              </w:rPr>
              <w:t>企业生产管理资料</w:t>
            </w:r>
          </w:p>
        </w:tc>
        <w:tc>
          <w:tcPr>
            <w:tcW w:w="6320" w:type="dxa"/>
            <w:vAlign w:val="center"/>
          </w:tcPr>
          <w:p w14:paraId="03EB7C18">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企业生产基本概况</w:t>
            </w:r>
          </w:p>
          <w:p w14:paraId="7C045678">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企业环境影响评价报告</w:t>
            </w:r>
          </w:p>
          <w:p w14:paraId="4D762ACF">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企业土壤污染隐患排查报告及整改方案</w:t>
            </w:r>
          </w:p>
          <w:p w14:paraId="495532B9">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企业排污申报登记表（排污许可证）</w:t>
            </w:r>
          </w:p>
          <w:p w14:paraId="6487AFC8">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企业现场调查资料</w:t>
            </w:r>
          </w:p>
          <w:p w14:paraId="446F7DEC">
            <w:pPr>
              <w:pStyle w:val="5"/>
              <w:numPr>
                <w:ilvl w:val="0"/>
                <w:numId w:val="2"/>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退役地块历史企业生产概况</w:t>
            </w:r>
          </w:p>
        </w:tc>
      </w:tr>
      <w:tr w14:paraId="08FE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71A5D8F1">
            <w:pPr>
              <w:pStyle w:val="5"/>
              <w:spacing w:after="156"/>
              <w:jc w:val="center"/>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土壤和地下水污染调查和监测资料</w:t>
            </w:r>
          </w:p>
        </w:tc>
        <w:tc>
          <w:tcPr>
            <w:tcW w:w="6320" w:type="dxa"/>
            <w:vAlign w:val="center"/>
          </w:tcPr>
          <w:p w14:paraId="02809130">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重点行业企业用地详细调查结果</w:t>
            </w:r>
          </w:p>
          <w:p w14:paraId="194E86D4">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土壤、地下水环境状况初步调查结果</w:t>
            </w:r>
          </w:p>
          <w:p w14:paraId="749722D2">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土壤、地下水环境状况详细调查评估报告</w:t>
            </w:r>
          </w:p>
          <w:p w14:paraId="651FBEC9">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地下水环境污染模拟评价报告</w:t>
            </w:r>
          </w:p>
          <w:p w14:paraId="669878DE">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土壤和地下水污染溯源报告</w:t>
            </w:r>
          </w:p>
          <w:p w14:paraId="71E30E8E">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重点企业土壤和地下水自行监测报告</w:t>
            </w:r>
          </w:p>
          <w:p w14:paraId="2EB262BC">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关停企业土壤与地下水调查和风险评估报告</w:t>
            </w:r>
          </w:p>
          <w:p w14:paraId="0C829799">
            <w:pPr>
              <w:pStyle w:val="5"/>
              <w:numPr>
                <w:ilvl w:val="0"/>
                <w:numId w:val="3"/>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重点监管企业周边监测报告</w:t>
            </w:r>
          </w:p>
        </w:tc>
      </w:tr>
      <w:tr w14:paraId="4DA2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265FF7D2">
            <w:pPr>
              <w:pStyle w:val="5"/>
              <w:spacing w:after="156"/>
              <w:jc w:val="center"/>
              <w:rPr>
                <w:rFonts w:ascii="Times New Roman" w:hAnsi="Times New Roman" w:cs="Times New Roman" w:eastAsiaTheme="minorEastAsia"/>
                <w:kern w:val="2"/>
              </w:rPr>
            </w:pPr>
            <w:r>
              <w:rPr>
                <w:rFonts w:ascii="Times New Roman" w:hAnsi="Times New Roman" w:cs="Times New Roman" w:eastAsiaTheme="minorEastAsia"/>
                <w:kern w:val="2"/>
              </w:rPr>
              <w:t>环境管理文件</w:t>
            </w:r>
          </w:p>
        </w:tc>
        <w:tc>
          <w:tcPr>
            <w:tcW w:w="6320" w:type="dxa"/>
            <w:vAlign w:val="center"/>
          </w:tcPr>
          <w:p w14:paraId="4AB2FD2B">
            <w:pPr>
              <w:pStyle w:val="5"/>
              <w:numPr>
                <w:ilvl w:val="0"/>
                <w:numId w:val="4"/>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集聚区企业突发环境事故记录</w:t>
            </w:r>
          </w:p>
          <w:p w14:paraId="4FA73835">
            <w:pPr>
              <w:pStyle w:val="5"/>
              <w:numPr>
                <w:ilvl w:val="0"/>
                <w:numId w:val="4"/>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企业责令改正土壤和地下水违法行为决定书</w:t>
            </w:r>
          </w:p>
          <w:p w14:paraId="5D241E12">
            <w:pPr>
              <w:pStyle w:val="5"/>
              <w:numPr>
                <w:ilvl w:val="0"/>
                <w:numId w:val="4"/>
              </w:numPr>
              <w:spacing w:after="156"/>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集聚区环境管理台帐</w:t>
            </w:r>
          </w:p>
        </w:tc>
      </w:tr>
      <w:bookmarkEnd w:id="38"/>
      <w:bookmarkEnd w:id="39"/>
      <w:bookmarkEnd w:id="40"/>
    </w:tbl>
    <w:p w14:paraId="529B5413">
      <w:pPr>
        <w:spacing w:after="0" w:afterLines="0" w:line="240" w:lineRule="auto"/>
        <w:ind w:firstLine="420"/>
        <w:rPr>
          <w:bCs/>
        </w:rPr>
      </w:pPr>
      <w:bookmarkStart w:id="41" w:name="_Toc216861583"/>
    </w:p>
    <w:p w14:paraId="65784B19">
      <w:pPr>
        <w:pStyle w:val="2"/>
        <w:spacing w:before="0" w:beforeLines="0" w:after="0" w:afterLines="0" w:line="360" w:lineRule="auto"/>
        <w:jc w:val="center"/>
        <w:rPr>
          <w:rFonts w:ascii="Times New Roman" w:hAnsi="Times New Roman"/>
        </w:rPr>
      </w:pPr>
      <w:r>
        <w:rPr>
          <w:rFonts w:ascii="Times New Roman" w:hAnsi="Times New Roman" w:eastAsia="宋体"/>
          <w:bCs w:val="0"/>
          <w:kern w:val="0"/>
          <w:szCs w:val="22"/>
        </w:rPr>
        <w:br w:type="page"/>
      </w:r>
      <w:bookmarkStart w:id="42" w:name="_Toc216861705"/>
      <w:r>
        <w:rPr>
          <w:rFonts w:ascii="Times New Roman" w:hAnsi="Times New Roman"/>
        </w:rPr>
        <w:t>附录B</w:t>
      </w:r>
      <w:bookmarkEnd w:id="41"/>
      <w:bookmarkEnd w:id="42"/>
    </w:p>
    <w:p w14:paraId="52E5EBA0">
      <w:pPr>
        <w:spacing w:after="0" w:afterLines="0"/>
        <w:ind w:firstLine="420"/>
        <w:jc w:val="center"/>
      </w:pPr>
      <w:r>
        <w:t>（资料性附录）</w:t>
      </w:r>
    </w:p>
    <w:p w14:paraId="598D4864">
      <w:pPr>
        <w:tabs>
          <w:tab w:val="left" w:pos="709"/>
        </w:tabs>
        <w:spacing w:after="0" w:afterLines="0"/>
        <w:ind w:firstLine="420"/>
        <w:jc w:val="center"/>
        <w:rPr>
          <w:color w:val="000000" w:themeColor="text1"/>
          <w:szCs w:val="21"/>
        </w:rPr>
      </w:pPr>
      <w:r>
        <w:rPr>
          <w:color w:val="000000" w:themeColor="text1"/>
          <w:szCs w:val="21"/>
        </w:rPr>
        <w:t>环境风险评价指标分级赋分（参考）</w:t>
      </w:r>
    </w:p>
    <w:p w14:paraId="48B689C8">
      <w:pPr>
        <w:spacing w:after="156"/>
        <w:ind w:firstLine="422"/>
        <w:jc w:val="center"/>
        <w:rPr>
          <w:b/>
          <w:bCs/>
          <w:color w:val="000000" w:themeColor="text1"/>
          <w:szCs w:val="21"/>
        </w:rPr>
      </w:pPr>
      <w:r>
        <w:rPr>
          <w:b/>
          <w:bCs/>
          <w:color w:val="000000" w:themeColor="text1"/>
          <w:szCs w:val="21"/>
        </w:rPr>
        <w:t>表B.1  污染荷载指数指标及等级划分</w:t>
      </w:r>
    </w:p>
    <w:tbl>
      <w:tblPr>
        <w:tblStyle w:val="12"/>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0"/>
        <w:gridCol w:w="571"/>
        <w:gridCol w:w="2264"/>
        <w:gridCol w:w="2835"/>
        <w:gridCol w:w="1417"/>
      </w:tblGrid>
      <w:tr w14:paraId="2AB80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4245" w:type="dxa"/>
            <w:gridSpan w:val="3"/>
            <w:vAlign w:val="center"/>
          </w:tcPr>
          <w:p w14:paraId="1699BEEE">
            <w:pPr>
              <w:pStyle w:val="5"/>
              <w:spacing w:line="300" w:lineRule="auto"/>
              <w:jc w:val="center"/>
              <w:rPr>
                <w:b/>
                <w:bCs/>
              </w:rPr>
            </w:pPr>
            <w:r>
              <w:rPr>
                <w:b/>
                <w:bCs/>
              </w:rPr>
              <w:t>指标</w:t>
            </w:r>
          </w:p>
        </w:tc>
        <w:tc>
          <w:tcPr>
            <w:tcW w:w="4252" w:type="dxa"/>
            <w:gridSpan w:val="2"/>
            <w:vAlign w:val="center"/>
          </w:tcPr>
          <w:p w14:paraId="233E5E65">
            <w:pPr>
              <w:pStyle w:val="5"/>
              <w:spacing w:line="300" w:lineRule="auto"/>
              <w:jc w:val="center"/>
              <w:rPr>
                <w:b/>
                <w:bCs/>
              </w:rPr>
            </w:pPr>
            <w:r>
              <w:rPr>
                <w:b/>
                <w:bCs/>
              </w:rPr>
              <w:t>指标赋值</w:t>
            </w:r>
          </w:p>
        </w:tc>
      </w:tr>
      <w:tr w14:paraId="425D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Align w:val="center"/>
          </w:tcPr>
          <w:p w14:paraId="714E9866">
            <w:pPr>
              <w:pStyle w:val="5"/>
              <w:spacing w:line="300" w:lineRule="auto"/>
              <w:jc w:val="center"/>
              <w:rPr>
                <w:b/>
                <w:bCs/>
                <w:lang w:eastAsia="zh-CN"/>
              </w:rPr>
            </w:pPr>
            <w:r>
              <w:rPr>
                <w:b/>
                <w:bCs/>
                <w:lang w:eastAsia="zh-CN"/>
              </w:rPr>
              <w:t>二级指标</w:t>
            </w:r>
          </w:p>
        </w:tc>
        <w:tc>
          <w:tcPr>
            <w:tcW w:w="2835" w:type="dxa"/>
            <w:gridSpan w:val="2"/>
            <w:vAlign w:val="center"/>
          </w:tcPr>
          <w:p w14:paraId="6F398048">
            <w:pPr>
              <w:pStyle w:val="5"/>
              <w:spacing w:line="300" w:lineRule="auto"/>
              <w:jc w:val="center"/>
              <w:rPr>
                <w:b/>
                <w:bCs/>
                <w:lang w:eastAsia="zh-CN"/>
              </w:rPr>
            </w:pPr>
            <w:r>
              <w:rPr>
                <w:b/>
                <w:bCs/>
                <w:lang w:eastAsia="zh-CN"/>
              </w:rPr>
              <w:t>三级指标</w:t>
            </w:r>
          </w:p>
        </w:tc>
        <w:tc>
          <w:tcPr>
            <w:tcW w:w="2835" w:type="dxa"/>
            <w:vAlign w:val="center"/>
          </w:tcPr>
          <w:p w14:paraId="0BFB347C">
            <w:pPr>
              <w:pStyle w:val="5"/>
              <w:spacing w:line="300" w:lineRule="auto"/>
              <w:jc w:val="center"/>
              <w:rPr>
                <w:b/>
                <w:bCs/>
                <w:lang w:eastAsia="zh-CN"/>
              </w:rPr>
            </w:pPr>
            <w:r>
              <w:rPr>
                <w:b/>
                <w:bCs/>
                <w:lang w:eastAsia="zh-CN"/>
              </w:rPr>
              <w:t>指标等级</w:t>
            </w:r>
          </w:p>
        </w:tc>
        <w:tc>
          <w:tcPr>
            <w:tcW w:w="1417" w:type="dxa"/>
            <w:vAlign w:val="center"/>
          </w:tcPr>
          <w:p w14:paraId="3F1922EF">
            <w:pPr>
              <w:pStyle w:val="5"/>
              <w:spacing w:line="300" w:lineRule="auto"/>
              <w:jc w:val="center"/>
              <w:rPr>
                <w:b/>
                <w:bCs/>
                <w:lang w:eastAsia="zh-CN"/>
              </w:rPr>
            </w:pPr>
            <w:r>
              <w:rPr>
                <w:b/>
                <w:bCs/>
                <w:lang w:eastAsia="zh-CN"/>
              </w:rPr>
              <w:t>指标分值</w:t>
            </w:r>
          </w:p>
        </w:tc>
      </w:tr>
      <w:tr w14:paraId="28B32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981" w:type="dxa"/>
            <w:gridSpan w:val="2"/>
            <w:vMerge w:val="restart"/>
            <w:vAlign w:val="center"/>
          </w:tcPr>
          <w:p w14:paraId="293C7E15">
            <w:pPr>
              <w:pStyle w:val="5"/>
              <w:spacing w:line="300" w:lineRule="auto"/>
              <w:jc w:val="center"/>
              <w:rPr>
                <w:lang w:eastAsia="zh-CN"/>
              </w:rPr>
            </w:pPr>
            <w:r>
              <w:rPr>
                <w:lang w:eastAsia="zh-CN"/>
              </w:rPr>
              <w:t>污染物泄漏水平Q</w:t>
            </w:r>
            <w:r>
              <w:rPr>
                <w:vertAlign w:val="subscript"/>
                <w:lang w:eastAsia="zh-CN"/>
              </w:rPr>
              <w:t>1</w:t>
            </w:r>
          </w:p>
        </w:tc>
        <w:tc>
          <w:tcPr>
            <w:tcW w:w="2264" w:type="dxa"/>
            <w:vMerge w:val="restart"/>
            <w:vAlign w:val="center"/>
          </w:tcPr>
          <w:p w14:paraId="10BDB044">
            <w:pPr>
              <w:pStyle w:val="5"/>
              <w:spacing w:line="300" w:lineRule="auto"/>
              <w:jc w:val="center"/>
              <w:rPr>
                <w:lang w:eastAsia="zh-CN"/>
              </w:rPr>
            </w:pPr>
            <w:r>
              <w:rPr>
                <w:lang w:eastAsia="zh-CN"/>
              </w:rPr>
              <w:t>原辅材料中有毒有害物质总量（q</w:t>
            </w:r>
            <w:r>
              <w:rPr>
                <w:vertAlign w:val="subscript"/>
                <w:lang w:eastAsia="zh-CN"/>
              </w:rPr>
              <w:t>1</w:t>
            </w:r>
            <w:r>
              <w:rPr>
                <w:lang w:eastAsia="zh-CN"/>
              </w:rPr>
              <w:t>吨）</w:t>
            </w:r>
          </w:p>
        </w:tc>
        <w:tc>
          <w:tcPr>
            <w:tcW w:w="2835" w:type="dxa"/>
            <w:vAlign w:val="center"/>
          </w:tcPr>
          <w:p w14:paraId="581FE2DD">
            <w:pPr>
              <w:pStyle w:val="5"/>
              <w:spacing w:line="300" w:lineRule="auto"/>
              <w:jc w:val="center"/>
              <w:rPr>
                <w:lang w:eastAsia="zh-CN"/>
              </w:rPr>
            </w:pPr>
            <w:r>
              <w:rPr>
                <w:lang w:eastAsia="zh-CN"/>
              </w:rPr>
              <w:t>q</w:t>
            </w:r>
            <w:r>
              <w:rPr>
                <w:vertAlign w:val="subscript"/>
                <w:lang w:eastAsia="zh-CN"/>
              </w:rPr>
              <w:t>1</w:t>
            </w:r>
            <w:r>
              <w:rPr>
                <w:lang w:eastAsia="zh-CN"/>
              </w:rPr>
              <w:t>&lt;100</w:t>
            </w:r>
          </w:p>
        </w:tc>
        <w:tc>
          <w:tcPr>
            <w:tcW w:w="1417" w:type="dxa"/>
            <w:vAlign w:val="center"/>
          </w:tcPr>
          <w:p w14:paraId="5A4F2109">
            <w:pPr>
              <w:pStyle w:val="5"/>
              <w:spacing w:line="300" w:lineRule="auto"/>
              <w:jc w:val="center"/>
              <w:rPr>
                <w:lang w:eastAsia="zh-CN"/>
              </w:rPr>
            </w:pPr>
            <w:r>
              <w:rPr>
                <w:lang w:eastAsia="zh-CN"/>
              </w:rPr>
              <w:t>2</w:t>
            </w:r>
          </w:p>
        </w:tc>
      </w:tr>
      <w:tr w14:paraId="424D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7CE7B83D">
            <w:pPr>
              <w:pStyle w:val="5"/>
              <w:spacing w:line="300" w:lineRule="auto"/>
              <w:jc w:val="center"/>
              <w:rPr>
                <w:lang w:eastAsia="zh-CN"/>
              </w:rPr>
            </w:pPr>
          </w:p>
        </w:tc>
        <w:tc>
          <w:tcPr>
            <w:tcW w:w="2264" w:type="dxa"/>
            <w:vMerge w:val="continue"/>
            <w:vAlign w:val="center"/>
          </w:tcPr>
          <w:p w14:paraId="6093EE93">
            <w:pPr>
              <w:pStyle w:val="5"/>
              <w:spacing w:line="300" w:lineRule="auto"/>
              <w:rPr>
                <w:lang w:eastAsia="zh-CN"/>
              </w:rPr>
            </w:pPr>
          </w:p>
        </w:tc>
        <w:tc>
          <w:tcPr>
            <w:tcW w:w="2835" w:type="dxa"/>
            <w:vAlign w:val="center"/>
          </w:tcPr>
          <w:p w14:paraId="26346554">
            <w:pPr>
              <w:pStyle w:val="5"/>
              <w:spacing w:line="300" w:lineRule="auto"/>
              <w:jc w:val="center"/>
              <w:rPr>
                <w:lang w:eastAsia="zh-CN"/>
              </w:rPr>
            </w:pPr>
            <w:r>
              <w:rPr>
                <w:lang w:eastAsia="zh-CN"/>
              </w:rPr>
              <w:t>100≤q</w:t>
            </w:r>
            <w:r>
              <w:rPr>
                <w:vertAlign w:val="subscript"/>
                <w:lang w:eastAsia="zh-CN"/>
              </w:rPr>
              <w:t>1</w:t>
            </w:r>
            <w:r>
              <w:rPr>
                <w:lang w:eastAsia="zh-CN"/>
              </w:rPr>
              <w:t>&lt;1000</w:t>
            </w:r>
          </w:p>
        </w:tc>
        <w:tc>
          <w:tcPr>
            <w:tcW w:w="1417" w:type="dxa"/>
            <w:vAlign w:val="center"/>
          </w:tcPr>
          <w:p w14:paraId="43201EE2">
            <w:pPr>
              <w:pStyle w:val="5"/>
              <w:spacing w:line="300" w:lineRule="auto"/>
              <w:jc w:val="center"/>
              <w:rPr>
                <w:lang w:eastAsia="zh-CN"/>
              </w:rPr>
            </w:pPr>
            <w:r>
              <w:rPr>
                <w:lang w:eastAsia="zh-CN"/>
              </w:rPr>
              <w:t>4</w:t>
            </w:r>
          </w:p>
        </w:tc>
      </w:tr>
      <w:tr w14:paraId="4FAA7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358045EF">
            <w:pPr>
              <w:pStyle w:val="5"/>
              <w:spacing w:line="300" w:lineRule="auto"/>
              <w:jc w:val="center"/>
              <w:rPr>
                <w:lang w:eastAsia="zh-CN"/>
              </w:rPr>
            </w:pPr>
          </w:p>
        </w:tc>
        <w:tc>
          <w:tcPr>
            <w:tcW w:w="2264" w:type="dxa"/>
            <w:vMerge w:val="continue"/>
            <w:vAlign w:val="center"/>
          </w:tcPr>
          <w:p w14:paraId="1507A3B0">
            <w:pPr>
              <w:pStyle w:val="5"/>
              <w:spacing w:line="300" w:lineRule="auto"/>
              <w:rPr>
                <w:lang w:eastAsia="zh-CN"/>
              </w:rPr>
            </w:pPr>
          </w:p>
        </w:tc>
        <w:tc>
          <w:tcPr>
            <w:tcW w:w="2835" w:type="dxa"/>
            <w:vAlign w:val="center"/>
          </w:tcPr>
          <w:p w14:paraId="611F63D0">
            <w:pPr>
              <w:pStyle w:val="5"/>
              <w:spacing w:line="300" w:lineRule="auto"/>
              <w:jc w:val="center"/>
              <w:rPr>
                <w:lang w:eastAsia="zh-CN"/>
              </w:rPr>
            </w:pPr>
            <w:r>
              <w:rPr>
                <w:lang w:eastAsia="zh-CN"/>
              </w:rPr>
              <w:t>1000≤q</w:t>
            </w:r>
            <w:r>
              <w:rPr>
                <w:vertAlign w:val="subscript"/>
                <w:lang w:eastAsia="zh-CN"/>
              </w:rPr>
              <w:t>1</w:t>
            </w:r>
            <w:r>
              <w:rPr>
                <w:lang w:eastAsia="zh-CN"/>
              </w:rPr>
              <w:t>&lt;5000</w:t>
            </w:r>
          </w:p>
        </w:tc>
        <w:tc>
          <w:tcPr>
            <w:tcW w:w="1417" w:type="dxa"/>
            <w:vAlign w:val="center"/>
          </w:tcPr>
          <w:p w14:paraId="0C450A57">
            <w:pPr>
              <w:pStyle w:val="5"/>
              <w:spacing w:line="300" w:lineRule="auto"/>
              <w:jc w:val="center"/>
              <w:rPr>
                <w:lang w:eastAsia="zh-CN"/>
              </w:rPr>
            </w:pPr>
            <w:r>
              <w:rPr>
                <w:lang w:eastAsia="zh-CN"/>
              </w:rPr>
              <w:t>6</w:t>
            </w:r>
          </w:p>
        </w:tc>
      </w:tr>
      <w:tr w14:paraId="0E39F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5958B468">
            <w:pPr>
              <w:pStyle w:val="5"/>
              <w:spacing w:line="300" w:lineRule="auto"/>
              <w:jc w:val="center"/>
              <w:rPr>
                <w:lang w:eastAsia="zh-CN"/>
              </w:rPr>
            </w:pPr>
          </w:p>
        </w:tc>
        <w:tc>
          <w:tcPr>
            <w:tcW w:w="2264" w:type="dxa"/>
            <w:vMerge w:val="continue"/>
            <w:vAlign w:val="center"/>
          </w:tcPr>
          <w:p w14:paraId="3B0DE754">
            <w:pPr>
              <w:pStyle w:val="5"/>
              <w:spacing w:line="300" w:lineRule="auto"/>
              <w:rPr>
                <w:lang w:eastAsia="zh-CN"/>
              </w:rPr>
            </w:pPr>
          </w:p>
        </w:tc>
        <w:tc>
          <w:tcPr>
            <w:tcW w:w="2835" w:type="dxa"/>
            <w:vAlign w:val="center"/>
          </w:tcPr>
          <w:p w14:paraId="1F704A6C">
            <w:pPr>
              <w:pStyle w:val="5"/>
              <w:spacing w:line="300" w:lineRule="auto"/>
              <w:jc w:val="center"/>
              <w:rPr>
                <w:lang w:eastAsia="zh-CN"/>
              </w:rPr>
            </w:pPr>
            <w:r>
              <w:rPr>
                <w:lang w:eastAsia="zh-CN"/>
              </w:rPr>
              <w:t>5000≤q</w:t>
            </w:r>
            <w:r>
              <w:rPr>
                <w:vertAlign w:val="subscript"/>
                <w:lang w:eastAsia="zh-CN"/>
              </w:rPr>
              <w:t>1</w:t>
            </w:r>
            <w:r>
              <w:rPr>
                <w:lang w:eastAsia="zh-CN"/>
              </w:rPr>
              <w:t>&lt;10000</w:t>
            </w:r>
          </w:p>
        </w:tc>
        <w:tc>
          <w:tcPr>
            <w:tcW w:w="1417" w:type="dxa"/>
            <w:vAlign w:val="center"/>
          </w:tcPr>
          <w:p w14:paraId="31E3E0F6">
            <w:pPr>
              <w:pStyle w:val="5"/>
              <w:spacing w:line="300" w:lineRule="auto"/>
              <w:jc w:val="center"/>
              <w:rPr>
                <w:lang w:eastAsia="zh-CN"/>
              </w:rPr>
            </w:pPr>
            <w:r>
              <w:rPr>
                <w:lang w:eastAsia="zh-CN"/>
              </w:rPr>
              <w:t>8</w:t>
            </w:r>
          </w:p>
        </w:tc>
      </w:tr>
      <w:tr w14:paraId="17021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61604E8D">
            <w:pPr>
              <w:pStyle w:val="5"/>
              <w:spacing w:line="300" w:lineRule="auto"/>
              <w:jc w:val="center"/>
              <w:rPr>
                <w:lang w:eastAsia="zh-CN"/>
              </w:rPr>
            </w:pPr>
          </w:p>
        </w:tc>
        <w:tc>
          <w:tcPr>
            <w:tcW w:w="2264" w:type="dxa"/>
            <w:vMerge w:val="continue"/>
            <w:vAlign w:val="center"/>
          </w:tcPr>
          <w:p w14:paraId="46B25F99">
            <w:pPr>
              <w:pStyle w:val="5"/>
              <w:spacing w:line="300" w:lineRule="auto"/>
              <w:rPr>
                <w:lang w:eastAsia="zh-CN"/>
              </w:rPr>
            </w:pPr>
          </w:p>
        </w:tc>
        <w:tc>
          <w:tcPr>
            <w:tcW w:w="2835" w:type="dxa"/>
            <w:vAlign w:val="center"/>
          </w:tcPr>
          <w:p w14:paraId="440A4B65">
            <w:pPr>
              <w:pStyle w:val="5"/>
              <w:spacing w:line="300" w:lineRule="auto"/>
              <w:jc w:val="center"/>
              <w:rPr>
                <w:lang w:eastAsia="zh-CN"/>
              </w:rPr>
            </w:pPr>
            <w:r>
              <w:rPr>
                <w:lang w:eastAsia="zh-CN"/>
              </w:rPr>
              <w:t>q</w:t>
            </w:r>
            <w:r>
              <w:rPr>
                <w:vertAlign w:val="subscript"/>
                <w:lang w:eastAsia="zh-CN"/>
              </w:rPr>
              <w:t>1</w:t>
            </w:r>
            <w:r>
              <w:rPr>
                <w:lang w:eastAsia="zh-CN"/>
              </w:rPr>
              <w:t>≥10000</w:t>
            </w:r>
          </w:p>
        </w:tc>
        <w:tc>
          <w:tcPr>
            <w:tcW w:w="1417" w:type="dxa"/>
            <w:vAlign w:val="center"/>
          </w:tcPr>
          <w:p w14:paraId="59FB4139">
            <w:pPr>
              <w:pStyle w:val="5"/>
              <w:spacing w:line="300" w:lineRule="auto"/>
              <w:jc w:val="center"/>
              <w:rPr>
                <w:lang w:eastAsia="zh-CN"/>
              </w:rPr>
            </w:pPr>
            <w:r>
              <w:rPr>
                <w:lang w:eastAsia="zh-CN"/>
              </w:rPr>
              <w:t>10</w:t>
            </w:r>
          </w:p>
        </w:tc>
      </w:tr>
      <w:tr w14:paraId="6D8B6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981" w:type="dxa"/>
            <w:gridSpan w:val="2"/>
            <w:vMerge w:val="continue"/>
            <w:vAlign w:val="center"/>
          </w:tcPr>
          <w:p w14:paraId="46692258">
            <w:pPr>
              <w:pStyle w:val="5"/>
              <w:spacing w:line="300" w:lineRule="auto"/>
              <w:jc w:val="center"/>
              <w:rPr>
                <w:lang w:eastAsia="zh-CN"/>
              </w:rPr>
            </w:pPr>
          </w:p>
        </w:tc>
        <w:tc>
          <w:tcPr>
            <w:tcW w:w="2264" w:type="dxa"/>
            <w:vMerge w:val="restart"/>
            <w:vAlign w:val="center"/>
          </w:tcPr>
          <w:p w14:paraId="4A5774AB">
            <w:pPr>
              <w:pStyle w:val="5"/>
              <w:spacing w:line="300" w:lineRule="auto"/>
              <w:jc w:val="center"/>
              <w:rPr>
                <w:lang w:eastAsia="zh-CN"/>
              </w:rPr>
            </w:pPr>
            <w:r>
              <w:rPr>
                <w:lang w:eastAsia="zh-CN"/>
              </w:rPr>
              <w:t>一般固废年贮存量（q</w:t>
            </w:r>
            <w:r>
              <w:rPr>
                <w:vertAlign w:val="subscript"/>
                <w:lang w:eastAsia="zh-CN"/>
              </w:rPr>
              <w:t>2</w:t>
            </w:r>
            <w:r>
              <w:rPr>
                <w:lang w:eastAsia="zh-CN"/>
              </w:rPr>
              <w:t>吨）</w:t>
            </w:r>
          </w:p>
        </w:tc>
        <w:tc>
          <w:tcPr>
            <w:tcW w:w="2835" w:type="dxa"/>
            <w:vAlign w:val="center"/>
          </w:tcPr>
          <w:p w14:paraId="182390C7">
            <w:pPr>
              <w:pStyle w:val="5"/>
              <w:spacing w:line="300" w:lineRule="auto"/>
              <w:jc w:val="center"/>
              <w:rPr>
                <w:lang w:eastAsia="zh-CN"/>
              </w:rPr>
            </w:pPr>
            <w:r>
              <w:rPr>
                <w:lang w:eastAsia="zh-CN"/>
              </w:rPr>
              <w:t>q</w:t>
            </w:r>
            <w:r>
              <w:rPr>
                <w:vertAlign w:val="subscript"/>
                <w:lang w:eastAsia="zh-CN"/>
              </w:rPr>
              <w:t>2</w:t>
            </w:r>
            <w:r>
              <w:rPr>
                <w:lang w:eastAsia="zh-CN"/>
              </w:rPr>
              <w:t>=0</w:t>
            </w:r>
          </w:p>
        </w:tc>
        <w:tc>
          <w:tcPr>
            <w:tcW w:w="1417" w:type="dxa"/>
            <w:vAlign w:val="center"/>
          </w:tcPr>
          <w:p w14:paraId="2775CECD">
            <w:pPr>
              <w:pStyle w:val="5"/>
              <w:spacing w:line="300" w:lineRule="auto"/>
              <w:jc w:val="center"/>
              <w:rPr>
                <w:lang w:eastAsia="zh-CN"/>
              </w:rPr>
            </w:pPr>
            <w:r>
              <w:rPr>
                <w:lang w:eastAsia="zh-CN"/>
              </w:rPr>
              <w:t>0</w:t>
            </w:r>
          </w:p>
        </w:tc>
      </w:tr>
      <w:tr w14:paraId="18D42A32">
        <w:tblPrEx>
          <w:tblCellMar>
            <w:top w:w="0" w:type="dxa"/>
            <w:left w:w="108" w:type="dxa"/>
            <w:bottom w:w="0" w:type="dxa"/>
            <w:right w:w="108" w:type="dxa"/>
          </w:tblCellMar>
        </w:tblPrEx>
        <w:trPr>
          <w:trHeight w:val="31" w:hRule="atLeast"/>
          <w:jc w:val="center"/>
        </w:trPr>
        <w:tc>
          <w:tcPr>
            <w:tcW w:w="1981" w:type="dxa"/>
            <w:gridSpan w:val="2"/>
            <w:vMerge w:val="continue"/>
            <w:vAlign w:val="center"/>
          </w:tcPr>
          <w:p w14:paraId="17925DB9">
            <w:pPr>
              <w:pStyle w:val="5"/>
              <w:spacing w:line="300" w:lineRule="auto"/>
              <w:jc w:val="center"/>
              <w:rPr>
                <w:lang w:eastAsia="zh-CN"/>
              </w:rPr>
            </w:pPr>
          </w:p>
        </w:tc>
        <w:tc>
          <w:tcPr>
            <w:tcW w:w="2264" w:type="dxa"/>
            <w:vMerge w:val="continue"/>
            <w:vAlign w:val="center"/>
          </w:tcPr>
          <w:p w14:paraId="65222D97">
            <w:pPr>
              <w:pStyle w:val="5"/>
              <w:spacing w:line="300" w:lineRule="auto"/>
              <w:rPr>
                <w:lang w:eastAsia="zh-CN"/>
              </w:rPr>
            </w:pPr>
          </w:p>
        </w:tc>
        <w:tc>
          <w:tcPr>
            <w:tcW w:w="2835" w:type="dxa"/>
            <w:vAlign w:val="center"/>
          </w:tcPr>
          <w:p w14:paraId="6B3BDA36">
            <w:pPr>
              <w:pStyle w:val="5"/>
              <w:spacing w:line="300" w:lineRule="auto"/>
              <w:jc w:val="center"/>
              <w:rPr>
                <w:lang w:eastAsia="zh-CN"/>
              </w:rPr>
            </w:pPr>
            <w:r>
              <w:rPr>
                <w:lang w:eastAsia="zh-CN"/>
              </w:rPr>
              <w:t>q</w:t>
            </w:r>
            <w:r>
              <w:rPr>
                <w:vertAlign w:val="subscript"/>
                <w:lang w:eastAsia="zh-CN"/>
              </w:rPr>
              <w:t>2</w:t>
            </w:r>
            <w:r>
              <w:rPr>
                <w:lang w:eastAsia="zh-CN"/>
              </w:rPr>
              <w:t>&lt;50</w:t>
            </w:r>
          </w:p>
        </w:tc>
        <w:tc>
          <w:tcPr>
            <w:tcW w:w="1417" w:type="dxa"/>
            <w:vAlign w:val="center"/>
          </w:tcPr>
          <w:p w14:paraId="722F3A15">
            <w:pPr>
              <w:pStyle w:val="5"/>
              <w:spacing w:line="300" w:lineRule="auto"/>
              <w:jc w:val="center"/>
              <w:rPr>
                <w:lang w:eastAsia="zh-CN"/>
              </w:rPr>
            </w:pPr>
            <w:r>
              <w:rPr>
                <w:lang w:eastAsia="zh-CN"/>
              </w:rPr>
              <w:t>1.0</w:t>
            </w:r>
          </w:p>
        </w:tc>
      </w:tr>
      <w:tr w14:paraId="488A3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1E638FAA">
            <w:pPr>
              <w:pStyle w:val="5"/>
              <w:spacing w:line="300" w:lineRule="auto"/>
              <w:jc w:val="center"/>
              <w:rPr>
                <w:lang w:eastAsia="zh-CN"/>
              </w:rPr>
            </w:pPr>
          </w:p>
        </w:tc>
        <w:tc>
          <w:tcPr>
            <w:tcW w:w="2264" w:type="dxa"/>
            <w:vMerge w:val="continue"/>
            <w:vAlign w:val="center"/>
          </w:tcPr>
          <w:p w14:paraId="6C8B3BE1">
            <w:pPr>
              <w:pStyle w:val="5"/>
              <w:spacing w:line="300" w:lineRule="auto"/>
              <w:rPr>
                <w:lang w:eastAsia="zh-CN"/>
              </w:rPr>
            </w:pPr>
          </w:p>
        </w:tc>
        <w:tc>
          <w:tcPr>
            <w:tcW w:w="2835" w:type="dxa"/>
            <w:vAlign w:val="center"/>
          </w:tcPr>
          <w:p w14:paraId="34851FC0">
            <w:pPr>
              <w:pStyle w:val="5"/>
              <w:spacing w:line="300" w:lineRule="auto"/>
              <w:jc w:val="center"/>
              <w:rPr>
                <w:lang w:eastAsia="zh-CN"/>
              </w:rPr>
            </w:pPr>
            <w:r>
              <w:rPr>
                <w:lang w:eastAsia="zh-CN"/>
              </w:rPr>
              <w:t>50≤q</w:t>
            </w:r>
            <w:r>
              <w:rPr>
                <w:vertAlign w:val="subscript"/>
                <w:lang w:eastAsia="zh-CN"/>
              </w:rPr>
              <w:t>2</w:t>
            </w:r>
            <w:r>
              <w:rPr>
                <w:lang w:eastAsia="zh-CN"/>
              </w:rPr>
              <w:t>&lt;500</w:t>
            </w:r>
          </w:p>
        </w:tc>
        <w:tc>
          <w:tcPr>
            <w:tcW w:w="1417" w:type="dxa"/>
            <w:vAlign w:val="center"/>
          </w:tcPr>
          <w:p w14:paraId="721FC9B6">
            <w:pPr>
              <w:pStyle w:val="5"/>
              <w:spacing w:line="300" w:lineRule="auto"/>
              <w:jc w:val="center"/>
              <w:rPr>
                <w:lang w:eastAsia="zh-CN"/>
              </w:rPr>
            </w:pPr>
            <w:r>
              <w:rPr>
                <w:lang w:eastAsia="zh-CN"/>
              </w:rPr>
              <w:t>2.0</w:t>
            </w:r>
          </w:p>
        </w:tc>
      </w:tr>
      <w:tr w14:paraId="10632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797E9CE1">
            <w:pPr>
              <w:pStyle w:val="5"/>
              <w:spacing w:line="300" w:lineRule="auto"/>
              <w:jc w:val="center"/>
              <w:rPr>
                <w:lang w:eastAsia="zh-CN"/>
              </w:rPr>
            </w:pPr>
          </w:p>
        </w:tc>
        <w:tc>
          <w:tcPr>
            <w:tcW w:w="2264" w:type="dxa"/>
            <w:vMerge w:val="continue"/>
            <w:vAlign w:val="center"/>
          </w:tcPr>
          <w:p w14:paraId="09555CFA">
            <w:pPr>
              <w:pStyle w:val="5"/>
              <w:spacing w:line="300" w:lineRule="auto"/>
              <w:rPr>
                <w:lang w:eastAsia="zh-CN"/>
              </w:rPr>
            </w:pPr>
          </w:p>
        </w:tc>
        <w:tc>
          <w:tcPr>
            <w:tcW w:w="2835" w:type="dxa"/>
            <w:vAlign w:val="center"/>
          </w:tcPr>
          <w:p w14:paraId="2ADC9267">
            <w:pPr>
              <w:pStyle w:val="5"/>
              <w:spacing w:line="300" w:lineRule="auto"/>
              <w:jc w:val="center"/>
              <w:rPr>
                <w:lang w:eastAsia="zh-CN"/>
              </w:rPr>
            </w:pPr>
            <w:r>
              <w:rPr>
                <w:lang w:eastAsia="zh-CN"/>
              </w:rPr>
              <w:t>500≤q</w:t>
            </w:r>
            <w:r>
              <w:rPr>
                <w:vertAlign w:val="subscript"/>
                <w:lang w:eastAsia="zh-CN"/>
              </w:rPr>
              <w:t>2</w:t>
            </w:r>
            <w:r>
              <w:rPr>
                <w:lang w:eastAsia="zh-CN"/>
              </w:rPr>
              <w:t>&lt;5000</w:t>
            </w:r>
          </w:p>
        </w:tc>
        <w:tc>
          <w:tcPr>
            <w:tcW w:w="1417" w:type="dxa"/>
            <w:vAlign w:val="center"/>
          </w:tcPr>
          <w:p w14:paraId="6AE93A01">
            <w:pPr>
              <w:pStyle w:val="5"/>
              <w:spacing w:line="300" w:lineRule="auto"/>
              <w:jc w:val="center"/>
              <w:rPr>
                <w:lang w:eastAsia="zh-CN"/>
              </w:rPr>
            </w:pPr>
            <w:r>
              <w:rPr>
                <w:lang w:eastAsia="zh-CN"/>
              </w:rPr>
              <w:t>3.5</w:t>
            </w:r>
          </w:p>
        </w:tc>
      </w:tr>
      <w:tr w14:paraId="09DBA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 w:hRule="atLeast"/>
          <w:jc w:val="center"/>
        </w:trPr>
        <w:tc>
          <w:tcPr>
            <w:tcW w:w="1981" w:type="dxa"/>
            <w:gridSpan w:val="2"/>
            <w:vMerge w:val="continue"/>
            <w:vAlign w:val="center"/>
          </w:tcPr>
          <w:p w14:paraId="470B409E">
            <w:pPr>
              <w:pStyle w:val="5"/>
              <w:spacing w:line="300" w:lineRule="auto"/>
              <w:jc w:val="center"/>
              <w:rPr>
                <w:lang w:eastAsia="zh-CN"/>
              </w:rPr>
            </w:pPr>
          </w:p>
        </w:tc>
        <w:tc>
          <w:tcPr>
            <w:tcW w:w="2264" w:type="dxa"/>
            <w:vMerge w:val="continue"/>
            <w:vAlign w:val="center"/>
          </w:tcPr>
          <w:p w14:paraId="15BAB76E">
            <w:pPr>
              <w:pStyle w:val="5"/>
              <w:spacing w:line="300" w:lineRule="auto"/>
              <w:rPr>
                <w:lang w:eastAsia="zh-CN"/>
              </w:rPr>
            </w:pPr>
          </w:p>
        </w:tc>
        <w:tc>
          <w:tcPr>
            <w:tcW w:w="2835" w:type="dxa"/>
            <w:vAlign w:val="center"/>
          </w:tcPr>
          <w:p w14:paraId="371BBC1F">
            <w:pPr>
              <w:pStyle w:val="5"/>
              <w:spacing w:line="300" w:lineRule="auto"/>
              <w:jc w:val="center"/>
              <w:rPr>
                <w:lang w:eastAsia="zh-CN"/>
              </w:rPr>
            </w:pPr>
            <w:r>
              <w:rPr>
                <w:lang w:eastAsia="zh-CN"/>
              </w:rPr>
              <w:t>q</w:t>
            </w:r>
            <w:r>
              <w:rPr>
                <w:vertAlign w:val="subscript"/>
                <w:lang w:eastAsia="zh-CN"/>
              </w:rPr>
              <w:t>2</w:t>
            </w:r>
            <w:r>
              <w:rPr>
                <w:lang w:eastAsia="zh-CN"/>
              </w:rPr>
              <w:t>≥5000</w:t>
            </w:r>
          </w:p>
        </w:tc>
        <w:tc>
          <w:tcPr>
            <w:tcW w:w="1417" w:type="dxa"/>
            <w:vAlign w:val="center"/>
          </w:tcPr>
          <w:p w14:paraId="3E0CBDD7">
            <w:pPr>
              <w:pStyle w:val="5"/>
              <w:spacing w:line="300" w:lineRule="auto"/>
              <w:jc w:val="center"/>
              <w:rPr>
                <w:lang w:eastAsia="zh-CN"/>
              </w:rPr>
            </w:pPr>
            <w:r>
              <w:rPr>
                <w:lang w:eastAsia="zh-CN"/>
              </w:rPr>
              <w:t>5</w:t>
            </w:r>
          </w:p>
        </w:tc>
      </w:tr>
      <w:tr w14:paraId="4341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4B88FFA4">
            <w:pPr>
              <w:pStyle w:val="5"/>
              <w:spacing w:line="300" w:lineRule="auto"/>
              <w:jc w:val="center"/>
              <w:rPr>
                <w:lang w:eastAsia="zh-CN"/>
              </w:rPr>
            </w:pPr>
          </w:p>
        </w:tc>
        <w:tc>
          <w:tcPr>
            <w:tcW w:w="2264" w:type="dxa"/>
            <w:vMerge w:val="restart"/>
            <w:vAlign w:val="center"/>
          </w:tcPr>
          <w:p w14:paraId="61C40F37">
            <w:pPr>
              <w:pStyle w:val="5"/>
              <w:spacing w:line="300" w:lineRule="auto"/>
              <w:jc w:val="center"/>
              <w:rPr>
                <w:lang w:eastAsia="zh-CN"/>
              </w:rPr>
            </w:pPr>
            <w:r>
              <w:rPr>
                <w:lang w:eastAsia="zh-CN"/>
              </w:rPr>
              <w:t>危险固废年贮存量（q</w:t>
            </w:r>
            <w:r>
              <w:rPr>
                <w:vertAlign w:val="subscript"/>
                <w:lang w:eastAsia="zh-CN"/>
              </w:rPr>
              <w:t>3</w:t>
            </w:r>
            <w:r>
              <w:rPr>
                <w:lang w:eastAsia="zh-CN"/>
              </w:rPr>
              <w:t>吨）</w:t>
            </w:r>
          </w:p>
        </w:tc>
        <w:tc>
          <w:tcPr>
            <w:tcW w:w="2835" w:type="dxa"/>
            <w:vAlign w:val="center"/>
          </w:tcPr>
          <w:p w14:paraId="3988AC9D">
            <w:pPr>
              <w:pStyle w:val="5"/>
              <w:spacing w:line="300" w:lineRule="auto"/>
              <w:jc w:val="center"/>
              <w:rPr>
                <w:lang w:eastAsia="zh-CN"/>
              </w:rPr>
            </w:pPr>
            <w:r>
              <w:rPr>
                <w:lang w:eastAsia="zh-CN"/>
              </w:rPr>
              <w:t>q</w:t>
            </w:r>
            <w:r>
              <w:rPr>
                <w:vertAlign w:val="subscript"/>
                <w:lang w:eastAsia="zh-CN"/>
              </w:rPr>
              <w:t>3</w:t>
            </w:r>
            <w:r>
              <w:rPr>
                <w:lang w:eastAsia="zh-CN"/>
              </w:rPr>
              <w:t>=0</w:t>
            </w:r>
          </w:p>
        </w:tc>
        <w:tc>
          <w:tcPr>
            <w:tcW w:w="1417" w:type="dxa"/>
            <w:vAlign w:val="center"/>
          </w:tcPr>
          <w:p w14:paraId="4B52D1A2">
            <w:pPr>
              <w:pStyle w:val="5"/>
              <w:spacing w:line="300" w:lineRule="auto"/>
              <w:jc w:val="center"/>
              <w:rPr>
                <w:lang w:eastAsia="zh-CN"/>
              </w:rPr>
            </w:pPr>
            <w:r>
              <w:rPr>
                <w:lang w:eastAsia="zh-CN"/>
              </w:rPr>
              <w:t>0</w:t>
            </w:r>
          </w:p>
        </w:tc>
      </w:tr>
      <w:tr w14:paraId="7C980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4D34D26">
            <w:pPr>
              <w:pStyle w:val="5"/>
              <w:spacing w:line="300" w:lineRule="auto"/>
              <w:jc w:val="center"/>
              <w:rPr>
                <w:lang w:eastAsia="zh-CN"/>
              </w:rPr>
            </w:pPr>
          </w:p>
        </w:tc>
        <w:tc>
          <w:tcPr>
            <w:tcW w:w="2264" w:type="dxa"/>
            <w:vMerge w:val="continue"/>
            <w:vAlign w:val="center"/>
          </w:tcPr>
          <w:p w14:paraId="29438D90">
            <w:pPr>
              <w:pStyle w:val="5"/>
              <w:spacing w:line="300" w:lineRule="auto"/>
              <w:jc w:val="center"/>
              <w:rPr>
                <w:lang w:eastAsia="zh-CN"/>
              </w:rPr>
            </w:pPr>
          </w:p>
        </w:tc>
        <w:tc>
          <w:tcPr>
            <w:tcW w:w="2835" w:type="dxa"/>
            <w:vAlign w:val="center"/>
          </w:tcPr>
          <w:p w14:paraId="1F9A903A">
            <w:pPr>
              <w:pStyle w:val="5"/>
              <w:spacing w:line="300" w:lineRule="auto"/>
              <w:jc w:val="center"/>
              <w:rPr>
                <w:lang w:eastAsia="zh-CN"/>
              </w:rPr>
            </w:pPr>
            <w:r>
              <w:rPr>
                <w:lang w:eastAsia="zh-CN"/>
              </w:rPr>
              <w:t>q</w:t>
            </w:r>
            <w:r>
              <w:rPr>
                <w:vertAlign w:val="subscript"/>
                <w:lang w:eastAsia="zh-CN"/>
              </w:rPr>
              <w:t>3</w:t>
            </w:r>
            <w:r>
              <w:rPr>
                <w:lang w:eastAsia="zh-CN"/>
              </w:rPr>
              <w:t>&lt;50</w:t>
            </w:r>
          </w:p>
        </w:tc>
        <w:tc>
          <w:tcPr>
            <w:tcW w:w="1417" w:type="dxa"/>
            <w:vAlign w:val="center"/>
          </w:tcPr>
          <w:p w14:paraId="079BBC6B">
            <w:pPr>
              <w:pStyle w:val="5"/>
              <w:spacing w:line="300" w:lineRule="auto"/>
              <w:jc w:val="center"/>
              <w:rPr>
                <w:lang w:eastAsia="zh-CN"/>
              </w:rPr>
            </w:pPr>
            <w:r>
              <w:rPr>
                <w:lang w:eastAsia="zh-CN"/>
              </w:rPr>
              <w:t>2.5</w:t>
            </w:r>
          </w:p>
        </w:tc>
      </w:tr>
      <w:tr w14:paraId="39D74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6EB61950">
            <w:pPr>
              <w:pStyle w:val="5"/>
              <w:spacing w:line="300" w:lineRule="auto"/>
              <w:jc w:val="center"/>
              <w:rPr>
                <w:lang w:eastAsia="zh-CN"/>
              </w:rPr>
            </w:pPr>
          </w:p>
        </w:tc>
        <w:tc>
          <w:tcPr>
            <w:tcW w:w="2264" w:type="dxa"/>
            <w:vMerge w:val="continue"/>
            <w:vAlign w:val="center"/>
          </w:tcPr>
          <w:p w14:paraId="5AF607C6">
            <w:pPr>
              <w:pStyle w:val="5"/>
              <w:spacing w:line="300" w:lineRule="auto"/>
              <w:jc w:val="center"/>
              <w:rPr>
                <w:lang w:eastAsia="zh-CN"/>
              </w:rPr>
            </w:pPr>
          </w:p>
        </w:tc>
        <w:tc>
          <w:tcPr>
            <w:tcW w:w="2835" w:type="dxa"/>
            <w:vAlign w:val="center"/>
          </w:tcPr>
          <w:p w14:paraId="2B951E8F">
            <w:pPr>
              <w:pStyle w:val="5"/>
              <w:spacing w:line="300" w:lineRule="auto"/>
              <w:jc w:val="center"/>
              <w:rPr>
                <w:lang w:eastAsia="zh-CN"/>
              </w:rPr>
            </w:pPr>
            <w:r>
              <w:rPr>
                <w:lang w:eastAsia="zh-CN"/>
              </w:rPr>
              <w:t>50≤q</w:t>
            </w:r>
            <w:r>
              <w:rPr>
                <w:vertAlign w:val="subscript"/>
                <w:lang w:eastAsia="zh-CN"/>
              </w:rPr>
              <w:t>3</w:t>
            </w:r>
            <w:r>
              <w:rPr>
                <w:lang w:eastAsia="zh-CN"/>
              </w:rPr>
              <w:t>&lt;500</w:t>
            </w:r>
          </w:p>
        </w:tc>
        <w:tc>
          <w:tcPr>
            <w:tcW w:w="1417" w:type="dxa"/>
            <w:vAlign w:val="center"/>
          </w:tcPr>
          <w:p w14:paraId="12C20F72">
            <w:pPr>
              <w:pStyle w:val="5"/>
              <w:spacing w:line="300" w:lineRule="auto"/>
              <w:jc w:val="center"/>
              <w:rPr>
                <w:lang w:eastAsia="zh-CN"/>
              </w:rPr>
            </w:pPr>
            <w:r>
              <w:rPr>
                <w:lang w:eastAsia="zh-CN"/>
              </w:rPr>
              <w:t>5</w:t>
            </w:r>
          </w:p>
        </w:tc>
      </w:tr>
      <w:tr w14:paraId="501BA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12691CC3">
            <w:pPr>
              <w:pStyle w:val="5"/>
              <w:spacing w:line="300" w:lineRule="auto"/>
              <w:jc w:val="center"/>
              <w:rPr>
                <w:lang w:eastAsia="zh-CN"/>
              </w:rPr>
            </w:pPr>
          </w:p>
        </w:tc>
        <w:tc>
          <w:tcPr>
            <w:tcW w:w="2264" w:type="dxa"/>
            <w:vMerge w:val="continue"/>
            <w:vAlign w:val="center"/>
          </w:tcPr>
          <w:p w14:paraId="65810E6C">
            <w:pPr>
              <w:pStyle w:val="5"/>
              <w:spacing w:line="300" w:lineRule="auto"/>
              <w:jc w:val="center"/>
              <w:rPr>
                <w:lang w:eastAsia="zh-CN"/>
              </w:rPr>
            </w:pPr>
          </w:p>
        </w:tc>
        <w:tc>
          <w:tcPr>
            <w:tcW w:w="2835" w:type="dxa"/>
            <w:vAlign w:val="center"/>
          </w:tcPr>
          <w:p w14:paraId="23133E2C">
            <w:pPr>
              <w:pStyle w:val="5"/>
              <w:spacing w:line="300" w:lineRule="auto"/>
              <w:jc w:val="center"/>
              <w:rPr>
                <w:lang w:eastAsia="zh-CN"/>
              </w:rPr>
            </w:pPr>
            <w:r>
              <w:rPr>
                <w:lang w:eastAsia="zh-CN"/>
              </w:rPr>
              <w:t>500≤q</w:t>
            </w:r>
            <w:r>
              <w:rPr>
                <w:vertAlign w:val="subscript"/>
                <w:lang w:eastAsia="zh-CN"/>
              </w:rPr>
              <w:t>3</w:t>
            </w:r>
            <w:r>
              <w:rPr>
                <w:lang w:eastAsia="zh-CN"/>
              </w:rPr>
              <w:t>&lt;5000</w:t>
            </w:r>
          </w:p>
        </w:tc>
        <w:tc>
          <w:tcPr>
            <w:tcW w:w="1417" w:type="dxa"/>
            <w:vAlign w:val="center"/>
          </w:tcPr>
          <w:p w14:paraId="3444D7E8">
            <w:pPr>
              <w:pStyle w:val="5"/>
              <w:spacing w:line="300" w:lineRule="auto"/>
              <w:jc w:val="center"/>
              <w:rPr>
                <w:lang w:eastAsia="zh-CN"/>
              </w:rPr>
            </w:pPr>
            <w:r>
              <w:rPr>
                <w:lang w:eastAsia="zh-CN"/>
              </w:rPr>
              <w:t>7.5</w:t>
            </w:r>
          </w:p>
        </w:tc>
      </w:tr>
      <w:tr w14:paraId="6401E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4F32B31E">
            <w:pPr>
              <w:pStyle w:val="5"/>
              <w:spacing w:line="300" w:lineRule="auto"/>
              <w:jc w:val="center"/>
              <w:rPr>
                <w:lang w:eastAsia="zh-CN"/>
              </w:rPr>
            </w:pPr>
          </w:p>
        </w:tc>
        <w:tc>
          <w:tcPr>
            <w:tcW w:w="2264" w:type="dxa"/>
            <w:vMerge w:val="continue"/>
            <w:vAlign w:val="center"/>
          </w:tcPr>
          <w:p w14:paraId="670E7457">
            <w:pPr>
              <w:pStyle w:val="5"/>
              <w:spacing w:line="300" w:lineRule="auto"/>
              <w:jc w:val="center"/>
              <w:rPr>
                <w:lang w:eastAsia="zh-CN"/>
              </w:rPr>
            </w:pPr>
          </w:p>
        </w:tc>
        <w:tc>
          <w:tcPr>
            <w:tcW w:w="2835" w:type="dxa"/>
            <w:vAlign w:val="center"/>
          </w:tcPr>
          <w:p w14:paraId="309223C5">
            <w:pPr>
              <w:pStyle w:val="5"/>
              <w:spacing w:line="300" w:lineRule="auto"/>
              <w:jc w:val="center"/>
              <w:rPr>
                <w:lang w:eastAsia="zh-CN"/>
              </w:rPr>
            </w:pPr>
            <w:r>
              <w:rPr>
                <w:lang w:eastAsia="zh-CN"/>
              </w:rPr>
              <w:t>q</w:t>
            </w:r>
            <w:r>
              <w:rPr>
                <w:vertAlign w:val="subscript"/>
                <w:lang w:eastAsia="zh-CN"/>
              </w:rPr>
              <w:t>3</w:t>
            </w:r>
            <w:r>
              <w:rPr>
                <w:lang w:eastAsia="zh-CN"/>
              </w:rPr>
              <w:t>≥5000</w:t>
            </w:r>
          </w:p>
        </w:tc>
        <w:tc>
          <w:tcPr>
            <w:tcW w:w="1417" w:type="dxa"/>
            <w:vAlign w:val="center"/>
          </w:tcPr>
          <w:p w14:paraId="71730133">
            <w:pPr>
              <w:pStyle w:val="5"/>
              <w:spacing w:line="300" w:lineRule="auto"/>
              <w:jc w:val="center"/>
              <w:rPr>
                <w:lang w:eastAsia="zh-CN"/>
              </w:rPr>
            </w:pPr>
            <w:r>
              <w:rPr>
                <w:lang w:eastAsia="zh-CN"/>
              </w:rPr>
              <w:t>10</w:t>
            </w:r>
          </w:p>
        </w:tc>
      </w:tr>
      <w:tr w14:paraId="3CFD2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87CDD8C">
            <w:pPr>
              <w:pStyle w:val="5"/>
              <w:spacing w:line="300" w:lineRule="auto"/>
              <w:jc w:val="center"/>
              <w:rPr>
                <w:lang w:eastAsia="zh-CN"/>
              </w:rPr>
            </w:pPr>
          </w:p>
        </w:tc>
        <w:tc>
          <w:tcPr>
            <w:tcW w:w="2264" w:type="dxa"/>
            <w:vMerge w:val="restart"/>
            <w:vAlign w:val="center"/>
          </w:tcPr>
          <w:p w14:paraId="294C221F">
            <w:pPr>
              <w:pStyle w:val="5"/>
              <w:spacing w:line="300" w:lineRule="auto"/>
              <w:jc w:val="center"/>
              <w:rPr>
                <w:lang w:eastAsia="zh-CN"/>
              </w:rPr>
            </w:pPr>
            <w:r>
              <w:rPr>
                <w:lang w:eastAsia="zh-CN"/>
              </w:rPr>
              <w:t>废水管控水平（d</w:t>
            </w:r>
            <w:r>
              <w:rPr>
                <w:vertAlign w:val="subscript"/>
                <w:lang w:eastAsia="zh-CN"/>
              </w:rPr>
              <w:t>1</w:t>
            </w:r>
            <w:r>
              <w:rPr>
                <w:lang w:eastAsia="zh-CN"/>
              </w:rPr>
              <w:t>）</w:t>
            </w:r>
          </w:p>
        </w:tc>
        <w:tc>
          <w:tcPr>
            <w:tcW w:w="2835" w:type="dxa"/>
            <w:vAlign w:val="center"/>
          </w:tcPr>
          <w:p w14:paraId="68C5C611">
            <w:pPr>
              <w:pStyle w:val="5"/>
              <w:spacing w:line="300" w:lineRule="auto"/>
              <w:jc w:val="center"/>
              <w:rPr>
                <w:lang w:eastAsia="zh-CN"/>
              </w:rPr>
            </w:pPr>
            <w:r>
              <w:rPr>
                <w:lang w:eastAsia="zh-CN"/>
              </w:rPr>
              <w:t>不产生废水或废水处理后100%回用</w:t>
            </w:r>
          </w:p>
        </w:tc>
        <w:tc>
          <w:tcPr>
            <w:tcW w:w="1417" w:type="dxa"/>
            <w:vAlign w:val="center"/>
          </w:tcPr>
          <w:p w14:paraId="064C6CF8">
            <w:pPr>
              <w:pStyle w:val="5"/>
              <w:spacing w:line="300" w:lineRule="auto"/>
              <w:jc w:val="center"/>
              <w:rPr>
                <w:lang w:eastAsia="zh-CN"/>
              </w:rPr>
            </w:pPr>
            <w:r>
              <w:rPr>
                <w:lang w:eastAsia="zh-CN"/>
              </w:rPr>
              <w:t>0</w:t>
            </w:r>
          </w:p>
        </w:tc>
      </w:tr>
      <w:tr w14:paraId="3D9C7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565D359B">
            <w:pPr>
              <w:pStyle w:val="5"/>
              <w:spacing w:line="300" w:lineRule="auto"/>
              <w:jc w:val="center"/>
              <w:rPr>
                <w:lang w:eastAsia="zh-CN"/>
              </w:rPr>
            </w:pPr>
          </w:p>
        </w:tc>
        <w:tc>
          <w:tcPr>
            <w:tcW w:w="2264" w:type="dxa"/>
            <w:vMerge w:val="continue"/>
            <w:vAlign w:val="center"/>
          </w:tcPr>
          <w:p w14:paraId="50DE5333">
            <w:pPr>
              <w:pStyle w:val="5"/>
              <w:spacing w:line="300" w:lineRule="auto"/>
              <w:jc w:val="center"/>
              <w:rPr>
                <w:lang w:eastAsia="zh-CN"/>
              </w:rPr>
            </w:pPr>
          </w:p>
        </w:tc>
        <w:tc>
          <w:tcPr>
            <w:tcW w:w="2835" w:type="dxa"/>
            <w:vAlign w:val="center"/>
          </w:tcPr>
          <w:p w14:paraId="7C2AA7D6">
            <w:pPr>
              <w:pStyle w:val="5"/>
              <w:spacing w:line="300" w:lineRule="auto"/>
              <w:jc w:val="center"/>
              <w:rPr>
                <w:lang w:eastAsia="zh-CN"/>
              </w:rPr>
            </w:pPr>
            <w:r>
              <w:rPr>
                <w:lang w:eastAsia="zh-CN"/>
              </w:rPr>
              <w:t>污水进入城市污水处理厂或工业废水集中处理厂</w:t>
            </w:r>
          </w:p>
        </w:tc>
        <w:tc>
          <w:tcPr>
            <w:tcW w:w="1417" w:type="dxa"/>
            <w:vAlign w:val="center"/>
          </w:tcPr>
          <w:p w14:paraId="0B75B48E">
            <w:pPr>
              <w:pStyle w:val="5"/>
              <w:spacing w:line="300" w:lineRule="auto"/>
              <w:jc w:val="center"/>
              <w:rPr>
                <w:lang w:eastAsia="zh-CN"/>
              </w:rPr>
            </w:pPr>
            <w:r>
              <w:rPr>
                <w:lang w:eastAsia="zh-CN"/>
              </w:rPr>
              <w:t>0.5</w:t>
            </w:r>
          </w:p>
        </w:tc>
      </w:tr>
      <w:tr w14:paraId="64E3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5871D00">
            <w:pPr>
              <w:pStyle w:val="5"/>
              <w:spacing w:line="300" w:lineRule="auto"/>
              <w:jc w:val="center"/>
              <w:rPr>
                <w:lang w:eastAsia="zh-CN"/>
              </w:rPr>
            </w:pPr>
          </w:p>
        </w:tc>
        <w:tc>
          <w:tcPr>
            <w:tcW w:w="2264" w:type="dxa"/>
            <w:vMerge w:val="continue"/>
            <w:vAlign w:val="center"/>
          </w:tcPr>
          <w:p w14:paraId="1B704F83">
            <w:pPr>
              <w:pStyle w:val="5"/>
              <w:spacing w:line="300" w:lineRule="auto"/>
              <w:jc w:val="center"/>
              <w:rPr>
                <w:lang w:eastAsia="zh-CN"/>
              </w:rPr>
            </w:pPr>
          </w:p>
        </w:tc>
        <w:tc>
          <w:tcPr>
            <w:tcW w:w="2835" w:type="dxa"/>
            <w:vAlign w:val="center"/>
          </w:tcPr>
          <w:p w14:paraId="3EA70525">
            <w:pPr>
              <w:pStyle w:val="5"/>
              <w:spacing w:line="300" w:lineRule="auto"/>
              <w:jc w:val="center"/>
              <w:rPr>
                <w:lang w:eastAsia="zh-CN"/>
              </w:rPr>
            </w:pPr>
            <w:r>
              <w:rPr>
                <w:lang w:eastAsia="zh-CN"/>
              </w:rPr>
              <w:t>污水经处理后达标排放</w:t>
            </w:r>
          </w:p>
        </w:tc>
        <w:tc>
          <w:tcPr>
            <w:tcW w:w="1417" w:type="dxa"/>
            <w:vAlign w:val="center"/>
          </w:tcPr>
          <w:p w14:paraId="287D2AE5">
            <w:pPr>
              <w:pStyle w:val="5"/>
              <w:spacing w:line="300" w:lineRule="auto"/>
              <w:jc w:val="center"/>
              <w:rPr>
                <w:lang w:eastAsia="zh-CN"/>
              </w:rPr>
            </w:pPr>
            <w:r>
              <w:rPr>
                <w:lang w:eastAsia="zh-CN"/>
              </w:rPr>
              <w:t>0.5</w:t>
            </w:r>
          </w:p>
        </w:tc>
      </w:tr>
      <w:tr w14:paraId="5B3DB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F207405">
            <w:pPr>
              <w:pStyle w:val="5"/>
              <w:spacing w:line="300" w:lineRule="auto"/>
              <w:jc w:val="center"/>
              <w:rPr>
                <w:lang w:eastAsia="zh-CN"/>
              </w:rPr>
            </w:pPr>
          </w:p>
        </w:tc>
        <w:tc>
          <w:tcPr>
            <w:tcW w:w="2264" w:type="dxa"/>
            <w:vMerge w:val="continue"/>
            <w:vAlign w:val="center"/>
          </w:tcPr>
          <w:p w14:paraId="1B0FEC30">
            <w:pPr>
              <w:pStyle w:val="5"/>
              <w:spacing w:line="300" w:lineRule="auto"/>
              <w:jc w:val="center"/>
              <w:rPr>
                <w:lang w:eastAsia="zh-CN"/>
              </w:rPr>
            </w:pPr>
          </w:p>
        </w:tc>
        <w:tc>
          <w:tcPr>
            <w:tcW w:w="2835" w:type="dxa"/>
            <w:vAlign w:val="center"/>
          </w:tcPr>
          <w:p w14:paraId="4CE4B764">
            <w:pPr>
              <w:pStyle w:val="5"/>
              <w:spacing w:line="300" w:lineRule="auto"/>
              <w:jc w:val="center"/>
              <w:rPr>
                <w:lang w:eastAsia="zh-CN"/>
              </w:rPr>
            </w:pPr>
            <w:r>
              <w:rPr>
                <w:lang w:eastAsia="zh-CN"/>
              </w:rPr>
              <w:t>污水经处理后不能稳定达标</w:t>
            </w:r>
          </w:p>
        </w:tc>
        <w:tc>
          <w:tcPr>
            <w:tcW w:w="1417" w:type="dxa"/>
            <w:vAlign w:val="center"/>
          </w:tcPr>
          <w:p w14:paraId="7D5C5BE1">
            <w:pPr>
              <w:pStyle w:val="5"/>
              <w:spacing w:line="300" w:lineRule="auto"/>
              <w:jc w:val="center"/>
              <w:rPr>
                <w:lang w:eastAsia="zh-CN"/>
              </w:rPr>
            </w:pPr>
            <w:r>
              <w:rPr>
                <w:lang w:eastAsia="zh-CN"/>
              </w:rPr>
              <w:t>0.8</w:t>
            </w:r>
          </w:p>
        </w:tc>
      </w:tr>
      <w:tr w14:paraId="2259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6AA72D13">
            <w:pPr>
              <w:pStyle w:val="5"/>
              <w:spacing w:line="300" w:lineRule="auto"/>
              <w:jc w:val="center"/>
              <w:rPr>
                <w:lang w:eastAsia="zh-CN"/>
              </w:rPr>
            </w:pPr>
          </w:p>
        </w:tc>
        <w:tc>
          <w:tcPr>
            <w:tcW w:w="2264" w:type="dxa"/>
            <w:vMerge w:val="continue"/>
            <w:vAlign w:val="center"/>
          </w:tcPr>
          <w:p w14:paraId="2A79164F">
            <w:pPr>
              <w:pStyle w:val="5"/>
              <w:spacing w:line="300" w:lineRule="auto"/>
              <w:jc w:val="center"/>
              <w:rPr>
                <w:lang w:eastAsia="zh-CN"/>
              </w:rPr>
            </w:pPr>
          </w:p>
        </w:tc>
        <w:tc>
          <w:tcPr>
            <w:tcW w:w="2835" w:type="dxa"/>
            <w:vAlign w:val="center"/>
          </w:tcPr>
          <w:p w14:paraId="02599777">
            <w:pPr>
              <w:pStyle w:val="5"/>
              <w:spacing w:line="300" w:lineRule="auto"/>
              <w:jc w:val="center"/>
              <w:rPr>
                <w:lang w:eastAsia="zh-CN"/>
              </w:rPr>
            </w:pPr>
            <w:r>
              <w:rPr>
                <w:lang w:eastAsia="zh-CN"/>
              </w:rPr>
              <w:t>直接进入或通过城市下水道进入周边水环境</w:t>
            </w:r>
          </w:p>
        </w:tc>
        <w:tc>
          <w:tcPr>
            <w:tcW w:w="1417" w:type="dxa"/>
            <w:vAlign w:val="center"/>
          </w:tcPr>
          <w:p w14:paraId="42145DA3">
            <w:pPr>
              <w:pStyle w:val="5"/>
              <w:spacing w:line="300" w:lineRule="auto"/>
              <w:jc w:val="center"/>
              <w:rPr>
                <w:lang w:eastAsia="zh-CN"/>
              </w:rPr>
            </w:pPr>
            <w:r>
              <w:rPr>
                <w:lang w:eastAsia="zh-CN"/>
              </w:rPr>
              <w:t>1</w:t>
            </w:r>
          </w:p>
        </w:tc>
      </w:tr>
      <w:tr w14:paraId="3B2E4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4E370CD9">
            <w:pPr>
              <w:pStyle w:val="5"/>
              <w:spacing w:line="300" w:lineRule="auto"/>
              <w:jc w:val="center"/>
              <w:rPr>
                <w:lang w:eastAsia="zh-CN"/>
              </w:rPr>
            </w:pPr>
          </w:p>
        </w:tc>
        <w:tc>
          <w:tcPr>
            <w:tcW w:w="2264" w:type="dxa"/>
            <w:vMerge w:val="restart"/>
            <w:vAlign w:val="center"/>
          </w:tcPr>
          <w:p w14:paraId="30F4AE02">
            <w:pPr>
              <w:pStyle w:val="5"/>
              <w:spacing w:line="300" w:lineRule="auto"/>
              <w:jc w:val="center"/>
              <w:rPr>
                <w:lang w:eastAsia="zh-CN"/>
              </w:rPr>
            </w:pPr>
            <w:r>
              <w:rPr>
                <w:lang w:eastAsia="zh-CN"/>
              </w:rPr>
              <w:t>废气管控水平（d</w:t>
            </w:r>
            <w:r>
              <w:rPr>
                <w:vertAlign w:val="subscript"/>
                <w:lang w:eastAsia="zh-CN"/>
              </w:rPr>
              <w:t>2</w:t>
            </w:r>
            <w:r>
              <w:rPr>
                <w:lang w:eastAsia="zh-CN"/>
              </w:rPr>
              <w:t>）</w:t>
            </w:r>
          </w:p>
        </w:tc>
        <w:tc>
          <w:tcPr>
            <w:tcW w:w="2835" w:type="dxa"/>
            <w:vAlign w:val="center"/>
          </w:tcPr>
          <w:p w14:paraId="35C46003">
            <w:pPr>
              <w:pStyle w:val="5"/>
              <w:spacing w:line="300" w:lineRule="auto"/>
              <w:jc w:val="center"/>
              <w:rPr>
                <w:lang w:eastAsia="zh-CN"/>
              </w:rPr>
            </w:pPr>
            <w:r>
              <w:rPr>
                <w:lang w:eastAsia="zh-CN"/>
              </w:rPr>
              <w:t>不涉及有毒有害废气</w:t>
            </w:r>
          </w:p>
        </w:tc>
        <w:tc>
          <w:tcPr>
            <w:tcW w:w="1417" w:type="dxa"/>
            <w:vAlign w:val="center"/>
          </w:tcPr>
          <w:p w14:paraId="49A43266">
            <w:pPr>
              <w:pStyle w:val="5"/>
              <w:spacing w:line="300" w:lineRule="auto"/>
              <w:jc w:val="center"/>
              <w:rPr>
                <w:lang w:eastAsia="zh-CN"/>
              </w:rPr>
            </w:pPr>
            <w:r>
              <w:rPr>
                <w:lang w:eastAsia="zh-CN"/>
              </w:rPr>
              <w:t>0</w:t>
            </w:r>
          </w:p>
        </w:tc>
      </w:tr>
      <w:tr w14:paraId="48340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A8DBBC2">
            <w:pPr>
              <w:pStyle w:val="5"/>
              <w:spacing w:line="300" w:lineRule="auto"/>
              <w:jc w:val="center"/>
              <w:rPr>
                <w:lang w:eastAsia="zh-CN"/>
              </w:rPr>
            </w:pPr>
          </w:p>
        </w:tc>
        <w:tc>
          <w:tcPr>
            <w:tcW w:w="2264" w:type="dxa"/>
            <w:vMerge w:val="continue"/>
            <w:vAlign w:val="center"/>
          </w:tcPr>
          <w:p w14:paraId="2A68EB0D">
            <w:pPr>
              <w:pStyle w:val="5"/>
              <w:spacing w:line="300" w:lineRule="auto"/>
              <w:jc w:val="center"/>
              <w:rPr>
                <w:lang w:eastAsia="zh-CN"/>
              </w:rPr>
            </w:pPr>
          </w:p>
        </w:tc>
        <w:tc>
          <w:tcPr>
            <w:tcW w:w="2835" w:type="dxa"/>
            <w:vAlign w:val="center"/>
          </w:tcPr>
          <w:p w14:paraId="160E2904">
            <w:pPr>
              <w:pStyle w:val="5"/>
              <w:spacing w:line="300" w:lineRule="auto"/>
              <w:jc w:val="center"/>
              <w:rPr>
                <w:lang w:eastAsia="zh-CN"/>
              </w:rPr>
            </w:pPr>
            <w:r>
              <w:rPr>
                <w:lang w:eastAsia="zh-CN"/>
              </w:rPr>
              <w:t>生产区域有泄露紧急处置措施及废弃治理设施</w:t>
            </w:r>
          </w:p>
        </w:tc>
        <w:tc>
          <w:tcPr>
            <w:tcW w:w="1417" w:type="dxa"/>
            <w:vAlign w:val="center"/>
          </w:tcPr>
          <w:p w14:paraId="38484962">
            <w:pPr>
              <w:pStyle w:val="5"/>
              <w:spacing w:line="300" w:lineRule="auto"/>
              <w:jc w:val="center"/>
              <w:rPr>
                <w:lang w:eastAsia="zh-CN"/>
              </w:rPr>
            </w:pPr>
            <w:r>
              <w:rPr>
                <w:lang w:eastAsia="zh-CN"/>
              </w:rPr>
              <w:t>0.5</w:t>
            </w:r>
          </w:p>
        </w:tc>
      </w:tr>
      <w:tr w14:paraId="68763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0E09EE86">
            <w:pPr>
              <w:pStyle w:val="5"/>
              <w:spacing w:line="300" w:lineRule="auto"/>
              <w:jc w:val="center"/>
              <w:rPr>
                <w:lang w:eastAsia="zh-CN"/>
              </w:rPr>
            </w:pPr>
          </w:p>
        </w:tc>
        <w:tc>
          <w:tcPr>
            <w:tcW w:w="2264" w:type="dxa"/>
            <w:vMerge w:val="continue"/>
            <w:vAlign w:val="center"/>
          </w:tcPr>
          <w:p w14:paraId="2E1034B7">
            <w:pPr>
              <w:pStyle w:val="5"/>
              <w:spacing w:line="300" w:lineRule="auto"/>
              <w:jc w:val="center"/>
              <w:rPr>
                <w:lang w:eastAsia="zh-CN"/>
              </w:rPr>
            </w:pPr>
          </w:p>
        </w:tc>
        <w:tc>
          <w:tcPr>
            <w:tcW w:w="2835" w:type="dxa"/>
            <w:vAlign w:val="center"/>
          </w:tcPr>
          <w:p w14:paraId="3EC32680">
            <w:pPr>
              <w:pStyle w:val="5"/>
              <w:spacing w:line="300" w:lineRule="auto"/>
              <w:jc w:val="center"/>
              <w:rPr>
                <w:lang w:eastAsia="zh-CN"/>
              </w:rPr>
            </w:pPr>
            <w:r>
              <w:rPr>
                <w:lang w:eastAsia="zh-CN"/>
              </w:rPr>
              <w:t>不具备废气泄漏紧急处置装置或废气治理设施</w:t>
            </w:r>
          </w:p>
        </w:tc>
        <w:tc>
          <w:tcPr>
            <w:tcW w:w="1417" w:type="dxa"/>
            <w:vAlign w:val="center"/>
          </w:tcPr>
          <w:p w14:paraId="5FA8C40E">
            <w:pPr>
              <w:pStyle w:val="5"/>
              <w:spacing w:line="300" w:lineRule="auto"/>
              <w:jc w:val="center"/>
              <w:rPr>
                <w:lang w:eastAsia="zh-CN"/>
              </w:rPr>
            </w:pPr>
            <w:r>
              <w:rPr>
                <w:lang w:eastAsia="zh-CN"/>
              </w:rPr>
              <w:t>1</w:t>
            </w:r>
          </w:p>
        </w:tc>
      </w:tr>
      <w:tr w14:paraId="10E28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1A6F24DD">
            <w:pPr>
              <w:pStyle w:val="5"/>
              <w:spacing w:line="300" w:lineRule="auto"/>
              <w:jc w:val="center"/>
              <w:rPr>
                <w:lang w:eastAsia="zh-CN"/>
              </w:rPr>
            </w:pPr>
          </w:p>
        </w:tc>
        <w:tc>
          <w:tcPr>
            <w:tcW w:w="2264" w:type="dxa"/>
            <w:vMerge w:val="restart"/>
            <w:vAlign w:val="center"/>
          </w:tcPr>
          <w:p w14:paraId="34E5F1D3">
            <w:pPr>
              <w:pStyle w:val="5"/>
              <w:spacing w:line="300" w:lineRule="auto"/>
              <w:jc w:val="center"/>
              <w:rPr>
                <w:lang w:eastAsia="zh-CN"/>
              </w:rPr>
            </w:pPr>
            <w:r>
              <w:rPr>
                <w:lang w:eastAsia="zh-CN"/>
              </w:rPr>
              <w:t>一般固废管控水平（d</w:t>
            </w:r>
            <w:r>
              <w:rPr>
                <w:vertAlign w:val="subscript"/>
                <w:lang w:eastAsia="zh-CN"/>
              </w:rPr>
              <w:t>3</w:t>
            </w:r>
            <w:r>
              <w:rPr>
                <w:lang w:eastAsia="zh-CN"/>
              </w:rPr>
              <w:t>）</w:t>
            </w:r>
          </w:p>
        </w:tc>
        <w:tc>
          <w:tcPr>
            <w:tcW w:w="2835" w:type="dxa"/>
            <w:vAlign w:val="center"/>
          </w:tcPr>
          <w:p w14:paraId="747B06B0">
            <w:pPr>
              <w:pStyle w:val="5"/>
              <w:spacing w:line="300" w:lineRule="auto"/>
              <w:jc w:val="center"/>
              <w:rPr>
                <w:lang w:eastAsia="zh-CN"/>
              </w:rPr>
            </w:pPr>
            <w:r>
              <w:rPr>
                <w:lang w:eastAsia="zh-CN"/>
              </w:rPr>
              <w:t>贮存区防护设施齐全</w:t>
            </w:r>
          </w:p>
        </w:tc>
        <w:tc>
          <w:tcPr>
            <w:tcW w:w="1417" w:type="dxa"/>
            <w:vAlign w:val="center"/>
          </w:tcPr>
          <w:p w14:paraId="2EBC8261">
            <w:pPr>
              <w:pStyle w:val="5"/>
              <w:spacing w:line="300" w:lineRule="auto"/>
              <w:jc w:val="center"/>
              <w:rPr>
                <w:lang w:eastAsia="zh-CN"/>
              </w:rPr>
            </w:pPr>
            <w:r>
              <w:rPr>
                <w:lang w:eastAsia="zh-CN"/>
              </w:rPr>
              <w:t>0.1</w:t>
            </w:r>
          </w:p>
        </w:tc>
      </w:tr>
      <w:tr w14:paraId="0D80D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5C838A0C">
            <w:pPr>
              <w:pStyle w:val="5"/>
              <w:spacing w:line="300" w:lineRule="auto"/>
              <w:jc w:val="center"/>
              <w:rPr>
                <w:lang w:eastAsia="zh-CN"/>
              </w:rPr>
            </w:pPr>
          </w:p>
        </w:tc>
        <w:tc>
          <w:tcPr>
            <w:tcW w:w="2264" w:type="dxa"/>
            <w:vMerge w:val="continue"/>
            <w:vAlign w:val="center"/>
          </w:tcPr>
          <w:p w14:paraId="3D53C640">
            <w:pPr>
              <w:pStyle w:val="5"/>
              <w:spacing w:line="300" w:lineRule="auto"/>
              <w:jc w:val="center"/>
              <w:rPr>
                <w:lang w:eastAsia="zh-CN"/>
              </w:rPr>
            </w:pPr>
          </w:p>
        </w:tc>
        <w:tc>
          <w:tcPr>
            <w:tcW w:w="2835" w:type="dxa"/>
            <w:vAlign w:val="center"/>
          </w:tcPr>
          <w:p w14:paraId="51E96190">
            <w:pPr>
              <w:pStyle w:val="5"/>
              <w:spacing w:line="300" w:lineRule="auto"/>
              <w:jc w:val="center"/>
              <w:rPr>
                <w:lang w:eastAsia="zh-CN"/>
              </w:rPr>
            </w:pPr>
            <w:r>
              <w:rPr>
                <w:lang w:eastAsia="zh-CN"/>
              </w:rPr>
              <w:t>贮存区有部分防护设施</w:t>
            </w:r>
          </w:p>
        </w:tc>
        <w:tc>
          <w:tcPr>
            <w:tcW w:w="1417" w:type="dxa"/>
            <w:vAlign w:val="center"/>
          </w:tcPr>
          <w:p w14:paraId="0150A2C4">
            <w:pPr>
              <w:pStyle w:val="5"/>
              <w:spacing w:line="300" w:lineRule="auto"/>
              <w:jc w:val="center"/>
              <w:rPr>
                <w:lang w:eastAsia="zh-CN"/>
              </w:rPr>
            </w:pPr>
            <w:r>
              <w:rPr>
                <w:lang w:eastAsia="zh-CN"/>
              </w:rPr>
              <w:t>0.6</w:t>
            </w:r>
          </w:p>
        </w:tc>
      </w:tr>
      <w:tr w14:paraId="3835E4D1">
        <w:tblPrEx>
          <w:tblCellMar>
            <w:top w:w="0" w:type="dxa"/>
            <w:left w:w="108" w:type="dxa"/>
            <w:bottom w:w="0" w:type="dxa"/>
            <w:right w:w="108" w:type="dxa"/>
          </w:tblCellMar>
        </w:tblPrEx>
        <w:trPr>
          <w:trHeight w:val="57" w:hRule="atLeast"/>
          <w:jc w:val="center"/>
        </w:trPr>
        <w:tc>
          <w:tcPr>
            <w:tcW w:w="1981" w:type="dxa"/>
            <w:gridSpan w:val="2"/>
            <w:vMerge w:val="continue"/>
            <w:vAlign w:val="center"/>
          </w:tcPr>
          <w:p w14:paraId="22D165BE">
            <w:pPr>
              <w:pStyle w:val="5"/>
              <w:spacing w:line="300" w:lineRule="auto"/>
              <w:jc w:val="center"/>
              <w:rPr>
                <w:lang w:eastAsia="zh-CN"/>
              </w:rPr>
            </w:pPr>
          </w:p>
        </w:tc>
        <w:tc>
          <w:tcPr>
            <w:tcW w:w="2264" w:type="dxa"/>
            <w:vMerge w:val="continue"/>
            <w:vAlign w:val="center"/>
          </w:tcPr>
          <w:p w14:paraId="56390027">
            <w:pPr>
              <w:pStyle w:val="5"/>
              <w:spacing w:line="300" w:lineRule="auto"/>
              <w:jc w:val="center"/>
              <w:rPr>
                <w:lang w:eastAsia="zh-CN"/>
              </w:rPr>
            </w:pPr>
          </w:p>
        </w:tc>
        <w:tc>
          <w:tcPr>
            <w:tcW w:w="2835" w:type="dxa"/>
            <w:vAlign w:val="center"/>
          </w:tcPr>
          <w:p w14:paraId="63C7BD5B">
            <w:pPr>
              <w:pStyle w:val="5"/>
              <w:spacing w:line="300" w:lineRule="auto"/>
              <w:jc w:val="center"/>
              <w:rPr>
                <w:lang w:eastAsia="zh-CN"/>
              </w:rPr>
            </w:pPr>
            <w:r>
              <w:rPr>
                <w:lang w:eastAsia="zh-CN"/>
              </w:rPr>
              <w:t>贮存区无防护设施</w:t>
            </w:r>
          </w:p>
        </w:tc>
        <w:tc>
          <w:tcPr>
            <w:tcW w:w="1417" w:type="dxa"/>
            <w:vAlign w:val="center"/>
          </w:tcPr>
          <w:p w14:paraId="00B844D9">
            <w:pPr>
              <w:pStyle w:val="5"/>
              <w:spacing w:line="300" w:lineRule="auto"/>
              <w:jc w:val="center"/>
              <w:rPr>
                <w:lang w:eastAsia="zh-CN"/>
              </w:rPr>
            </w:pPr>
            <w:r>
              <w:rPr>
                <w:lang w:eastAsia="zh-CN"/>
              </w:rPr>
              <w:t>1.0</w:t>
            </w:r>
          </w:p>
        </w:tc>
      </w:tr>
      <w:tr w14:paraId="5E2D8A85">
        <w:tblPrEx>
          <w:tblCellMar>
            <w:top w:w="0" w:type="dxa"/>
            <w:left w:w="108" w:type="dxa"/>
            <w:bottom w:w="0" w:type="dxa"/>
            <w:right w:w="108" w:type="dxa"/>
          </w:tblCellMar>
        </w:tblPrEx>
        <w:trPr>
          <w:trHeight w:val="57" w:hRule="atLeast"/>
          <w:jc w:val="center"/>
        </w:trPr>
        <w:tc>
          <w:tcPr>
            <w:tcW w:w="1981" w:type="dxa"/>
            <w:gridSpan w:val="2"/>
            <w:vMerge w:val="continue"/>
            <w:vAlign w:val="center"/>
          </w:tcPr>
          <w:p w14:paraId="0697F14F">
            <w:pPr>
              <w:pStyle w:val="5"/>
              <w:spacing w:line="300" w:lineRule="auto"/>
              <w:jc w:val="center"/>
              <w:rPr>
                <w:lang w:eastAsia="zh-CN"/>
              </w:rPr>
            </w:pPr>
          </w:p>
        </w:tc>
        <w:tc>
          <w:tcPr>
            <w:tcW w:w="2264" w:type="dxa"/>
            <w:vMerge w:val="restart"/>
            <w:vAlign w:val="center"/>
          </w:tcPr>
          <w:p w14:paraId="0E11184D">
            <w:pPr>
              <w:pStyle w:val="5"/>
              <w:spacing w:line="300" w:lineRule="auto"/>
              <w:jc w:val="center"/>
              <w:rPr>
                <w:lang w:eastAsia="zh-CN"/>
              </w:rPr>
            </w:pPr>
            <w:r>
              <w:rPr>
                <w:lang w:eastAsia="zh-CN"/>
              </w:rPr>
              <w:t>危险固废管控水平（d</w:t>
            </w:r>
            <w:r>
              <w:rPr>
                <w:vertAlign w:val="subscript"/>
                <w:lang w:eastAsia="zh-CN"/>
              </w:rPr>
              <w:t>4</w:t>
            </w:r>
            <w:r>
              <w:rPr>
                <w:lang w:eastAsia="zh-CN"/>
              </w:rPr>
              <w:t>）</w:t>
            </w:r>
          </w:p>
        </w:tc>
        <w:tc>
          <w:tcPr>
            <w:tcW w:w="2835" w:type="dxa"/>
            <w:vAlign w:val="center"/>
          </w:tcPr>
          <w:p w14:paraId="40DE0914">
            <w:pPr>
              <w:pStyle w:val="5"/>
              <w:spacing w:line="300" w:lineRule="auto"/>
              <w:jc w:val="center"/>
              <w:rPr>
                <w:lang w:eastAsia="zh-CN"/>
              </w:rPr>
            </w:pPr>
            <w:r>
              <w:rPr>
                <w:lang w:eastAsia="zh-CN"/>
              </w:rPr>
              <w:t>无危险废物自行利用处置，危险废物贮存场所三防措施齐全</w:t>
            </w:r>
          </w:p>
        </w:tc>
        <w:tc>
          <w:tcPr>
            <w:tcW w:w="1417" w:type="dxa"/>
            <w:vAlign w:val="center"/>
          </w:tcPr>
          <w:p w14:paraId="210F2C91">
            <w:pPr>
              <w:pStyle w:val="5"/>
              <w:spacing w:line="300" w:lineRule="auto"/>
              <w:jc w:val="center"/>
              <w:rPr>
                <w:lang w:eastAsia="zh-CN"/>
              </w:rPr>
            </w:pPr>
            <w:r>
              <w:rPr>
                <w:lang w:eastAsia="zh-CN"/>
              </w:rPr>
              <w:t>0.1</w:t>
            </w:r>
          </w:p>
        </w:tc>
      </w:tr>
      <w:tr w14:paraId="216EC6B2">
        <w:tblPrEx>
          <w:tblCellMar>
            <w:top w:w="0" w:type="dxa"/>
            <w:left w:w="108" w:type="dxa"/>
            <w:bottom w:w="0" w:type="dxa"/>
            <w:right w:w="108" w:type="dxa"/>
          </w:tblCellMar>
        </w:tblPrEx>
        <w:trPr>
          <w:trHeight w:val="57" w:hRule="atLeast"/>
          <w:jc w:val="center"/>
        </w:trPr>
        <w:tc>
          <w:tcPr>
            <w:tcW w:w="1981" w:type="dxa"/>
            <w:gridSpan w:val="2"/>
            <w:vMerge w:val="continue"/>
            <w:vAlign w:val="center"/>
          </w:tcPr>
          <w:p w14:paraId="1427F3F9">
            <w:pPr>
              <w:pStyle w:val="5"/>
              <w:spacing w:line="300" w:lineRule="auto"/>
              <w:jc w:val="center"/>
              <w:rPr>
                <w:lang w:eastAsia="zh-CN"/>
              </w:rPr>
            </w:pPr>
          </w:p>
        </w:tc>
        <w:tc>
          <w:tcPr>
            <w:tcW w:w="2264" w:type="dxa"/>
            <w:vMerge w:val="continue"/>
            <w:vAlign w:val="center"/>
          </w:tcPr>
          <w:p w14:paraId="5BC76143">
            <w:pPr>
              <w:pStyle w:val="5"/>
              <w:spacing w:line="300" w:lineRule="auto"/>
              <w:jc w:val="center"/>
              <w:rPr>
                <w:lang w:eastAsia="zh-CN"/>
              </w:rPr>
            </w:pPr>
          </w:p>
        </w:tc>
        <w:tc>
          <w:tcPr>
            <w:tcW w:w="2835" w:type="dxa"/>
            <w:vAlign w:val="center"/>
          </w:tcPr>
          <w:p w14:paraId="0AEB1DF6">
            <w:pPr>
              <w:pStyle w:val="5"/>
              <w:spacing w:line="300" w:lineRule="auto"/>
              <w:jc w:val="center"/>
              <w:rPr>
                <w:lang w:eastAsia="zh-CN"/>
              </w:rPr>
            </w:pPr>
            <w:r>
              <w:rPr>
                <w:lang w:eastAsia="zh-CN"/>
              </w:rPr>
              <w:t>无危险废物自行利用处置，危险废物贮存场所三防措施不齐全</w:t>
            </w:r>
          </w:p>
        </w:tc>
        <w:tc>
          <w:tcPr>
            <w:tcW w:w="1417" w:type="dxa"/>
            <w:vAlign w:val="center"/>
          </w:tcPr>
          <w:p w14:paraId="78E918F1">
            <w:pPr>
              <w:pStyle w:val="5"/>
              <w:spacing w:line="300" w:lineRule="auto"/>
              <w:jc w:val="center"/>
              <w:rPr>
                <w:lang w:eastAsia="zh-CN"/>
              </w:rPr>
            </w:pPr>
            <w:r>
              <w:rPr>
                <w:lang w:eastAsia="zh-CN"/>
              </w:rPr>
              <w:t>0.6</w:t>
            </w:r>
          </w:p>
        </w:tc>
      </w:tr>
      <w:tr w14:paraId="3516BB3A">
        <w:tblPrEx>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1C958EE">
            <w:pPr>
              <w:pStyle w:val="5"/>
              <w:spacing w:line="300" w:lineRule="auto"/>
              <w:jc w:val="center"/>
              <w:rPr>
                <w:lang w:eastAsia="zh-CN"/>
              </w:rPr>
            </w:pPr>
          </w:p>
        </w:tc>
        <w:tc>
          <w:tcPr>
            <w:tcW w:w="2264" w:type="dxa"/>
            <w:vMerge w:val="continue"/>
            <w:vAlign w:val="center"/>
          </w:tcPr>
          <w:p w14:paraId="14657A21">
            <w:pPr>
              <w:pStyle w:val="5"/>
              <w:spacing w:line="300" w:lineRule="auto"/>
              <w:jc w:val="center"/>
              <w:rPr>
                <w:lang w:eastAsia="zh-CN"/>
              </w:rPr>
            </w:pPr>
          </w:p>
        </w:tc>
        <w:tc>
          <w:tcPr>
            <w:tcW w:w="2835" w:type="dxa"/>
            <w:vAlign w:val="center"/>
          </w:tcPr>
          <w:p w14:paraId="140B0B66">
            <w:pPr>
              <w:pStyle w:val="5"/>
              <w:spacing w:line="300" w:lineRule="auto"/>
              <w:jc w:val="center"/>
              <w:rPr>
                <w:lang w:eastAsia="zh-CN"/>
              </w:rPr>
            </w:pPr>
            <w:r>
              <w:rPr>
                <w:lang w:eastAsia="zh-CN"/>
              </w:rPr>
              <w:t>存在危险废物自行利用处置</w:t>
            </w:r>
          </w:p>
        </w:tc>
        <w:tc>
          <w:tcPr>
            <w:tcW w:w="1417" w:type="dxa"/>
            <w:vAlign w:val="center"/>
          </w:tcPr>
          <w:p w14:paraId="06C0FF81">
            <w:pPr>
              <w:pStyle w:val="5"/>
              <w:spacing w:line="300" w:lineRule="auto"/>
              <w:jc w:val="center"/>
              <w:rPr>
                <w:lang w:eastAsia="zh-CN"/>
              </w:rPr>
            </w:pPr>
            <w:r>
              <w:rPr>
                <w:lang w:eastAsia="zh-CN"/>
              </w:rPr>
              <w:t>1.0</w:t>
            </w:r>
          </w:p>
        </w:tc>
      </w:tr>
      <w:tr w14:paraId="3C60D7AE">
        <w:tblPrEx>
          <w:tblCellMar>
            <w:top w:w="0" w:type="dxa"/>
            <w:left w:w="108" w:type="dxa"/>
            <w:bottom w:w="0" w:type="dxa"/>
            <w:right w:w="108" w:type="dxa"/>
          </w:tblCellMar>
        </w:tblPrEx>
        <w:trPr>
          <w:trHeight w:val="57" w:hRule="atLeast"/>
          <w:jc w:val="center"/>
        </w:trPr>
        <w:tc>
          <w:tcPr>
            <w:tcW w:w="1981" w:type="dxa"/>
            <w:gridSpan w:val="2"/>
            <w:vMerge w:val="restart"/>
            <w:vAlign w:val="center"/>
          </w:tcPr>
          <w:p w14:paraId="115DE0EA">
            <w:pPr>
              <w:pStyle w:val="5"/>
              <w:spacing w:line="300" w:lineRule="auto"/>
              <w:jc w:val="center"/>
              <w:rPr>
                <w:lang w:eastAsia="zh-CN"/>
              </w:rPr>
            </w:pPr>
            <w:r>
              <w:rPr>
                <w:rFonts w:hint="eastAsia"/>
                <w:lang w:eastAsia="zh-CN"/>
              </w:rPr>
              <w:t>同类源潜在输入影响</w:t>
            </w:r>
            <w:r>
              <w:rPr>
                <w:lang w:eastAsia="zh-CN"/>
              </w:rPr>
              <w:t>Q</w:t>
            </w:r>
            <w:r>
              <w:rPr>
                <w:vertAlign w:val="subscript"/>
                <w:lang w:eastAsia="zh-CN"/>
              </w:rPr>
              <w:t>2</w:t>
            </w:r>
          </w:p>
        </w:tc>
        <w:tc>
          <w:tcPr>
            <w:tcW w:w="2264" w:type="dxa"/>
            <w:vMerge w:val="restart"/>
            <w:vAlign w:val="center"/>
          </w:tcPr>
          <w:p w14:paraId="598A20A9">
            <w:pPr>
              <w:pStyle w:val="5"/>
              <w:spacing w:line="300" w:lineRule="auto"/>
              <w:jc w:val="center"/>
              <w:rPr>
                <w:lang w:eastAsia="zh-CN"/>
              </w:rPr>
            </w:pPr>
            <w:r>
              <w:rPr>
                <w:rFonts w:hint="eastAsia"/>
                <w:lang w:eastAsia="zh-CN"/>
              </w:rPr>
              <w:t>周边同类源输入影响指数p</w:t>
            </w:r>
          </w:p>
        </w:tc>
        <w:tc>
          <w:tcPr>
            <w:tcW w:w="2835" w:type="dxa"/>
            <w:vAlign w:val="center"/>
          </w:tcPr>
          <w:p w14:paraId="2313E151">
            <w:pPr>
              <w:pStyle w:val="5"/>
              <w:spacing w:line="300" w:lineRule="auto"/>
              <w:jc w:val="center"/>
              <w:rPr>
                <w:lang w:eastAsia="zh-CN"/>
              </w:rPr>
            </w:pPr>
            <w:r>
              <w:rPr>
                <w:rFonts w:hint="eastAsia"/>
                <w:lang w:eastAsia="zh-CN"/>
              </w:rPr>
              <w:t>前20%</w:t>
            </w:r>
          </w:p>
        </w:tc>
        <w:tc>
          <w:tcPr>
            <w:tcW w:w="1417" w:type="dxa"/>
          </w:tcPr>
          <w:p w14:paraId="4CB7A5CF">
            <w:pPr>
              <w:pStyle w:val="5"/>
              <w:spacing w:line="300" w:lineRule="auto"/>
              <w:jc w:val="center"/>
              <w:rPr>
                <w:lang w:eastAsia="zh-CN"/>
              </w:rPr>
            </w:pPr>
            <w:r>
              <w:rPr>
                <w:rFonts w:hint="eastAsia"/>
                <w:lang w:eastAsia="zh-CN"/>
              </w:rPr>
              <w:t>10</w:t>
            </w:r>
          </w:p>
        </w:tc>
      </w:tr>
      <w:tr w14:paraId="497E9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04450320">
            <w:pPr>
              <w:pStyle w:val="5"/>
              <w:spacing w:line="300" w:lineRule="auto"/>
              <w:jc w:val="center"/>
              <w:rPr>
                <w:lang w:eastAsia="zh-CN"/>
              </w:rPr>
            </w:pPr>
          </w:p>
        </w:tc>
        <w:tc>
          <w:tcPr>
            <w:tcW w:w="2264" w:type="dxa"/>
            <w:vMerge w:val="continue"/>
            <w:vAlign w:val="center"/>
          </w:tcPr>
          <w:p w14:paraId="66958E3B">
            <w:pPr>
              <w:pStyle w:val="5"/>
              <w:spacing w:line="300" w:lineRule="auto"/>
              <w:jc w:val="center"/>
              <w:rPr>
                <w:lang w:eastAsia="zh-CN"/>
              </w:rPr>
            </w:pPr>
          </w:p>
        </w:tc>
        <w:tc>
          <w:tcPr>
            <w:tcW w:w="2835" w:type="dxa"/>
            <w:vAlign w:val="center"/>
          </w:tcPr>
          <w:p w14:paraId="127E62B3">
            <w:pPr>
              <w:pStyle w:val="5"/>
              <w:spacing w:line="300" w:lineRule="auto"/>
              <w:jc w:val="center"/>
              <w:rPr>
                <w:lang w:eastAsia="zh-CN"/>
              </w:rPr>
            </w:pPr>
            <w:r>
              <w:rPr>
                <w:rFonts w:hint="eastAsia"/>
                <w:lang w:eastAsia="zh-CN"/>
              </w:rPr>
              <w:t>20%~50%</w:t>
            </w:r>
          </w:p>
        </w:tc>
        <w:tc>
          <w:tcPr>
            <w:tcW w:w="1417" w:type="dxa"/>
          </w:tcPr>
          <w:p w14:paraId="159D2AC5">
            <w:pPr>
              <w:pStyle w:val="5"/>
              <w:spacing w:line="300" w:lineRule="auto"/>
              <w:jc w:val="center"/>
              <w:rPr>
                <w:lang w:eastAsia="zh-CN"/>
              </w:rPr>
            </w:pPr>
            <w:r>
              <w:rPr>
                <w:rFonts w:hint="eastAsia"/>
                <w:lang w:eastAsia="zh-CN"/>
              </w:rPr>
              <w:t>6</w:t>
            </w:r>
          </w:p>
        </w:tc>
      </w:tr>
      <w:tr w14:paraId="0522B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62C455B4">
            <w:pPr>
              <w:pStyle w:val="5"/>
              <w:spacing w:line="300" w:lineRule="auto"/>
              <w:jc w:val="center"/>
              <w:rPr>
                <w:lang w:eastAsia="zh-CN"/>
              </w:rPr>
            </w:pPr>
          </w:p>
        </w:tc>
        <w:tc>
          <w:tcPr>
            <w:tcW w:w="2264" w:type="dxa"/>
            <w:vMerge w:val="continue"/>
            <w:vAlign w:val="center"/>
          </w:tcPr>
          <w:p w14:paraId="2118C252">
            <w:pPr>
              <w:pStyle w:val="5"/>
              <w:spacing w:line="300" w:lineRule="auto"/>
              <w:jc w:val="center"/>
              <w:rPr>
                <w:lang w:eastAsia="zh-CN"/>
              </w:rPr>
            </w:pPr>
          </w:p>
        </w:tc>
        <w:tc>
          <w:tcPr>
            <w:tcW w:w="2835" w:type="dxa"/>
            <w:vAlign w:val="center"/>
          </w:tcPr>
          <w:p w14:paraId="4DE374CB">
            <w:pPr>
              <w:pStyle w:val="5"/>
              <w:spacing w:line="300" w:lineRule="auto"/>
              <w:jc w:val="center"/>
              <w:rPr>
                <w:lang w:eastAsia="zh-CN"/>
              </w:rPr>
            </w:pPr>
            <w:r>
              <w:rPr>
                <w:rFonts w:hint="eastAsia"/>
                <w:lang w:eastAsia="zh-CN"/>
              </w:rPr>
              <w:t>50%~80%</w:t>
            </w:r>
          </w:p>
        </w:tc>
        <w:tc>
          <w:tcPr>
            <w:tcW w:w="1417" w:type="dxa"/>
          </w:tcPr>
          <w:p w14:paraId="2A0461A5">
            <w:pPr>
              <w:pStyle w:val="5"/>
              <w:spacing w:line="300" w:lineRule="auto"/>
              <w:jc w:val="center"/>
              <w:rPr>
                <w:lang w:eastAsia="zh-CN"/>
              </w:rPr>
            </w:pPr>
            <w:r>
              <w:rPr>
                <w:rFonts w:hint="eastAsia"/>
                <w:lang w:eastAsia="zh-CN"/>
              </w:rPr>
              <w:t>2</w:t>
            </w:r>
          </w:p>
        </w:tc>
      </w:tr>
      <w:tr w14:paraId="206B5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254E8EB9">
            <w:pPr>
              <w:pStyle w:val="5"/>
              <w:spacing w:line="300" w:lineRule="auto"/>
              <w:jc w:val="center"/>
              <w:rPr>
                <w:lang w:eastAsia="zh-CN"/>
              </w:rPr>
            </w:pPr>
          </w:p>
        </w:tc>
        <w:tc>
          <w:tcPr>
            <w:tcW w:w="2264" w:type="dxa"/>
            <w:vMerge w:val="continue"/>
            <w:vAlign w:val="center"/>
          </w:tcPr>
          <w:p w14:paraId="51C608FA">
            <w:pPr>
              <w:pStyle w:val="5"/>
              <w:spacing w:line="300" w:lineRule="auto"/>
              <w:jc w:val="center"/>
              <w:rPr>
                <w:lang w:eastAsia="zh-CN"/>
              </w:rPr>
            </w:pPr>
          </w:p>
        </w:tc>
        <w:tc>
          <w:tcPr>
            <w:tcW w:w="2835" w:type="dxa"/>
            <w:vAlign w:val="center"/>
          </w:tcPr>
          <w:p w14:paraId="35533A62">
            <w:pPr>
              <w:pStyle w:val="5"/>
              <w:spacing w:line="300" w:lineRule="auto"/>
              <w:jc w:val="center"/>
              <w:rPr>
                <w:lang w:eastAsia="zh-CN"/>
              </w:rPr>
            </w:pPr>
            <w:r>
              <w:rPr>
                <w:rFonts w:hint="eastAsia"/>
                <w:lang w:eastAsia="zh-CN"/>
              </w:rPr>
              <w:t>后20%</w:t>
            </w:r>
          </w:p>
        </w:tc>
        <w:tc>
          <w:tcPr>
            <w:tcW w:w="1417" w:type="dxa"/>
          </w:tcPr>
          <w:p w14:paraId="54F39A17">
            <w:pPr>
              <w:pStyle w:val="5"/>
              <w:spacing w:line="300" w:lineRule="auto"/>
              <w:jc w:val="center"/>
              <w:rPr>
                <w:lang w:eastAsia="zh-CN"/>
              </w:rPr>
            </w:pPr>
            <w:r>
              <w:rPr>
                <w:rFonts w:hint="eastAsia"/>
                <w:lang w:eastAsia="zh-CN"/>
              </w:rPr>
              <w:t>0</w:t>
            </w:r>
          </w:p>
        </w:tc>
      </w:tr>
      <w:tr w14:paraId="0BA29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restart"/>
            <w:vAlign w:val="center"/>
          </w:tcPr>
          <w:p w14:paraId="44195EDC">
            <w:pPr>
              <w:pStyle w:val="5"/>
              <w:spacing w:line="300" w:lineRule="auto"/>
              <w:jc w:val="center"/>
              <w:rPr>
                <w:lang w:eastAsia="zh-CN"/>
              </w:rPr>
            </w:pPr>
            <w:r>
              <w:rPr>
                <w:lang w:eastAsia="zh-CN"/>
              </w:rPr>
              <w:t>污染物毒性T</w:t>
            </w:r>
          </w:p>
        </w:tc>
        <w:tc>
          <w:tcPr>
            <w:tcW w:w="2264" w:type="dxa"/>
            <w:vMerge w:val="restart"/>
            <w:vAlign w:val="center"/>
          </w:tcPr>
          <w:p w14:paraId="1C590001">
            <w:pPr>
              <w:pStyle w:val="5"/>
              <w:spacing w:line="300" w:lineRule="auto"/>
              <w:jc w:val="center"/>
              <w:rPr>
                <w:lang w:eastAsia="zh-CN"/>
              </w:rPr>
            </w:pPr>
            <w:r>
              <w:rPr>
                <w:lang w:eastAsia="zh-CN"/>
              </w:rPr>
              <w:t>致癌斜率因子（SF, mg/kg·day）</w:t>
            </w:r>
          </w:p>
        </w:tc>
        <w:tc>
          <w:tcPr>
            <w:tcW w:w="2835" w:type="dxa"/>
            <w:vAlign w:val="center"/>
          </w:tcPr>
          <w:p w14:paraId="1D61F74A">
            <w:pPr>
              <w:pStyle w:val="5"/>
              <w:spacing w:line="300" w:lineRule="auto"/>
              <w:jc w:val="center"/>
              <w:rPr>
                <w:lang w:eastAsia="zh-CN"/>
              </w:rPr>
            </w:pPr>
            <w:r>
              <w:rPr>
                <w:lang w:eastAsia="zh-CN"/>
              </w:rPr>
              <w:t>B类SF&lt;0.05</w:t>
            </w:r>
          </w:p>
          <w:p w14:paraId="52588BF4">
            <w:pPr>
              <w:pStyle w:val="5"/>
              <w:spacing w:line="300" w:lineRule="auto"/>
              <w:jc w:val="center"/>
              <w:rPr>
                <w:lang w:eastAsia="zh-CN"/>
              </w:rPr>
            </w:pPr>
            <w:r>
              <w:rPr>
                <w:lang w:eastAsia="zh-CN"/>
              </w:rPr>
              <w:t>C类SF&lt;0.5</w:t>
            </w:r>
          </w:p>
        </w:tc>
        <w:tc>
          <w:tcPr>
            <w:tcW w:w="1417" w:type="dxa"/>
            <w:vAlign w:val="center"/>
          </w:tcPr>
          <w:p w14:paraId="29FDE0B7">
            <w:pPr>
              <w:pStyle w:val="5"/>
              <w:spacing w:line="300" w:lineRule="auto"/>
              <w:jc w:val="center"/>
              <w:rPr>
                <w:lang w:eastAsia="zh-CN"/>
              </w:rPr>
            </w:pPr>
            <w:r>
              <w:rPr>
                <w:lang w:eastAsia="zh-CN"/>
              </w:rPr>
              <w:t>1</w:t>
            </w:r>
          </w:p>
        </w:tc>
      </w:tr>
      <w:tr w14:paraId="65360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727483D">
            <w:pPr>
              <w:pStyle w:val="5"/>
              <w:spacing w:line="300" w:lineRule="auto"/>
              <w:jc w:val="center"/>
              <w:rPr>
                <w:lang w:eastAsia="zh-CN"/>
              </w:rPr>
            </w:pPr>
          </w:p>
        </w:tc>
        <w:tc>
          <w:tcPr>
            <w:tcW w:w="2264" w:type="dxa"/>
            <w:vMerge w:val="continue"/>
            <w:vAlign w:val="center"/>
          </w:tcPr>
          <w:p w14:paraId="390B3B48">
            <w:pPr>
              <w:pStyle w:val="5"/>
              <w:spacing w:line="300" w:lineRule="auto"/>
              <w:jc w:val="center"/>
              <w:rPr>
                <w:lang w:eastAsia="zh-CN"/>
              </w:rPr>
            </w:pPr>
          </w:p>
        </w:tc>
        <w:tc>
          <w:tcPr>
            <w:tcW w:w="2835" w:type="dxa"/>
            <w:vAlign w:val="center"/>
          </w:tcPr>
          <w:p w14:paraId="7EEDFB04">
            <w:pPr>
              <w:pStyle w:val="5"/>
              <w:spacing w:line="300" w:lineRule="auto"/>
              <w:jc w:val="center"/>
              <w:rPr>
                <w:lang w:eastAsia="zh-CN"/>
              </w:rPr>
            </w:pPr>
            <w:r>
              <w:rPr>
                <w:lang w:eastAsia="zh-CN"/>
              </w:rPr>
              <w:t>A类SF&lt;0.05</w:t>
            </w:r>
          </w:p>
          <w:p w14:paraId="0AC3BBB2">
            <w:pPr>
              <w:pStyle w:val="5"/>
              <w:spacing w:line="300" w:lineRule="auto"/>
              <w:jc w:val="center"/>
              <w:rPr>
                <w:lang w:eastAsia="zh-CN"/>
              </w:rPr>
            </w:pPr>
            <w:r>
              <w:rPr>
                <w:lang w:eastAsia="zh-CN"/>
              </w:rPr>
              <w:t>B类0.05≤SF&lt;0.5</w:t>
            </w:r>
          </w:p>
          <w:p w14:paraId="12045D3B">
            <w:pPr>
              <w:pStyle w:val="5"/>
              <w:spacing w:line="300" w:lineRule="auto"/>
              <w:jc w:val="center"/>
              <w:rPr>
                <w:lang w:eastAsia="zh-CN"/>
              </w:rPr>
            </w:pPr>
            <w:r>
              <w:rPr>
                <w:lang w:eastAsia="zh-CN"/>
              </w:rPr>
              <w:t>C类0.5≤SF&lt;5</w:t>
            </w:r>
          </w:p>
        </w:tc>
        <w:tc>
          <w:tcPr>
            <w:tcW w:w="1417" w:type="dxa"/>
            <w:vAlign w:val="center"/>
          </w:tcPr>
          <w:p w14:paraId="4C795170">
            <w:pPr>
              <w:pStyle w:val="5"/>
              <w:spacing w:line="300" w:lineRule="auto"/>
              <w:jc w:val="center"/>
              <w:rPr>
                <w:lang w:eastAsia="zh-CN"/>
              </w:rPr>
            </w:pPr>
            <w:r>
              <w:rPr>
                <w:lang w:eastAsia="zh-CN"/>
              </w:rPr>
              <w:t>2.5</w:t>
            </w:r>
          </w:p>
        </w:tc>
      </w:tr>
      <w:tr w14:paraId="242C8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64CDCD6C">
            <w:pPr>
              <w:pStyle w:val="5"/>
              <w:spacing w:line="300" w:lineRule="auto"/>
              <w:jc w:val="center"/>
              <w:rPr>
                <w:lang w:eastAsia="zh-CN"/>
              </w:rPr>
            </w:pPr>
          </w:p>
        </w:tc>
        <w:tc>
          <w:tcPr>
            <w:tcW w:w="2264" w:type="dxa"/>
            <w:vMerge w:val="continue"/>
            <w:vAlign w:val="center"/>
          </w:tcPr>
          <w:p w14:paraId="464E9076">
            <w:pPr>
              <w:pStyle w:val="5"/>
              <w:spacing w:line="300" w:lineRule="auto"/>
              <w:jc w:val="center"/>
              <w:rPr>
                <w:lang w:eastAsia="zh-CN"/>
              </w:rPr>
            </w:pPr>
          </w:p>
        </w:tc>
        <w:tc>
          <w:tcPr>
            <w:tcW w:w="2835" w:type="dxa"/>
            <w:vAlign w:val="center"/>
          </w:tcPr>
          <w:p w14:paraId="4F08CBBE">
            <w:pPr>
              <w:pStyle w:val="5"/>
              <w:spacing w:line="300" w:lineRule="auto"/>
              <w:jc w:val="center"/>
              <w:rPr>
                <w:lang w:eastAsia="zh-CN"/>
              </w:rPr>
            </w:pPr>
            <w:r>
              <w:rPr>
                <w:lang w:eastAsia="zh-CN"/>
              </w:rPr>
              <w:t>A类0.05≤SF&lt;0.5</w:t>
            </w:r>
          </w:p>
          <w:p w14:paraId="1F7D1FCD">
            <w:pPr>
              <w:pStyle w:val="5"/>
              <w:spacing w:line="300" w:lineRule="auto"/>
              <w:jc w:val="center"/>
              <w:rPr>
                <w:lang w:eastAsia="zh-CN"/>
              </w:rPr>
            </w:pPr>
            <w:r>
              <w:rPr>
                <w:lang w:eastAsia="zh-CN"/>
              </w:rPr>
              <w:t>B类0.5≤SF&lt;5</w:t>
            </w:r>
          </w:p>
          <w:p w14:paraId="1E39C4E8">
            <w:pPr>
              <w:pStyle w:val="5"/>
              <w:spacing w:line="300" w:lineRule="auto"/>
              <w:jc w:val="center"/>
              <w:rPr>
                <w:lang w:eastAsia="zh-CN"/>
              </w:rPr>
            </w:pPr>
            <w:r>
              <w:rPr>
                <w:lang w:eastAsia="zh-CN"/>
              </w:rPr>
              <w:t>C类5≤SF&lt;50</w:t>
            </w:r>
          </w:p>
        </w:tc>
        <w:tc>
          <w:tcPr>
            <w:tcW w:w="1417" w:type="dxa"/>
            <w:vAlign w:val="center"/>
          </w:tcPr>
          <w:p w14:paraId="2943AC0F">
            <w:pPr>
              <w:pStyle w:val="5"/>
              <w:spacing w:line="300" w:lineRule="auto"/>
              <w:jc w:val="center"/>
              <w:rPr>
                <w:lang w:eastAsia="zh-CN"/>
              </w:rPr>
            </w:pPr>
            <w:r>
              <w:rPr>
                <w:lang w:eastAsia="zh-CN"/>
              </w:rPr>
              <w:t>3.5</w:t>
            </w:r>
          </w:p>
        </w:tc>
      </w:tr>
      <w:tr w14:paraId="106B1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981" w:type="dxa"/>
            <w:gridSpan w:val="2"/>
            <w:vMerge w:val="continue"/>
            <w:vAlign w:val="center"/>
          </w:tcPr>
          <w:p w14:paraId="5A9C49C1">
            <w:pPr>
              <w:pStyle w:val="5"/>
              <w:spacing w:line="300" w:lineRule="auto"/>
              <w:jc w:val="center"/>
              <w:rPr>
                <w:lang w:eastAsia="zh-CN"/>
              </w:rPr>
            </w:pPr>
          </w:p>
        </w:tc>
        <w:tc>
          <w:tcPr>
            <w:tcW w:w="2264" w:type="dxa"/>
            <w:vMerge w:val="continue"/>
            <w:vAlign w:val="center"/>
          </w:tcPr>
          <w:p w14:paraId="38C66733">
            <w:pPr>
              <w:pStyle w:val="5"/>
              <w:spacing w:line="300" w:lineRule="auto"/>
              <w:jc w:val="center"/>
              <w:rPr>
                <w:lang w:eastAsia="zh-CN"/>
              </w:rPr>
            </w:pPr>
          </w:p>
        </w:tc>
        <w:tc>
          <w:tcPr>
            <w:tcW w:w="2835" w:type="dxa"/>
            <w:vAlign w:val="center"/>
          </w:tcPr>
          <w:p w14:paraId="2E71F38F">
            <w:pPr>
              <w:pStyle w:val="5"/>
              <w:spacing w:line="300" w:lineRule="auto"/>
              <w:jc w:val="center"/>
              <w:rPr>
                <w:lang w:eastAsia="zh-CN"/>
              </w:rPr>
            </w:pPr>
            <w:r>
              <w:rPr>
                <w:lang w:eastAsia="zh-CN"/>
              </w:rPr>
              <w:t>A类SF≥0.5</w:t>
            </w:r>
          </w:p>
          <w:p w14:paraId="64997B3B">
            <w:pPr>
              <w:pStyle w:val="5"/>
              <w:spacing w:line="300" w:lineRule="auto"/>
              <w:jc w:val="center"/>
              <w:rPr>
                <w:lang w:eastAsia="zh-CN"/>
              </w:rPr>
            </w:pPr>
            <w:r>
              <w:rPr>
                <w:lang w:eastAsia="zh-CN"/>
              </w:rPr>
              <w:t>B类SF≥5</w:t>
            </w:r>
          </w:p>
          <w:p w14:paraId="6F196ECE">
            <w:pPr>
              <w:pStyle w:val="5"/>
              <w:spacing w:line="300" w:lineRule="auto"/>
              <w:jc w:val="center"/>
              <w:rPr>
                <w:lang w:eastAsia="zh-CN"/>
              </w:rPr>
            </w:pPr>
            <w:r>
              <w:rPr>
                <w:lang w:eastAsia="zh-CN"/>
              </w:rPr>
              <w:t>C类SF≥50</w:t>
            </w:r>
          </w:p>
        </w:tc>
        <w:tc>
          <w:tcPr>
            <w:tcW w:w="1417" w:type="dxa"/>
            <w:vAlign w:val="center"/>
          </w:tcPr>
          <w:p w14:paraId="3DBCD603">
            <w:pPr>
              <w:pStyle w:val="5"/>
              <w:spacing w:line="300" w:lineRule="auto"/>
              <w:jc w:val="center"/>
              <w:rPr>
                <w:lang w:eastAsia="zh-CN"/>
              </w:rPr>
            </w:pPr>
            <w:r>
              <w:rPr>
                <w:lang w:eastAsia="zh-CN"/>
              </w:rPr>
              <w:t>5</w:t>
            </w:r>
          </w:p>
        </w:tc>
      </w:tr>
      <w:tr w14:paraId="74E22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669944D">
            <w:pPr>
              <w:pStyle w:val="5"/>
              <w:spacing w:line="300" w:lineRule="auto"/>
              <w:jc w:val="center"/>
              <w:rPr>
                <w:lang w:eastAsia="zh-CN"/>
              </w:rPr>
            </w:pPr>
          </w:p>
        </w:tc>
        <w:tc>
          <w:tcPr>
            <w:tcW w:w="2264" w:type="dxa"/>
            <w:vMerge w:val="restart"/>
            <w:vAlign w:val="center"/>
          </w:tcPr>
          <w:p w14:paraId="4B6B476E">
            <w:pPr>
              <w:pStyle w:val="5"/>
              <w:spacing w:line="300" w:lineRule="auto"/>
              <w:jc w:val="center"/>
              <w:rPr>
                <w:lang w:eastAsia="zh-CN"/>
              </w:rPr>
            </w:pPr>
            <w:r>
              <w:rPr>
                <w:lang w:eastAsia="zh-CN"/>
              </w:rPr>
              <w:t>非致癌参考剂量（RfD, mg/kg·day）</w:t>
            </w:r>
          </w:p>
        </w:tc>
        <w:tc>
          <w:tcPr>
            <w:tcW w:w="2835" w:type="dxa"/>
            <w:vAlign w:val="center"/>
          </w:tcPr>
          <w:p w14:paraId="6DA031BB">
            <w:pPr>
              <w:pStyle w:val="5"/>
              <w:spacing w:line="300" w:lineRule="auto"/>
              <w:jc w:val="center"/>
              <w:rPr>
                <w:lang w:eastAsia="zh-CN"/>
              </w:rPr>
            </w:pPr>
            <w:r>
              <w:rPr>
                <w:lang w:eastAsia="zh-CN"/>
              </w:rPr>
              <w:t>RfD≥0.5</w:t>
            </w:r>
          </w:p>
        </w:tc>
        <w:tc>
          <w:tcPr>
            <w:tcW w:w="1417" w:type="dxa"/>
            <w:vAlign w:val="center"/>
          </w:tcPr>
          <w:p w14:paraId="35A0CCEB">
            <w:pPr>
              <w:pStyle w:val="5"/>
              <w:spacing w:line="300" w:lineRule="auto"/>
              <w:jc w:val="center"/>
              <w:rPr>
                <w:lang w:eastAsia="zh-CN"/>
              </w:rPr>
            </w:pPr>
            <w:r>
              <w:rPr>
                <w:lang w:eastAsia="zh-CN"/>
              </w:rPr>
              <w:t>1</w:t>
            </w:r>
          </w:p>
        </w:tc>
      </w:tr>
      <w:tr w14:paraId="4821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2243D56E">
            <w:pPr>
              <w:pStyle w:val="5"/>
              <w:spacing w:line="300" w:lineRule="auto"/>
              <w:jc w:val="center"/>
              <w:rPr>
                <w:lang w:eastAsia="zh-CN"/>
              </w:rPr>
            </w:pPr>
          </w:p>
        </w:tc>
        <w:tc>
          <w:tcPr>
            <w:tcW w:w="2264" w:type="dxa"/>
            <w:vMerge w:val="continue"/>
            <w:vAlign w:val="center"/>
          </w:tcPr>
          <w:p w14:paraId="1F5FB29B">
            <w:pPr>
              <w:pStyle w:val="5"/>
              <w:spacing w:line="300" w:lineRule="auto"/>
              <w:jc w:val="center"/>
              <w:rPr>
                <w:lang w:eastAsia="zh-CN"/>
              </w:rPr>
            </w:pPr>
          </w:p>
        </w:tc>
        <w:tc>
          <w:tcPr>
            <w:tcW w:w="2835" w:type="dxa"/>
            <w:vAlign w:val="center"/>
          </w:tcPr>
          <w:p w14:paraId="3553AF63">
            <w:pPr>
              <w:pStyle w:val="5"/>
              <w:spacing w:line="300" w:lineRule="auto"/>
              <w:jc w:val="center"/>
              <w:rPr>
                <w:lang w:eastAsia="zh-CN"/>
              </w:rPr>
            </w:pPr>
            <w:r>
              <w:rPr>
                <w:lang w:eastAsia="zh-CN"/>
              </w:rPr>
              <w:t>0.05≤RfD&lt;0.5</w:t>
            </w:r>
          </w:p>
        </w:tc>
        <w:tc>
          <w:tcPr>
            <w:tcW w:w="1417" w:type="dxa"/>
            <w:vAlign w:val="center"/>
          </w:tcPr>
          <w:p w14:paraId="667C42F4">
            <w:pPr>
              <w:pStyle w:val="5"/>
              <w:spacing w:line="300" w:lineRule="auto"/>
              <w:jc w:val="center"/>
              <w:rPr>
                <w:lang w:eastAsia="zh-CN"/>
              </w:rPr>
            </w:pPr>
            <w:r>
              <w:rPr>
                <w:lang w:eastAsia="zh-CN"/>
              </w:rPr>
              <w:t>2</w:t>
            </w:r>
          </w:p>
        </w:tc>
      </w:tr>
      <w:tr w14:paraId="776C6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44F5EA66">
            <w:pPr>
              <w:pStyle w:val="5"/>
              <w:spacing w:line="300" w:lineRule="auto"/>
              <w:jc w:val="center"/>
              <w:rPr>
                <w:lang w:eastAsia="zh-CN"/>
              </w:rPr>
            </w:pPr>
          </w:p>
        </w:tc>
        <w:tc>
          <w:tcPr>
            <w:tcW w:w="2264" w:type="dxa"/>
            <w:vMerge w:val="continue"/>
            <w:vAlign w:val="center"/>
          </w:tcPr>
          <w:p w14:paraId="292E1A08">
            <w:pPr>
              <w:pStyle w:val="5"/>
              <w:spacing w:line="300" w:lineRule="auto"/>
              <w:jc w:val="center"/>
              <w:rPr>
                <w:lang w:eastAsia="zh-CN"/>
              </w:rPr>
            </w:pPr>
          </w:p>
        </w:tc>
        <w:tc>
          <w:tcPr>
            <w:tcW w:w="2835" w:type="dxa"/>
            <w:vAlign w:val="center"/>
          </w:tcPr>
          <w:p w14:paraId="68A9699D">
            <w:pPr>
              <w:pStyle w:val="5"/>
              <w:spacing w:line="300" w:lineRule="auto"/>
              <w:jc w:val="center"/>
              <w:rPr>
                <w:lang w:eastAsia="zh-CN"/>
              </w:rPr>
            </w:pPr>
            <w:r>
              <w:rPr>
                <w:lang w:eastAsia="zh-CN"/>
              </w:rPr>
              <w:t>0.005≤RfD&lt;0.05</w:t>
            </w:r>
          </w:p>
        </w:tc>
        <w:tc>
          <w:tcPr>
            <w:tcW w:w="1417" w:type="dxa"/>
            <w:vAlign w:val="center"/>
          </w:tcPr>
          <w:p w14:paraId="46459B87">
            <w:pPr>
              <w:pStyle w:val="5"/>
              <w:spacing w:line="300" w:lineRule="auto"/>
              <w:jc w:val="center"/>
              <w:rPr>
                <w:lang w:eastAsia="zh-CN"/>
              </w:rPr>
            </w:pPr>
            <w:r>
              <w:rPr>
                <w:lang w:eastAsia="zh-CN"/>
              </w:rPr>
              <w:t>3</w:t>
            </w:r>
          </w:p>
        </w:tc>
      </w:tr>
      <w:tr w14:paraId="0BC8A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15DE9427">
            <w:pPr>
              <w:pStyle w:val="5"/>
              <w:spacing w:line="300" w:lineRule="auto"/>
              <w:jc w:val="center"/>
              <w:rPr>
                <w:lang w:eastAsia="zh-CN"/>
              </w:rPr>
            </w:pPr>
          </w:p>
        </w:tc>
        <w:tc>
          <w:tcPr>
            <w:tcW w:w="2264" w:type="dxa"/>
            <w:vMerge w:val="continue"/>
            <w:vAlign w:val="center"/>
          </w:tcPr>
          <w:p w14:paraId="16E663BA">
            <w:pPr>
              <w:pStyle w:val="5"/>
              <w:spacing w:line="300" w:lineRule="auto"/>
              <w:jc w:val="center"/>
              <w:rPr>
                <w:lang w:eastAsia="zh-CN"/>
              </w:rPr>
            </w:pPr>
          </w:p>
        </w:tc>
        <w:tc>
          <w:tcPr>
            <w:tcW w:w="2835" w:type="dxa"/>
            <w:vAlign w:val="center"/>
          </w:tcPr>
          <w:p w14:paraId="1F8C9BF5">
            <w:pPr>
              <w:pStyle w:val="5"/>
              <w:spacing w:line="300" w:lineRule="auto"/>
              <w:jc w:val="center"/>
              <w:rPr>
                <w:lang w:eastAsia="zh-CN"/>
              </w:rPr>
            </w:pPr>
            <w:r>
              <w:rPr>
                <w:lang w:eastAsia="zh-CN"/>
              </w:rPr>
              <w:t>0.0005≤RfD&lt;0.005</w:t>
            </w:r>
          </w:p>
        </w:tc>
        <w:tc>
          <w:tcPr>
            <w:tcW w:w="1417" w:type="dxa"/>
            <w:vAlign w:val="center"/>
          </w:tcPr>
          <w:p w14:paraId="7047C11F">
            <w:pPr>
              <w:pStyle w:val="5"/>
              <w:spacing w:line="300" w:lineRule="auto"/>
              <w:jc w:val="center"/>
              <w:rPr>
                <w:lang w:eastAsia="zh-CN"/>
              </w:rPr>
            </w:pPr>
            <w:r>
              <w:rPr>
                <w:lang w:eastAsia="zh-CN"/>
              </w:rPr>
              <w:t>4</w:t>
            </w:r>
          </w:p>
        </w:tc>
      </w:tr>
      <w:tr w14:paraId="54B3A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2BE82E4C">
            <w:pPr>
              <w:pStyle w:val="5"/>
              <w:spacing w:line="300" w:lineRule="auto"/>
              <w:jc w:val="center"/>
              <w:rPr>
                <w:lang w:eastAsia="zh-CN"/>
              </w:rPr>
            </w:pPr>
          </w:p>
        </w:tc>
        <w:tc>
          <w:tcPr>
            <w:tcW w:w="2264" w:type="dxa"/>
            <w:vMerge w:val="continue"/>
            <w:vAlign w:val="center"/>
          </w:tcPr>
          <w:p w14:paraId="0544E7B0">
            <w:pPr>
              <w:pStyle w:val="5"/>
              <w:spacing w:line="300" w:lineRule="auto"/>
              <w:jc w:val="center"/>
              <w:rPr>
                <w:lang w:eastAsia="zh-CN"/>
              </w:rPr>
            </w:pPr>
          </w:p>
        </w:tc>
        <w:tc>
          <w:tcPr>
            <w:tcW w:w="2835" w:type="dxa"/>
            <w:vAlign w:val="center"/>
          </w:tcPr>
          <w:p w14:paraId="3F7908C1">
            <w:pPr>
              <w:pStyle w:val="5"/>
              <w:spacing w:line="300" w:lineRule="auto"/>
              <w:jc w:val="center"/>
              <w:rPr>
                <w:lang w:eastAsia="zh-CN"/>
              </w:rPr>
            </w:pPr>
            <w:r>
              <w:rPr>
                <w:lang w:eastAsia="zh-CN"/>
              </w:rPr>
              <w:t>RfD≤0.0005</w:t>
            </w:r>
          </w:p>
        </w:tc>
        <w:tc>
          <w:tcPr>
            <w:tcW w:w="1417" w:type="dxa"/>
            <w:vAlign w:val="center"/>
          </w:tcPr>
          <w:p w14:paraId="2151A856">
            <w:pPr>
              <w:pStyle w:val="5"/>
              <w:spacing w:line="300" w:lineRule="auto"/>
              <w:jc w:val="center"/>
              <w:rPr>
                <w:lang w:eastAsia="zh-CN"/>
              </w:rPr>
            </w:pPr>
            <w:r>
              <w:rPr>
                <w:lang w:eastAsia="zh-CN"/>
              </w:rPr>
              <w:t>5</w:t>
            </w:r>
          </w:p>
        </w:tc>
      </w:tr>
      <w:tr w14:paraId="5ABA1530">
        <w:tblPrEx>
          <w:tblCellMar>
            <w:top w:w="0" w:type="dxa"/>
            <w:left w:w="108" w:type="dxa"/>
            <w:bottom w:w="0" w:type="dxa"/>
            <w:right w:w="108" w:type="dxa"/>
          </w:tblCellMar>
        </w:tblPrEx>
        <w:trPr>
          <w:trHeight w:val="57" w:hRule="atLeast"/>
          <w:jc w:val="center"/>
        </w:trPr>
        <w:tc>
          <w:tcPr>
            <w:tcW w:w="1981" w:type="dxa"/>
            <w:gridSpan w:val="2"/>
            <w:vMerge w:val="restart"/>
            <w:vAlign w:val="center"/>
          </w:tcPr>
          <w:p w14:paraId="0ACE3FA8">
            <w:pPr>
              <w:pStyle w:val="5"/>
              <w:spacing w:line="300" w:lineRule="auto"/>
              <w:jc w:val="center"/>
              <w:rPr>
                <w:lang w:eastAsia="zh-CN"/>
              </w:rPr>
            </w:pPr>
            <w:r>
              <w:rPr>
                <w:lang w:eastAsia="zh-CN"/>
              </w:rPr>
              <w:t>泄漏风险L</w:t>
            </w:r>
          </w:p>
        </w:tc>
        <w:tc>
          <w:tcPr>
            <w:tcW w:w="2264" w:type="dxa"/>
            <w:vMerge w:val="restart"/>
            <w:vAlign w:val="center"/>
          </w:tcPr>
          <w:p w14:paraId="256CC229">
            <w:pPr>
              <w:pStyle w:val="5"/>
              <w:spacing w:line="300" w:lineRule="auto"/>
              <w:jc w:val="center"/>
              <w:rPr>
                <w:lang w:eastAsia="zh-CN"/>
              </w:rPr>
            </w:pPr>
            <w:r>
              <w:rPr>
                <w:lang w:eastAsia="zh-CN"/>
              </w:rPr>
              <w:t>三年内企业违法行为（L</w:t>
            </w:r>
            <w:r>
              <w:rPr>
                <w:vertAlign w:val="subscript"/>
                <w:lang w:eastAsia="zh-CN"/>
              </w:rPr>
              <w:t>1</w:t>
            </w:r>
            <w:r>
              <w:rPr>
                <w:lang w:eastAsia="zh-CN"/>
              </w:rPr>
              <w:t>）</w:t>
            </w:r>
          </w:p>
          <w:p w14:paraId="5861663A">
            <w:pPr>
              <w:pStyle w:val="5"/>
              <w:spacing w:line="300" w:lineRule="auto"/>
              <w:jc w:val="center"/>
              <w:rPr>
                <w:lang w:eastAsia="zh-CN"/>
              </w:rPr>
            </w:pPr>
          </w:p>
        </w:tc>
        <w:tc>
          <w:tcPr>
            <w:tcW w:w="2835" w:type="dxa"/>
            <w:vAlign w:val="center"/>
          </w:tcPr>
          <w:p w14:paraId="2B9B95EA">
            <w:pPr>
              <w:pStyle w:val="5"/>
              <w:spacing w:line="300" w:lineRule="auto"/>
              <w:jc w:val="center"/>
              <w:rPr>
                <w:lang w:eastAsia="zh-CN"/>
              </w:rPr>
            </w:pPr>
            <w:r>
              <w:rPr>
                <w:lang w:eastAsia="zh-CN"/>
              </w:rPr>
              <w:t>无</w:t>
            </w:r>
          </w:p>
        </w:tc>
        <w:tc>
          <w:tcPr>
            <w:tcW w:w="1417" w:type="dxa"/>
            <w:vAlign w:val="center"/>
          </w:tcPr>
          <w:p w14:paraId="0AD2F97E">
            <w:pPr>
              <w:pStyle w:val="5"/>
              <w:spacing w:line="300" w:lineRule="auto"/>
              <w:jc w:val="center"/>
              <w:rPr>
                <w:lang w:eastAsia="zh-CN"/>
              </w:rPr>
            </w:pPr>
            <w:r>
              <w:rPr>
                <w:lang w:eastAsia="zh-CN"/>
              </w:rPr>
              <w:t>2</w:t>
            </w:r>
          </w:p>
        </w:tc>
      </w:tr>
      <w:tr w14:paraId="7CF09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2FCBB80B">
            <w:pPr>
              <w:pStyle w:val="5"/>
              <w:spacing w:line="300" w:lineRule="auto"/>
              <w:rPr>
                <w:lang w:eastAsia="zh-CN"/>
              </w:rPr>
            </w:pPr>
          </w:p>
        </w:tc>
        <w:tc>
          <w:tcPr>
            <w:tcW w:w="2264" w:type="dxa"/>
            <w:vMerge w:val="continue"/>
            <w:vAlign w:val="center"/>
          </w:tcPr>
          <w:p w14:paraId="35603D29">
            <w:pPr>
              <w:pStyle w:val="5"/>
              <w:spacing w:line="300" w:lineRule="auto"/>
              <w:jc w:val="center"/>
              <w:rPr>
                <w:lang w:eastAsia="zh-CN"/>
              </w:rPr>
            </w:pPr>
          </w:p>
        </w:tc>
        <w:tc>
          <w:tcPr>
            <w:tcW w:w="2835" w:type="dxa"/>
            <w:vAlign w:val="center"/>
          </w:tcPr>
          <w:p w14:paraId="48172C74">
            <w:pPr>
              <w:pStyle w:val="5"/>
              <w:spacing w:line="300" w:lineRule="auto"/>
              <w:jc w:val="center"/>
              <w:rPr>
                <w:lang w:eastAsia="zh-CN"/>
              </w:rPr>
            </w:pPr>
            <w:r>
              <w:rPr>
                <w:lang w:eastAsia="zh-CN"/>
              </w:rPr>
              <w:t>1-3次</w:t>
            </w:r>
          </w:p>
        </w:tc>
        <w:tc>
          <w:tcPr>
            <w:tcW w:w="1417" w:type="dxa"/>
            <w:vAlign w:val="center"/>
          </w:tcPr>
          <w:p w14:paraId="3C1140D2">
            <w:pPr>
              <w:pStyle w:val="5"/>
              <w:spacing w:line="300" w:lineRule="auto"/>
              <w:jc w:val="center"/>
              <w:rPr>
                <w:lang w:eastAsia="zh-CN"/>
              </w:rPr>
            </w:pPr>
            <w:r>
              <w:rPr>
                <w:lang w:eastAsia="zh-CN"/>
              </w:rPr>
              <w:t>6</w:t>
            </w:r>
          </w:p>
        </w:tc>
      </w:tr>
      <w:tr w14:paraId="5F415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5679F0C">
            <w:pPr>
              <w:pStyle w:val="5"/>
              <w:spacing w:line="300" w:lineRule="auto"/>
              <w:rPr>
                <w:lang w:eastAsia="zh-CN"/>
              </w:rPr>
            </w:pPr>
          </w:p>
        </w:tc>
        <w:tc>
          <w:tcPr>
            <w:tcW w:w="2264" w:type="dxa"/>
            <w:vMerge w:val="continue"/>
            <w:vAlign w:val="center"/>
          </w:tcPr>
          <w:p w14:paraId="634D6381">
            <w:pPr>
              <w:pStyle w:val="5"/>
              <w:spacing w:line="300" w:lineRule="auto"/>
              <w:jc w:val="center"/>
              <w:rPr>
                <w:lang w:eastAsia="zh-CN"/>
              </w:rPr>
            </w:pPr>
          </w:p>
        </w:tc>
        <w:tc>
          <w:tcPr>
            <w:tcW w:w="2835" w:type="dxa"/>
            <w:vAlign w:val="center"/>
          </w:tcPr>
          <w:p w14:paraId="2AEF2508">
            <w:pPr>
              <w:pStyle w:val="5"/>
              <w:spacing w:line="300" w:lineRule="auto"/>
              <w:jc w:val="center"/>
              <w:rPr>
                <w:lang w:eastAsia="zh-CN"/>
              </w:rPr>
            </w:pPr>
            <w:r>
              <w:rPr>
                <w:lang w:eastAsia="zh-CN"/>
              </w:rPr>
              <w:t>3次以上</w:t>
            </w:r>
          </w:p>
        </w:tc>
        <w:tc>
          <w:tcPr>
            <w:tcW w:w="1417" w:type="dxa"/>
            <w:vAlign w:val="center"/>
          </w:tcPr>
          <w:p w14:paraId="336C5D3A">
            <w:pPr>
              <w:pStyle w:val="5"/>
              <w:spacing w:line="300" w:lineRule="auto"/>
              <w:jc w:val="center"/>
              <w:rPr>
                <w:lang w:eastAsia="zh-CN"/>
              </w:rPr>
            </w:pPr>
            <w:r>
              <w:rPr>
                <w:lang w:eastAsia="zh-CN"/>
              </w:rPr>
              <w:t>10</w:t>
            </w:r>
          </w:p>
        </w:tc>
      </w:tr>
      <w:tr w14:paraId="36A3B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67FAC64A">
            <w:pPr>
              <w:pStyle w:val="5"/>
              <w:spacing w:line="300" w:lineRule="auto"/>
              <w:rPr>
                <w:lang w:eastAsia="zh-CN"/>
              </w:rPr>
            </w:pPr>
          </w:p>
        </w:tc>
        <w:tc>
          <w:tcPr>
            <w:tcW w:w="2264" w:type="dxa"/>
            <w:vMerge w:val="restart"/>
            <w:vAlign w:val="center"/>
          </w:tcPr>
          <w:p w14:paraId="1A95F055">
            <w:pPr>
              <w:pStyle w:val="5"/>
              <w:spacing w:line="300" w:lineRule="auto"/>
              <w:jc w:val="center"/>
              <w:rPr>
                <w:lang w:eastAsia="zh-CN"/>
              </w:rPr>
            </w:pPr>
            <w:r>
              <w:rPr>
                <w:lang w:eastAsia="zh-CN"/>
              </w:rPr>
              <w:t>重点区域地表覆盖(L</w:t>
            </w:r>
            <w:r>
              <w:rPr>
                <w:vertAlign w:val="subscript"/>
                <w:lang w:eastAsia="zh-CN"/>
              </w:rPr>
              <w:t>2</w:t>
            </w:r>
            <w:r>
              <w:rPr>
                <w:lang w:eastAsia="zh-CN"/>
              </w:rPr>
              <w:t>)</w:t>
            </w:r>
          </w:p>
        </w:tc>
        <w:tc>
          <w:tcPr>
            <w:tcW w:w="2835" w:type="dxa"/>
            <w:vAlign w:val="center"/>
          </w:tcPr>
          <w:p w14:paraId="0531B27E">
            <w:pPr>
              <w:pStyle w:val="5"/>
              <w:spacing w:line="300" w:lineRule="auto"/>
              <w:jc w:val="center"/>
              <w:rPr>
                <w:lang w:eastAsia="zh-CN"/>
              </w:rPr>
            </w:pPr>
            <w:r>
              <w:rPr>
                <w:lang w:eastAsia="zh-CN"/>
              </w:rPr>
              <w:t>地面硬化完好</w:t>
            </w:r>
          </w:p>
        </w:tc>
        <w:tc>
          <w:tcPr>
            <w:tcW w:w="1417" w:type="dxa"/>
            <w:vAlign w:val="center"/>
          </w:tcPr>
          <w:p w14:paraId="5E99356F">
            <w:pPr>
              <w:pStyle w:val="5"/>
              <w:spacing w:line="300" w:lineRule="auto"/>
              <w:jc w:val="center"/>
              <w:rPr>
                <w:lang w:eastAsia="zh-CN"/>
              </w:rPr>
            </w:pPr>
            <w:r>
              <w:rPr>
                <w:lang w:eastAsia="zh-CN"/>
              </w:rPr>
              <w:t>2</w:t>
            </w:r>
          </w:p>
        </w:tc>
      </w:tr>
      <w:tr w14:paraId="4CCFE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42914672">
            <w:pPr>
              <w:pStyle w:val="5"/>
              <w:spacing w:line="300" w:lineRule="auto"/>
              <w:rPr>
                <w:lang w:eastAsia="zh-CN"/>
              </w:rPr>
            </w:pPr>
          </w:p>
        </w:tc>
        <w:tc>
          <w:tcPr>
            <w:tcW w:w="2264" w:type="dxa"/>
            <w:vMerge w:val="continue"/>
            <w:vAlign w:val="center"/>
          </w:tcPr>
          <w:p w14:paraId="5A486D49">
            <w:pPr>
              <w:pStyle w:val="5"/>
              <w:spacing w:line="300" w:lineRule="auto"/>
              <w:jc w:val="center"/>
              <w:rPr>
                <w:lang w:eastAsia="zh-CN"/>
              </w:rPr>
            </w:pPr>
          </w:p>
        </w:tc>
        <w:tc>
          <w:tcPr>
            <w:tcW w:w="2835" w:type="dxa"/>
            <w:vAlign w:val="center"/>
          </w:tcPr>
          <w:p w14:paraId="27957C9C">
            <w:pPr>
              <w:pStyle w:val="5"/>
              <w:spacing w:line="300" w:lineRule="auto"/>
              <w:jc w:val="center"/>
              <w:rPr>
                <w:lang w:eastAsia="zh-CN"/>
              </w:rPr>
            </w:pPr>
            <w:r>
              <w:rPr>
                <w:lang w:eastAsia="zh-CN"/>
              </w:rPr>
              <w:t>硬化地面有裂隙、破损</w:t>
            </w:r>
          </w:p>
        </w:tc>
        <w:tc>
          <w:tcPr>
            <w:tcW w:w="1417" w:type="dxa"/>
            <w:vAlign w:val="center"/>
          </w:tcPr>
          <w:p w14:paraId="2CDA4683">
            <w:pPr>
              <w:pStyle w:val="5"/>
              <w:spacing w:line="300" w:lineRule="auto"/>
              <w:jc w:val="center"/>
              <w:rPr>
                <w:lang w:eastAsia="zh-CN"/>
              </w:rPr>
            </w:pPr>
            <w:r>
              <w:rPr>
                <w:lang w:eastAsia="zh-CN"/>
              </w:rPr>
              <w:t>6</w:t>
            </w:r>
          </w:p>
        </w:tc>
      </w:tr>
      <w:tr w14:paraId="6C803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5E01A0BA">
            <w:pPr>
              <w:pStyle w:val="5"/>
              <w:spacing w:line="300" w:lineRule="auto"/>
              <w:rPr>
                <w:lang w:eastAsia="zh-CN"/>
              </w:rPr>
            </w:pPr>
          </w:p>
        </w:tc>
        <w:tc>
          <w:tcPr>
            <w:tcW w:w="2264" w:type="dxa"/>
            <w:vMerge w:val="continue"/>
            <w:vAlign w:val="center"/>
          </w:tcPr>
          <w:p w14:paraId="7F7FF428">
            <w:pPr>
              <w:pStyle w:val="5"/>
              <w:spacing w:line="300" w:lineRule="auto"/>
              <w:jc w:val="center"/>
              <w:rPr>
                <w:lang w:eastAsia="zh-CN"/>
              </w:rPr>
            </w:pPr>
          </w:p>
        </w:tc>
        <w:tc>
          <w:tcPr>
            <w:tcW w:w="2835" w:type="dxa"/>
            <w:vAlign w:val="center"/>
          </w:tcPr>
          <w:p w14:paraId="6AC694A5">
            <w:pPr>
              <w:pStyle w:val="5"/>
              <w:spacing w:line="300" w:lineRule="auto"/>
              <w:jc w:val="center"/>
              <w:rPr>
                <w:lang w:eastAsia="zh-CN"/>
              </w:rPr>
            </w:pPr>
            <w:r>
              <w:rPr>
                <w:lang w:eastAsia="zh-CN"/>
              </w:rPr>
              <w:t>存在未硬化地面</w:t>
            </w:r>
          </w:p>
        </w:tc>
        <w:tc>
          <w:tcPr>
            <w:tcW w:w="1417" w:type="dxa"/>
            <w:vAlign w:val="center"/>
          </w:tcPr>
          <w:p w14:paraId="5F41705B">
            <w:pPr>
              <w:pStyle w:val="5"/>
              <w:spacing w:line="300" w:lineRule="auto"/>
              <w:jc w:val="center"/>
              <w:rPr>
                <w:lang w:eastAsia="zh-CN"/>
              </w:rPr>
            </w:pPr>
            <w:r>
              <w:rPr>
                <w:lang w:eastAsia="zh-CN"/>
              </w:rPr>
              <w:t>10</w:t>
            </w:r>
          </w:p>
        </w:tc>
      </w:tr>
      <w:tr w14:paraId="0D043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0E63ACEB">
            <w:pPr>
              <w:pStyle w:val="5"/>
              <w:spacing w:line="300" w:lineRule="auto"/>
              <w:rPr>
                <w:lang w:eastAsia="zh-CN"/>
              </w:rPr>
            </w:pPr>
          </w:p>
        </w:tc>
        <w:tc>
          <w:tcPr>
            <w:tcW w:w="2264" w:type="dxa"/>
            <w:vMerge w:val="restart"/>
            <w:vAlign w:val="center"/>
          </w:tcPr>
          <w:p w14:paraId="20ED5F0E">
            <w:pPr>
              <w:pStyle w:val="5"/>
              <w:spacing w:line="300" w:lineRule="auto"/>
              <w:jc w:val="center"/>
              <w:rPr>
                <w:lang w:eastAsia="zh-CN"/>
              </w:rPr>
            </w:pPr>
            <w:r>
              <w:rPr>
                <w:lang w:eastAsia="zh-CN"/>
              </w:rPr>
              <w:t>地下防渗措施(L</w:t>
            </w:r>
            <w:r>
              <w:rPr>
                <w:vertAlign w:val="subscript"/>
                <w:lang w:eastAsia="zh-CN"/>
              </w:rPr>
              <w:t>3</w:t>
            </w:r>
            <w:r>
              <w:rPr>
                <w:lang w:eastAsia="zh-CN"/>
              </w:rPr>
              <w:t>)</w:t>
            </w:r>
          </w:p>
        </w:tc>
        <w:tc>
          <w:tcPr>
            <w:tcW w:w="2835" w:type="dxa"/>
            <w:vAlign w:val="center"/>
          </w:tcPr>
          <w:p w14:paraId="4D6471F4">
            <w:pPr>
              <w:pStyle w:val="5"/>
              <w:spacing w:line="300" w:lineRule="auto"/>
              <w:jc w:val="center"/>
              <w:rPr>
                <w:lang w:eastAsia="zh-CN"/>
              </w:rPr>
            </w:pPr>
            <w:r>
              <w:rPr>
                <w:lang w:eastAsia="zh-CN"/>
              </w:rPr>
              <w:t>有完好的防渗措施</w:t>
            </w:r>
          </w:p>
        </w:tc>
        <w:tc>
          <w:tcPr>
            <w:tcW w:w="1417" w:type="dxa"/>
            <w:vAlign w:val="center"/>
          </w:tcPr>
          <w:p w14:paraId="21747DA0">
            <w:pPr>
              <w:pStyle w:val="5"/>
              <w:spacing w:line="300" w:lineRule="auto"/>
              <w:jc w:val="center"/>
              <w:rPr>
                <w:lang w:eastAsia="zh-CN"/>
              </w:rPr>
            </w:pPr>
            <w:r>
              <w:rPr>
                <w:lang w:eastAsia="zh-CN"/>
              </w:rPr>
              <w:t>2</w:t>
            </w:r>
          </w:p>
        </w:tc>
      </w:tr>
      <w:tr w14:paraId="71600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4CF167B">
            <w:pPr>
              <w:pStyle w:val="5"/>
              <w:spacing w:line="300" w:lineRule="auto"/>
              <w:rPr>
                <w:lang w:eastAsia="zh-CN"/>
              </w:rPr>
            </w:pPr>
          </w:p>
        </w:tc>
        <w:tc>
          <w:tcPr>
            <w:tcW w:w="2264" w:type="dxa"/>
            <w:vMerge w:val="continue"/>
            <w:vAlign w:val="center"/>
          </w:tcPr>
          <w:p w14:paraId="479E59A1">
            <w:pPr>
              <w:pStyle w:val="5"/>
              <w:spacing w:line="300" w:lineRule="auto"/>
              <w:jc w:val="center"/>
              <w:rPr>
                <w:lang w:eastAsia="zh-CN"/>
              </w:rPr>
            </w:pPr>
          </w:p>
        </w:tc>
        <w:tc>
          <w:tcPr>
            <w:tcW w:w="2835" w:type="dxa"/>
            <w:vAlign w:val="center"/>
          </w:tcPr>
          <w:p w14:paraId="20E15387">
            <w:pPr>
              <w:pStyle w:val="5"/>
              <w:spacing w:line="300" w:lineRule="auto"/>
              <w:jc w:val="center"/>
              <w:rPr>
                <w:lang w:eastAsia="zh-CN"/>
              </w:rPr>
            </w:pPr>
            <w:r>
              <w:rPr>
                <w:lang w:eastAsia="zh-CN"/>
              </w:rPr>
              <w:t>有一定的防渗措施</w:t>
            </w:r>
          </w:p>
        </w:tc>
        <w:tc>
          <w:tcPr>
            <w:tcW w:w="1417" w:type="dxa"/>
            <w:vAlign w:val="center"/>
          </w:tcPr>
          <w:p w14:paraId="7F4E13F1">
            <w:pPr>
              <w:pStyle w:val="5"/>
              <w:spacing w:line="300" w:lineRule="auto"/>
              <w:jc w:val="center"/>
              <w:rPr>
                <w:lang w:eastAsia="zh-CN"/>
              </w:rPr>
            </w:pPr>
            <w:r>
              <w:rPr>
                <w:lang w:eastAsia="zh-CN"/>
              </w:rPr>
              <w:t>6</w:t>
            </w:r>
          </w:p>
        </w:tc>
      </w:tr>
      <w:tr w14:paraId="27419690">
        <w:tblPrEx>
          <w:tblCellMar>
            <w:top w:w="0" w:type="dxa"/>
            <w:left w:w="108" w:type="dxa"/>
            <w:bottom w:w="0" w:type="dxa"/>
            <w:right w:w="108" w:type="dxa"/>
          </w:tblCellMar>
        </w:tblPrEx>
        <w:trPr>
          <w:trHeight w:val="57" w:hRule="atLeast"/>
          <w:jc w:val="center"/>
        </w:trPr>
        <w:tc>
          <w:tcPr>
            <w:tcW w:w="1981" w:type="dxa"/>
            <w:gridSpan w:val="2"/>
            <w:vMerge w:val="continue"/>
            <w:vAlign w:val="center"/>
          </w:tcPr>
          <w:p w14:paraId="0B7AF3AD">
            <w:pPr>
              <w:pStyle w:val="5"/>
              <w:spacing w:line="300" w:lineRule="auto"/>
              <w:rPr>
                <w:lang w:eastAsia="zh-CN"/>
              </w:rPr>
            </w:pPr>
          </w:p>
        </w:tc>
        <w:tc>
          <w:tcPr>
            <w:tcW w:w="2264" w:type="dxa"/>
            <w:vMerge w:val="continue"/>
            <w:vAlign w:val="center"/>
          </w:tcPr>
          <w:p w14:paraId="06E2DAE4">
            <w:pPr>
              <w:pStyle w:val="5"/>
              <w:spacing w:line="300" w:lineRule="auto"/>
              <w:jc w:val="center"/>
              <w:rPr>
                <w:lang w:eastAsia="zh-CN"/>
              </w:rPr>
            </w:pPr>
          </w:p>
        </w:tc>
        <w:tc>
          <w:tcPr>
            <w:tcW w:w="2835" w:type="dxa"/>
            <w:vAlign w:val="center"/>
          </w:tcPr>
          <w:p w14:paraId="47F4024B">
            <w:pPr>
              <w:pStyle w:val="5"/>
              <w:spacing w:line="300" w:lineRule="auto"/>
              <w:jc w:val="center"/>
              <w:rPr>
                <w:lang w:eastAsia="zh-CN"/>
              </w:rPr>
            </w:pPr>
            <w:r>
              <w:rPr>
                <w:lang w:eastAsia="zh-CN"/>
              </w:rPr>
              <w:t>无防渗措施</w:t>
            </w:r>
          </w:p>
        </w:tc>
        <w:tc>
          <w:tcPr>
            <w:tcW w:w="1417" w:type="dxa"/>
            <w:vAlign w:val="center"/>
          </w:tcPr>
          <w:p w14:paraId="7708CA30">
            <w:pPr>
              <w:pStyle w:val="5"/>
              <w:spacing w:line="300" w:lineRule="auto"/>
              <w:jc w:val="center"/>
              <w:rPr>
                <w:lang w:eastAsia="zh-CN"/>
              </w:rPr>
            </w:pPr>
            <w:r>
              <w:rPr>
                <w:lang w:eastAsia="zh-CN"/>
              </w:rPr>
              <w:t>10</w:t>
            </w:r>
          </w:p>
        </w:tc>
      </w:tr>
      <w:tr w14:paraId="6FCB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1A39E75C">
            <w:pPr>
              <w:pStyle w:val="5"/>
              <w:spacing w:line="300" w:lineRule="auto"/>
              <w:rPr>
                <w:lang w:eastAsia="zh-CN"/>
              </w:rPr>
            </w:pPr>
          </w:p>
        </w:tc>
        <w:tc>
          <w:tcPr>
            <w:tcW w:w="2264" w:type="dxa"/>
            <w:vMerge w:val="restart"/>
            <w:vAlign w:val="center"/>
          </w:tcPr>
          <w:p w14:paraId="3A6D6E1E">
            <w:pPr>
              <w:pStyle w:val="5"/>
              <w:spacing w:line="300" w:lineRule="auto"/>
              <w:jc w:val="center"/>
              <w:rPr>
                <w:lang w:eastAsia="zh-CN"/>
              </w:rPr>
            </w:pPr>
            <w:r>
              <w:rPr>
                <w:lang w:eastAsia="zh-CN"/>
              </w:rPr>
              <w:t>生产经营时间（L</w:t>
            </w:r>
            <w:r>
              <w:rPr>
                <w:vertAlign w:val="subscript"/>
                <w:lang w:eastAsia="zh-CN"/>
              </w:rPr>
              <w:t>4</w:t>
            </w:r>
            <w:r>
              <w:rPr>
                <w:lang w:eastAsia="zh-CN"/>
              </w:rPr>
              <w:t>，年）</w:t>
            </w:r>
          </w:p>
        </w:tc>
        <w:tc>
          <w:tcPr>
            <w:tcW w:w="2835" w:type="dxa"/>
            <w:vAlign w:val="center"/>
          </w:tcPr>
          <w:p w14:paraId="1326497F">
            <w:pPr>
              <w:pStyle w:val="5"/>
              <w:spacing w:line="300" w:lineRule="auto"/>
              <w:jc w:val="center"/>
              <w:rPr>
                <w:lang w:eastAsia="zh-CN"/>
              </w:rPr>
            </w:pPr>
            <w:r>
              <w:rPr>
                <w:lang w:eastAsia="zh-CN"/>
              </w:rPr>
              <w:t>L</w:t>
            </w:r>
            <w:r>
              <w:rPr>
                <w:vertAlign w:val="subscript"/>
                <w:lang w:eastAsia="zh-CN"/>
              </w:rPr>
              <w:t>4</w:t>
            </w:r>
            <w:r>
              <w:rPr>
                <w:lang w:eastAsia="zh-CN"/>
              </w:rPr>
              <w:t>＜5</w:t>
            </w:r>
          </w:p>
        </w:tc>
        <w:tc>
          <w:tcPr>
            <w:tcW w:w="1417" w:type="dxa"/>
            <w:vAlign w:val="center"/>
          </w:tcPr>
          <w:p w14:paraId="3EDE4363">
            <w:pPr>
              <w:pStyle w:val="5"/>
              <w:spacing w:line="300" w:lineRule="auto"/>
              <w:jc w:val="center"/>
              <w:rPr>
                <w:lang w:eastAsia="zh-CN"/>
              </w:rPr>
            </w:pPr>
            <w:r>
              <w:rPr>
                <w:lang w:eastAsia="zh-CN"/>
              </w:rPr>
              <w:t>2</w:t>
            </w:r>
          </w:p>
        </w:tc>
      </w:tr>
      <w:tr w14:paraId="5076B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E597F18">
            <w:pPr>
              <w:pStyle w:val="5"/>
              <w:spacing w:line="300" w:lineRule="auto"/>
              <w:rPr>
                <w:lang w:eastAsia="zh-CN"/>
              </w:rPr>
            </w:pPr>
          </w:p>
        </w:tc>
        <w:tc>
          <w:tcPr>
            <w:tcW w:w="2264" w:type="dxa"/>
            <w:vMerge w:val="continue"/>
            <w:vAlign w:val="center"/>
          </w:tcPr>
          <w:p w14:paraId="4A6DBE52">
            <w:pPr>
              <w:pStyle w:val="5"/>
              <w:spacing w:line="300" w:lineRule="auto"/>
              <w:rPr>
                <w:lang w:eastAsia="zh-CN"/>
              </w:rPr>
            </w:pPr>
          </w:p>
        </w:tc>
        <w:tc>
          <w:tcPr>
            <w:tcW w:w="2835" w:type="dxa"/>
            <w:vAlign w:val="center"/>
          </w:tcPr>
          <w:p w14:paraId="6F2B1A57">
            <w:pPr>
              <w:pStyle w:val="5"/>
              <w:spacing w:line="300" w:lineRule="auto"/>
              <w:jc w:val="center"/>
              <w:rPr>
                <w:lang w:eastAsia="zh-CN"/>
              </w:rPr>
            </w:pPr>
            <w:r>
              <w:rPr>
                <w:lang w:eastAsia="zh-CN"/>
              </w:rPr>
              <w:t>5≤L</w:t>
            </w:r>
            <w:r>
              <w:rPr>
                <w:vertAlign w:val="subscript"/>
                <w:lang w:eastAsia="zh-CN"/>
              </w:rPr>
              <w:t>4</w:t>
            </w:r>
            <w:r>
              <w:rPr>
                <w:lang w:eastAsia="zh-CN"/>
              </w:rPr>
              <w:t>＜10</w:t>
            </w:r>
          </w:p>
        </w:tc>
        <w:tc>
          <w:tcPr>
            <w:tcW w:w="1417" w:type="dxa"/>
            <w:vAlign w:val="center"/>
          </w:tcPr>
          <w:p w14:paraId="639E718A">
            <w:pPr>
              <w:pStyle w:val="5"/>
              <w:spacing w:line="300" w:lineRule="auto"/>
              <w:jc w:val="center"/>
              <w:rPr>
                <w:lang w:eastAsia="zh-CN"/>
              </w:rPr>
            </w:pPr>
            <w:r>
              <w:rPr>
                <w:lang w:eastAsia="zh-CN"/>
              </w:rPr>
              <w:t>4</w:t>
            </w:r>
          </w:p>
        </w:tc>
      </w:tr>
      <w:tr w14:paraId="126B4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7573AA1E">
            <w:pPr>
              <w:pStyle w:val="5"/>
              <w:spacing w:line="300" w:lineRule="auto"/>
              <w:rPr>
                <w:lang w:eastAsia="zh-CN"/>
              </w:rPr>
            </w:pPr>
          </w:p>
        </w:tc>
        <w:tc>
          <w:tcPr>
            <w:tcW w:w="2264" w:type="dxa"/>
            <w:vMerge w:val="continue"/>
            <w:vAlign w:val="center"/>
          </w:tcPr>
          <w:p w14:paraId="715246A5">
            <w:pPr>
              <w:pStyle w:val="5"/>
              <w:spacing w:line="300" w:lineRule="auto"/>
              <w:rPr>
                <w:lang w:eastAsia="zh-CN"/>
              </w:rPr>
            </w:pPr>
          </w:p>
        </w:tc>
        <w:tc>
          <w:tcPr>
            <w:tcW w:w="2835" w:type="dxa"/>
            <w:vAlign w:val="center"/>
          </w:tcPr>
          <w:p w14:paraId="7C6D0A9E">
            <w:pPr>
              <w:pStyle w:val="5"/>
              <w:spacing w:line="300" w:lineRule="auto"/>
              <w:jc w:val="center"/>
              <w:rPr>
                <w:lang w:eastAsia="zh-CN"/>
              </w:rPr>
            </w:pPr>
            <w:r>
              <w:rPr>
                <w:lang w:eastAsia="zh-CN"/>
              </w:rPr>
              <w:t>10≤L</w:t>
            </w:r>
            <w:r>
              <w:rPr>
                <w:vertAlign w:val="subscript"/>
                <w:lang w:eastAsia="zh-CN"/>
              </w:rPr>
              <w:t>4</w:t>
            </w:r>
            <w:r>
              <w:rPr>
                <w:lang w:eastAsia="zh-CN"/>
              </w:rPr>
              <w:t>＜15</w:t>
            </w:r>
          </w:p>
        </w:tc>
        <w:tc>
          <w:tcPr>
            <w:tcW w:w="1417" w:type="dxa"/>
            <w:vAlign w:val="center"/>
          </w:tcPr>
          <w:p w14:paraId="7E3D5824">
            <w:pPr>
              <w:pStyle w:val="5"/>
              <w:spacing w:line="300" w:lineRule="auto"/>
              <w:jc w:val="center"/>
              <w:rPr>
                <w:lang w:eastAsia="zh-CN"/>
              </w:rPr>
            </w:pPr>
            <w:r>
              <w:rPr>
                <w:lang w:eastAsia="zh-CN"/>
              </w:rPr>
              <w:t>6</w:t>
            </w:r>
          </w:p>
        </w:tc>
      </w:tr>
      <w:tr w14:paraId="01C67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900C645">
            <w:pPr>
              <w:pStyle w:val="5"/>
              <w:spacing w:line="300" w:lineRule="auto"/>
              <w:rPr>
                <w:lang w:eastAsia="zh-CN"/>
              </w:rPr>
            </w:pPr>
          </w:p>
        </w:tc>
        <w:tc>
          <w:tcPr>
            <w:tcW w:w="2264" w:type="dxa"/>
            <w:vMerge w:val="continue"/>
            <w:vAlign w:val="center"/>
          </w:tcPr>
          <w:p w14:paraId="6DC31A7B">
            <w:pPr>
              <w:pStyle w:val="5"/>
              <w:spacing w:line="300" w:lineRule="auto"/>
              <w:rPr>
                <w:lang w:eastAsia="zh-CN"/>
              </w:rPr>
            </w:pPr>
          </w:p>
        </w:tc>
        <w:tc>
          <w:tcPr>
            <w:tcW w:w="2835" w:type="dxa"/>
            <w:vAlign w:val="center"/>
          </w:tcPr>
          <w:p w14:paraId="70DBE395">
            <w:pPr>
              <w:pStyle w:val="5"/>
              <w:spacing w:line="300" w:lineRule="auto"/>
              <w:jc w:val="center"/>
              <w:rPr>
                <w:lang w:eastAsia="zh-CN"/>
              </w:rPr>
            </w:pPr>
            <w:r>
              <w:rPr>
                <w:lang w:eastAsia="zh-CN"/>
              </w:rPr>
              <w:t>15≤L</w:t>
            </w:r>
            <w:r>
              <w:rPr>
                <w:vertAlign w:val="subscript"/>
                <w:lang w:eastAsia="zh-CN"/>
              </w:rPr>
              <w:t>4</w:t>
            </w:r>
            <w:r>
              <w:rPr>
                <w:lang w:eastAsia="zh-CN"/>
              </w:rPr>
              <w:t>＜20</w:t>
            </w:r>
          </w:p>
        </w:tc>
        <w:tc>
          <w:tcPr>
            <w:tcW w:w="1417" w:type="dxa"/>
            <w:vAlign w:val="center"/>
          </w:tcPr>
          <w:p w14:paraId="3EB6B18E">
            <w:pPr>
              <w:pStyle w:val="5"/>
              <w:spacing w:line="300" w:lineRule="auto"/>
              <w:jc w:val="center"/>
              <w:rPr>
                <w:lang w:eastAsia="zh-CN"/>
              </w:rPr>
            </w:pPr>
            <w:r>
              <w:rPr>
                <w:lang w:eastAsia="zh-CN"/>
              </w:rPr>
              <w:t>8</w:t>
            </w:r>
          </w:p>
        </w:tc>
      </w:tr>
      <w:tr w14:paraId="5302D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981" w:type="dxa"/>
            <w:gridSpan w:val="2"/>
            <w:vMerge w:val="continue"/>
            <w:vAlign w:val="center"/>
          </w:tcPr>
          <w:p w14:paraId="36478918">
            <w:pPr>
              <w:pStyle w:val="5"/>
              <w:spacing w:line="300" w:lineRule="auto"/>
              <w:rPr>
                <w:lang w:eastAsia="zh-CN"/>
              </w:rPr>
            </w:pPr>
          </w:p>
        </w:tc>
        <w:tc>
          <w:tcPr>
            <w:tcW w:w="2264" w:type="dxa"/>
            <w:vMerge w:val="continue"/>
            <w:vAlign w:val="center"/>
          </w:tcPr>
          <w:p w14:paraId="71634066">
            <w:pPr>
              <w:pStyle w:val="5"/>
              <w:spacing w:line="300" w:lineRule="auto"/>
              <w:rPr>
                <w:lang w:eastAsia="zh-CN"/>
              </w:rPr>
            </w:pPr>
          </w:p>
        </w:tc>
        <w:tc>
          <w:tcPr>
            <w:tcW w:w="2835" w:type="dxa"/>
            <w:vAlign w:val="center"/>
          </w:tcPr>
          <w:p w14:paraId="07AA825E">
            <w:pPr>
              <w:pStyle w:val="5"/>
              <w:spacing w:line="300" w:lineRule="auto"/>
              <w:jc w:val="center"/>
              <w:rPr>
                <w:lang w:eastAsia="zh-CN"/>
              </w:rPr>
            </w:pPr>
            <w:r>
              <w:rPr>
                <w:lang w:eastAsia="zh-CN"/>
              </w:rPr>
              <w:t>L</w:t>
            </w:r>
            <w:r>
              <w:rPr>
                <w:vertAlign w:val="subscript"/>
                <w:lang w:eastAsia="zh-CN"/>
              </w:rPr>
              <w:t>4</w:t>
            </w:r>
            <w:r>
              <w:rPr>
                <w:lang w:eastAsia="zh-CN"/>
              </w:rPr>
              <w:t>≥20</w:t>
            </w:r>
          </w:p>
        </w:tc>
        <w:tc>
          <w:tcPr>
            <w:tcW w:w="1417" w:type="dxa"/>
            <w:vAlign w:val="center"/>
          </w:tcPr>
          <w:p w14:paraId="3358069F">
            <w:pPr>
              <w:pStyle w:val="5"/>
              <w:spacing w:line="300" w:lineRule="auto"/>
              <w:jc w:val="center"/>
              <w:rPr>
                <w:lang w:eastAsia="zh-CN"/>
              </w:rPr>
            </w:pPr>
            <w:r>
              <w:rPr>
                <w:lang w:eastAsia="zh-CN"/>
              </w:rPr>
              <w:t>10</w:t>
            </w:r>
          </w:p>
        </w:tc>
      </w:tr>
      <w:tr w14:paraId="76CDD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497" w:type="dxa"/>
            <w:gridSpan w:val="5"/>
            <w:vAlign w:val="center"/>
          </w:tcPr>
          <w:p w14:paraId="4B82DFBB">
            <w:pPr>
              <w:pStyle w:val="5"/>
              <w:spacing w:line="360" w:lineRule="auto"/>
              <w:jc w:val="center"/>
              <w:rPr>
                <w:lang w:eastAsia="zh-CN"/>
              </w:rPr>
            </w:pPr>
            <w:r>
              <w:rPr>
                <w:b/>
                <w:bCs/>
                <w:color w:val="000000" w:themeColor="text1"/>
                <w:lang w:eastAsia="zh-CN"/>
              </w:rPr>
              <w:t>污染荷载指数（P）=（Q</w:t>
            </w:r>
            <w:r>
              <w:rPr>
                <w:b/>
                <w:bCs/>
                <w:color w:val="000000" w:themeColor="text1"/>
                <w:vertAlign w:val="subscript"/>
                <w:lang w:eastAsia="zh-CN"/>
              </w:rPr>
              <w:t>1</w:t>
            </w:r>
            <w:r>
              <w:rPr>
                <w:b/>
                <w:bCs/>
                <w:color w:val="000000" w:themeColor="text1"/>
                <w:lang w:eastAsia="zh-CN"/>
              </w:rPr>
              <w:t>+Q</w:t>
            </w:r>
            <w:r>
              <w:rPr>
                <w:b/>
                <w:bCs/>
                <w:color w:val="000000" w:themeColor="text1"/>
                <w:vertAlign w:val="subscript"/>
                <w:lang w:eastAsia="zh-CN"/>
              </w:rPr>
              <w:t>2</w:t>
            </w:r>
            <w:r>
              <w:rPr>
                <w:b/>
                <w:bCs/>
                <w:color w:val="000000" w:themeColor="text1"/>
                <w:lang w:eastAsia="zh-CN"/>
              </w:rPr>
              <w:t>+T+L）*100/50</w:t>
            </w:r>
          </w:p>
        </w:tc>
      </w:tr>
    </w:tbl>
    <w:p w14:paraId="40D73ED6">
      <w:pPr>
        <w:spacing w:after="156"/>
        <w:ind w:firstLine="422"/>
        <w:jc w:val="center"/>
        <w:rPr>
          <w:b/>
          <w:bCs/>
        </w:rPr>
      </w:pPr>
      <w:r>
        <w:rPr>
          <w:b/>
          <w:bCs/>
        </w:rPr>
        <w:t>表B.2  污染迁移指数指标及等级划分</w:t>
      </w:r>
    </w:p>
    <w:tbl>
      <w:tblPr>
        <w:tblStyle w:val="12"/>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0"/>
        <w:gridCol w:w="2835"/>
        <w:gridCol w:w="2835"/>
        <w:gridCol w:w="1417"/>
      </w:tblGrid>
      <w:tr w14:paraId="1006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4245" w:type="dxa"/>
            <w:gridSpan w:val="2"/>
            <w:vAlign w:val="center"/>
          </w:tcPr>
          <w:p w14:paraId="1C926632">
            <w:pPr>
              <w:pStyle w:val="5"/>
              <w:spacing w:line="300" w:lineRule="auto"/>
              <w:jc w:val="center"/>
              <w:rPr>
                <w:b/>
                <w:bCs/>
              </w:rPr>
            </w:pPr>
            <w:r>
              <w:rPr>
                <w:b/>
                <w:bCs/>
              </w:rPr>
              <w:t>指标</w:t>
            </w:r>
          </w:p>
        </w:tc>
        <w:tc>
          <w:tcPr>
            <w:tcW w:w="4252" w:type="dxa"/>
            <w:gridSpan w:val="2"/>
            <w:vAlign w:val="center"/>
          </w:tcPr>
          <w:p w14:paraId="37674676">
            <w:pPr>
              <w:pStyle w:val="5"/>
              <w:spacing w:line="300" w:lineRule="auto"/>
              <w:jc w:val="center"/>
              <w:rPr>
                <w:b/>
                <w:bCs/>
              </w:rPr>
            </w:pPr>
            <w:r>
              <w:rPr>
                <w:b/>
                <w:bCs/>
              </w:rPr>
              <w:t>指标赋值</w:t>
            </w:r>
          </w:p>
        </w:tc>
      </w:tr>
      <w:tr w14:paraId="6778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Align w:val="center"/>
          </w:tcPr>
          <w:p w14:paraId="72453CB0">
            <w:pPr>
              <w:pStyle w:val="5"/>
              <w:spacing w:line="300" w:lineRule="auto"/>
              <w:jc w:val="center"/>
              <w:rPr>
                <w:b/>
                <w:bCs/>
              </w:rPr>
            </w:pPr>
            <w:r>
              <w:rPr>
                <w:b/>
                <w:bCs/>
              </w:rPr>
              <w:t>二级指标</w:t>
            </w:r>
          </w:p>
        </w:tc>
        <w:tc>
          <w:tcPr>
            <w:tcW w:w="2835" w:type="dxa"/>
            <w:vAlign w:val="center"/>
          </w:tcPr>
          <w:p w14:paraId="65361C41">
            <w:pPr>
              <w:pStyle w:val="5"/>
              <w:spacing w:line="300" w:lineRule="auto"/>
              <w:jc w:val="center"/>
              <w:rPr>
                <w:b/>
                <w:bCs/>
              </w:rPr>
            </w:pPr>
            <w:r>
              <w:rPr>
                <w:b/>
                <w:bCs/>
              </w:rPr>
              <w:t>三级指标</w:t>
            </w:r>
          </w:p>
        </w:tc>
        <w:tc>
          <w:tcPr>
            <w:tcW w:w="2835" w:type="dxa"/>
            <w:vAlign w:val="center"/>
          </w:tcPr>
          <w:p w14:paraId="67E6CE3D">
            <w:pPr>
              <w:pStyle w:val="5"/>
              <w:spacing w:line="300" w:lineRule="auto"/>
              <w:jc w:val="center"/>
              <w:rPr>
                <w:b/>
                <w:bCs/>
              </w:rPr>
            </w:pPr>
            <w:r>
              <w:rPr>
                <w:b/>
                <w:bCs/>
              </w:rPr>
              <w:t>指标等级</w:t>
            </w:r>
          </w:p>
        </w:tc>
        <w:tc>
          <w:tcPr>
            <w:tcW w:w="1417" w:type="dxa"/>
            <w:vAlign w:val="center"/>
          </w:tcPr>
          <w:p w14:paraId="1C82F831">
            <w:pPr>
              <w:pStyle w:val="5"/>
              <w:spacing w:line="300" w:lineRule="auto"/>
              <w:jc w:val="center"/>
              <w:rPr>
                <w:b/>
                <w:bCs/>
              </w:rPr>
            </w:pPr>
            <w:r>
              <w:rPr>
                <w:b/>
                <w:bCs/>
              </w:rPr>
              <w:t>指标分值</w:t>
            </w:r>
          </w:p>
        </w:tc>
      </w:tr>
      <w:tr w14:paraId="1D004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restart"/>
            <w:vAlign w:val="center"/>
          </w:tcPr>
          <w:p w14:paraId="09EACA11">
            <w:pPr>
              <w:pStyle w:val="5"/>
              <w:spacing w:line="300" w:lineRule="auto"/>
              <w:jc w:val="center"/>
            </w:pPr>
            <w:r>
              <w:t>污染物迁移属性M</w:t>
            </w:r>
            <w:r>
              <w:rPr>
                <w:vertAlign w:val="subscript"/>
              </w:rPr>
              <w:t>1</w:t>
            </w:r>
          </w:p>
        </w:tc>
        <w:tc>
          <w:tcPr>
            <w:tcW w:w="2835" w:type="dxa"/>
            <w:vMerge w:val="restart"/>
            <w:vAlign w:val="center"/>
          </w:tcPr>
          <w:p w14:paraId="0F56B18A">
            <w:pPr>
              <w:pStyle w:val="5"/>
              <w:spacing w:line="300" w:lineRule="auto"/>
              <w:jc w:val="center"/>
            </w:pPr>
            <w:r>
              <w:t>溶解度（SO，mg/L）</w:t>
            </w:r>
          </w:p>
        </w:tc>
        <w:tc>
          <w:tcPr>
            <w:tcW w:w="2835" w:type="dxa"/>
            <w:vAlign w:val="center"/>
          </w:tcPr>
          <w:p w14:paraId="0BE5B9ED">
            <w:pPr>
              <w:pStyle w:val="5"/>
              <w:spacing w:line="300" w:lineRule="auto"/>
              <w:jc w:val="center"/>
            </w:pPr>
            <w:r>
              <w:t>SO&lt;0.01</w:t>
            </w:r>
          </w:p>
        </w:tc>
        <w:tc>
          <w:tcPr>
            <w:tcW w:w="1417" w:type="dxa"/>
            <w:vAlign w:val="center"/>
          </w:tcPr>
          <w:p w14:paraId="071A74D2">
            <w:pPr>
              <w:pStyle w:val="5"/>
              <w:spacing w:line="300" w:lineRule="auto"/>
              <w:jc w:val="center"/>
            </w:pPr>
            <w:r>
              <w:t>1</w:t>
            </w:r>
          </w:p>
        </w:tc>
      </w:tr>
      <w:tr w14:paraId="44E8A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2EAAD344">
            <w:pPr>
              <w:pStyle w:val="5"/>
              <w:spacing w:line="300" w:lineRule="auto"/>
              <w:jc w:val="center"/>
            </w:pPr>
          </w:p>
        </w:tc>
        <w:tc>
          <w:tcPr>
            <w:tcW w:w="2835" w:type="dxa"/>
            <w:vMerge w:val="continue"/>
            <w:vAlign w:val="center"/>
          </w:tcPr>
          <w:p w14:paraId="6A77A8C6">
            <w:pPr>
              <w:pStyle w:val="5"/>
              <w:spacing w:line="300" w:lineRule="auto"/>
              <w:jc w:val="center"/>
            </w:pPr>
          </w:p>
        </w:tc>
        <w:tc>
          <w:tcPr>
            <w:tcW w:w="2835" w:type="dxa"/>
            <w:vAlign w:val="center"/>
          </w:tcPr>
          <w:p w14:paraId="0B92A24D">
            <w:pPr>
              <w:pStyle w:val="5"/>
              <w:spacing w:line="300" w:lineRule="auto"/>
              <w:jc w:val="center"/>
            </w:pPr>
            <w:r>
              <w:t>0.01≤SO&lt;1</w:t>
            </w:r>
          </w:p>
        </w:tc>
        <w:tc>
          <w:tcPr>
            <w:tcW w:w="1417" w:type="dxa"/>
            <w:vAlign w:val="center"/>
          </w:tcPr>
          <w:p w14:paraId="13692CCE">
            <w:pPr>
              <w:pStyle w:val="5"/>
              <w:spacing w:line="300" w:lineRule="auto"/>
              <w:jc w:val="center"/>
            </w:pPr>
            <w:r>
              <w:t>2</w:t>
            </w:r>
          </w:p>
        </w:tc>
      </w:tr>
      <w:tr w14:paraId="4CFCA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2BD8C002">
            <w:pPr>
              <w:pStyle w:val="5"/>
              <w:spacing w:line="300" w:lineRule="auto"/>
              <w:jc w:val="center"/>
            </w:pPr>
          </w:p>
        </w:tc>
        <w:tc>
          <w:tcPr>
            <w:tcW w:w="2835" w:type="dxa"/>
            <w:vMerge w:val="continue"/>
            <w:vAlign w:val="center"/>
          </w:tcPr>
          <w:p w14:paraId="354AD2A3">
            <w:pPr>
              <w:pStyle w:val="5"/>
              <w:spacing w:line="300" w:lineRule="auto"/>
              <w:jc w:val="center"/>
            </w:pPr>
          </w:p>
        </w:tc>
        <w:tc>
          <w:tcPr>
            <w:tcW w:w="2835" w:type="dxa"/>
            <w:vAlign w:val="center"/>
          </w:tcPr>
          <w:p w14:paraId="127F7CC0">
            <w:pPr>
              <w:pStyle w:val="5"/>
              <w:spacing w:line="300" w:lineRule="auto"/>
              <w:jc w:val="center"/>
            </w:pPr>
            <w:r>
              <w:t>1≤SO&lt;10</w:t>
            </w:r>
          </w:p>
        </w:tc>
        <w:tc>
          <w:tcPr>
            <w:tcW w:w="1417" w:type="dxa"/>
            <w:vAlign w:val="center"/>
          </w:tcPr>
          <w:p w14:paraId="3FE19ACE">
            <w:pPr>
              <w:pStyle w:val="5"/>
              <w:spacing w:line="300" w:lineRule="auto"/>
              <w:jc w:val="center"/>
            </w:pPr>
            <w:r>
              <w:t>2.5</w:t>
            </w:r>
          </w:p>
        </w:tc>
      </w:tr>
      <w:tr w14:paraId="0B926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14BF19ED">
            <w:pPr>
              <w:pStyle w:val="5"/>
              <w:spacing w:line="300" w:lineRule="auto"/>
              <w:jc w:val="center"/>
            </w:pPr>
          </w:p>
        </w:tc>
        <w:tc>
          <w:tcPr>
            <w:tcW w:w="2835" w:type="dxa"/>
            <w:vMerge w:val="continue"/>
            <w:vAlign w:val="center"/>
          </w:tcPr>
          <w:p w14:paraId="02526022">
            <w:pPr>
              <w:pStyle w:val="5"/>
              <w:spacing w:line="300" w:lineRule="auto"/>
              <w:jc w:val="center"/>
            </w:pPr>
          </w:p>
        </w:tc>
        <w:tc>
          <w:tcPr>
            <w:tcW w:w="2835" w:type="dxa"/>
            <w:vAlign w:val="center"/>
          </w:tcPr>
          <w:p w14:paraId="2D3EB352">
            <w:pPr>
              <w:pStyle w:val="5"/>
              <w:spacing w:line="300" w:lineRule="auto"/>
              <w:jc w:val="center"/>
            </w:pPr>
            <w:r>
              <w:t>10≤SO&lt;100</w:t>
            </w:r>
          </w:p>
        </w:tc>
        <w:tc>
          <w:tcPr>
            <w:tcW w:w="1417" w:type="dxa"/>
            <w:vAlign w:val="center"/>
          </w:tcPr>
          <w:p w14:paraId="597228C2">
            <w:pPr>
              <w:pStyle w:val="5"/>
              <w:spacing w:line="300" w:lineRule="auto"/>
              <w:jc w:val="center"/>
            </w:pPr>
            <w:r>
              <w:t>3</w:t>
            </w:r>
          </w:p>
        </w:tc>
      </w:tr>
      <w:tr w14:paraId="69DC7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0BA20351">
            <w:pPr>
              <w:pStyle w:val="5"/>
              <w:spacing w:line="300" w:lineRule="auto"/>
              <w:jc w:val="center"/>
            </w:pPr>
          </w:p>
        </w:tc>
        <w:tc>
          <w:tcPr>
            <w:tcW w:w="2835" w:type="dxa"/>
            <w:vMerge w:val="continue"/>
            <w:vAlign w:val="center"/>
          </w:tcPr>
          <w:p w14:paraId="6166001B">
            <w:pPr>
              <w:pStyle w:val="5"/>
              <w:spacing w:line="300" w:lineRule="auto"/>
              <w:jc w:val="center"/>
            </w:pPr>
          </w:p>
        </w:tc>
        <w:tc>
          <w:tcPr>
            <w:tcW w:w="2835" w:type="dxa"/>
            <w:vAlign w:val="center"/>
          </w:tcPr>
          <w:p w14:paraId="211F092A">
            <w:pPr>
              <w:pStyle w:val="5"/>
              <w:spacing w:line="300" w:lineRule="auto"/>
              <w:jc w:val="center"/>
            </w:pPr>
            <w:r>
              <w:t>SO≥100</w:t>
            </w:r>
          </w:p>
        </w:tc>
        <w:tc>
          <w:tcPr>
            <w:tcW w:w="1417" w:type="dxa"/>
            <w:vAlign w:val="center"/>
          </w:tcPr>
          <w:p w14:paraId="3EAF65AD">
            <w:pPr>
              <w:pStyle w:val="5"/>
              <w:spacing w:line="300" w:lineRule="auto"/>
              <w:jc w:val="center"/>
            </w:pPr>
            <w:r>
              <w:t>4</w:t>
            </w:r>
          </w:p>
        </w:tc>
      </w:tr>
      <w:tr w14:paraId="7E5D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4A4FE7F4">
            <w:pPr>
              <w:pStyle w:val="5"/>
              <w:spacing w:line="300" w:lineRule="auto"/>
              <w:jc w:val="center"/>
            </w:pPr>
          </w:p>
        </w:tc>
        <w:tc>
          <w:tcPr>
            <w:tcW w:w="2835" w:type="dxa"/>
            <w:vMerge w:val="restart"/>
            <w:vAlign w:val="center"/>
          </w:tcPr>
          <w:p w14:paraId="76825A1F">
            <w:pPr>
              <w:pStyle w:val="5"/>
              <w:spacing w:line="300" w:lineRule="auto"/>
              <w:jc w:val="center"/>
            </w:pPr>
            <w:r>
              <w:t>分配系数（K</w:t>
            </w:r>
            <w:r>
              <w:rPr>
                <w:vertAlign w:val="subscript"/>
              </w:rPr>
              <w:t>d</w:t>
            </w:r>
            <w:r>
              <w:t>，L/kg）</w:t>
            </w:r>
          </w:p>
        </w:tc>
        <w:tc>
          <w:tcPr>
            <w:tcW w:w="2835" w:type="dxa"/>
            <w:vAlign w:val="center"/>
          </w:tcPr>
          <w:p w14:paraId="01C85957">
            <w:pPr>
              <w:pStyle w:val="5"/>
              <w:spacing w:line="300" w:lineRule="auto"/>
              <w:jc w:val="center"/>
            </w:pPr>
            <w:r>
              <w:t>K</w:t>
            </w:r>
            <w:r>
              <w:rPr>
                <w:vertAlign w:val="subscript"/>
              </w:rPr>
              <w:t>d</w:t>
            </w:r>
            <w:r>
              <w:t xml:space="preserve"> &lt;10</w:t>
            </w:r>
          </w:p>
        </w:tc>
        <w:tc>
          <w:tcPr>
            <w:tcW w:w="1417" w:type="dxa"/>
            <w:vAlign w:val="center"/>
          </w:tcPr>
          <w:p w14:paraId="7E181EAA">
            <w:pPr>
              <w:pStyle w:val="5"/>
              <w:spacing w:line="300" w:lineRule="auto"/>
              <w:jc w:val="center"/>
            </w:pPr>
            <w:r>
              <w:t>1</w:t>
            </w:r>
          </w:p>
        </w:tc>
      </w:tr>
      <w:tr w14:paraId="6E346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60F4D512">
            <w:pPr>
              <w:pStyle w:val="5"/>
              <w:spacing w:line="300" w:lineRule="auto"/>
              <w:jc w:val="center"/>
            </w:pPr>
          </w:p>
        </w:tc>
        <w:tc>
          <w:tcPr>
            <w:tcW w:w="2835" w:type="dxa"/>
            <w:vMerge w:val="continue"/>
            <w:vAlign w:val="center"/>
          </w:tcPr>
          <w:p w14:paraId="2B9EF852">
            <w:pPr>
              <w:pStyle w:val="5"/>
              <w:spacing w:line="300" w:lineRule="auto"/>
              <w:jc w:val="center"/>
            </w:pPr>
          </w:p>
        </w:tc>
        <w:tc>
          <w:tcPr>
            <w:tcW w:w="2835" w:type="dxa"/>
            <w:vAlign w:val="center"/>
          </w:tcPr>
          <w:p w14:paraId="0CA92108">
            <w:pPr>
              <w:pStyle w:val="5"/>
              <w:spacing w:line="300" w:lineRule="auto"/>
              <w:jc w:val="center"/>
            </w:pPr>
            <w:r>
              <w:t>10≤K</w:t>
            </w:r>
            <w:r>
              <w:rPr>
                <w:vertAlign w:val="subscript"/>
              </w:rPr>
              <w:t>d</w:t>
            </w:r>
            <w:r>
              <w:t xml:space="preserve"> &lt;100</w:t>
            </w:r>
          </w:p>
        </w:tc>
        <w:tc>
          <w:tcPr>
            <w:tcW w:w="1417" w:type="dxa"/>
            <w:vAlign w:val="center"/>
          </w:tcPr>
          <w:p w14:paraId="4F64EF12">
            <w:pPr>
              <w:pStyle w:val="5"/>
              <w:spacing w:line="300" w:lineRule="auto"/>
              <w:jc w:val="center"/>
            </w:pPr>
            <w:r>
              <w:t>2</w:t>
            </w:r>
          </w:p>
        </w:tc>
      </w:tr>
      <w:tr w14:paraId="118EA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6AF0F5C3">
            <w:pPr>
              <w:pStyle w:val="5"/>
              <w:spacing w:line="300" w:lineRule="auto"/>
              <w:jc w:val="center"/>
            </w:pPr>
          </w:p>
        </w:tc>
        <w:tc>
          <w:tcPr>
            <w:tcW w:w="2835" w:type="dxa"/>
            <w:vMerge w:val="continue"/>
            <w:vAlign w:val="center"/>
          </w:tcPr>
          <w:p w14:paraId="39111C39">
            <w:pPr>
              <w:pStyle w:val="5"/>
              <w:spacing w:line="300" w:lineRule="auto"/>
              <w:jc w:val="center"/>
            </w:pPr>
          </w:p>
        </w:tc>
        <w:tc>
          <w:tcPr>
            <w:tcW w:w="2835" w:type="dxa"/>
            <w:vAlign w:val="center"/>
          </w:tcPr>
          <w:p w14:paraId="60747D37">
            <w:pPr>
              <w:pStyle w:val="5"/>
              <w:spacing w:line="300" w:lineRule="auto"/>
              <w:jc w:val="center"/>
            </w:pPr>
            <w:r>
              <w:t>100≤K</w:t>
            </w:r>
            <w:r>
              <w:rPr>
                <w:vertAlign w:val="subscript"/>
              </w:rPr>
              <w:t>d</w:t>
            </w:r>
            <w:r>
              <w:t xml:space="preserve"> &lt;1000</w:t>
            </w:r>
          </w:p>
        </w:tc>
        <w:tc>
          <w:tcPr>
            <w:tcW w:w="1417" w:type="dxa"/>
            <w:vAlign w:val="center"/>
          </w:tcPr>
          <w:p w14:paraId="6FF47DE5">
            <w:pPr>
              <w:pStyle w:val="5"/>
              <w:spacing w:line="300" w:lineRule="auto"/>
              <w:jc w:val="center"/>
            </w:pPr>
            <w:r>
              <w:t>3</w:t>
            </w:r>
          </w:p>
        </w:tc>
      </w:tr>
      <w:tr w14:paraId="4EEFC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29DC9A19">
            <w:pPr>
              <w:pStyle w:val="5"/>
              <w:spacing w:line="300" w:lineRule="auto"/>
              <w:jc w:val="center"/>
            </w:pPr>
          </w:p>
        </w:tc>
        <w:tc>
          <w:tcPr>
            <w:tcW w:w="2835" w:type="dxa"/>
            <w:vMerge w:val="continue"/>
            <w:vAlign w:val="center"/>
          </w:tcPr>
          <w:p w14:paraId="0F1077AB">
            <w:pPr>
              <w:pStyle w:val="5"/>
              <w:spacing w:line="300" w:lineRule="auto"/>
              <w:jc w:val="center"/>
            </w:pPr>
          </w:p>
        </w:tc>
        <w:tc>
          <w:tcPr>
            <w:tcW w:w="2835" w:type="dxa"/>
            <w:vAlign w:val="center"/>
          </w:tcPr>
          <w:p w14:paraId="05CB92A6">
            <w:pPr>
              <w:pStyle w:val="5"/>
              <w:spacing w:line="300" w:lineRule="auto"/>
              <w:jc w:val="center"/>
            </w:pPr>
            <w:r>
              <w:t>K</w:t>
            </w:r>
            <w:r>
              <w:rPr>
                <w:vertAlign w:val="subscript"/>
              </w:rPr>
              <w:t>d</w:t>
            </w:r>
            <w:r>
              <w:t>≥1000</w:t>
            </w:r>
          </w:p>
        </w:tc>
        <w:tc>
          <w:tcPr>
            <w:tcW w:w="1417" w:type="dxa"/>
            <w:vAlign w:val="center"/>
          </w:tcPr>
          <w:p w14:paraId="6DC58E45">
            <w:pPr>
              <w:pStyle w:val="5"/>
              <w:spacing w:line="300" w:lineRule="auto"/>
              <w:jc w:val="center"/>
            </w:pPr>
            <w:r>
              <w:t>4</w:t>
            </w:r>
          </w:p>
        </w:tc>
      </w:tr>
      <w:tr w14:paraId="4E136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60C2779C">
            <w:pPr>
              <w:pStyle w:val="5"/>
              <w:spacing w:line="300" w:lineRule="auto"/>
              <w:jc w:val="center"/>
            </w:pPr>
          </w:p>
        </w:tc>
        <w:tc>
          <w:tcPr>
            <w:tcW w:w="2835" w:type="dxa"/>
            <w:vMerge w:val="restart"/>
            <w:vAlign w:val="center"/>
          </w:tcPr>
          <w:p w14:paraId="1F739668">
            <w:pPr>
              <w:pStyle w:val="5"/>
              <w:spacing w:line="300" w:lineRule="auto"/>
              <w:jc w:val="center"/>
            </w:pPr>
            <w:r>
              <w:t>污染物可降解性（D）</w:t>
            </w:r>
          </w:p>
        </w:tc>
        <w:tc>
          <w:tcPr>
            <w:tcW w:w="2835" w:type="dxa"/>
            <w:vAlign w:val="center"/>
          </w:tcPr>
          <w:p w14:paraId="305DDB7D">
            <w:pPr>
              <w:pStyle w:val="5"/>
              <w:spacing w:line="300" w:lineRule="auto"/>
              <w:jc w:val="center"/>
            </w:pPr>
            <w:r>
              <w:t>非持久性有机物</w:t>
            </w:r>
          </w:p>
        </w:tc>
        <w:tc>
          <w:tcPr>
            <w:tcW w:w="1417" w:type="dxa"/>
            <w:vAlign w:val="center"/>
          </w:tcPr>
          <w:p w14:paraId="1BBA1DBC">
            <w:pPr>
              <w:pStyle w:val="5"/>
              <w:spacing w:line="300" w:lineRule="auto"/>
              <w:jc w:val="center"/>
            </w:pPr>
            <w:r>
              <w:t>1</w:t>
            </w:r>
          </w:p>
        </w:tc>
      </w:tr>
      <w:tr w14:paraId="1FA74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599046A3">
            <w:pPr>
              <w:pStyle w:val="5"/>
              <w:spacing w:line="300" w:lineRule="auto"/>
              <w:jc w:val="center"/>
            </w:pPr>
          </w:p>
        </w:tc>
        <w:tc>
          <w:tcPr>
            <w:tcW w:w="2835" w:type="dxa"/>
            <w:vMerge w:val="continue"/>
            <w:vAlign w:val="center"/>
          </w:tcPr>
          <w:p w14:paraId="0EF2AF36">
            <w:pPr>
              <w:pStyle w:val="5"/>
              <w:spacing w:line="300" w:lineRule="auto"/>
              <w:jc w:val="center"/>
            </w:pPr>
          </w:p>
        </w:tc>
        <w:tc>
          <w:tcPr>
            <w:tcW w:w="2835" w:type="dxa"/>
            <w:vAlign w:val="center"/>
          </w:tcPr>
          <w:p w14:paraId="0F3875D9">
            <w:pPr>
              <w:pStyle w:val="5"/>
              <w:spacing w:line="300" w:lineRule="auto"/>
              <w:jc w:val="center"/>
            </w:pPr>
            <w:r>
              <w:t>未知</w:t>
            </w:r>
          </w:p>
        </w:tc>
        <w:tc>
          <w:tcPr>
            <w:tcW w:w="1417" w:type="dxa"/>
            <w:vAlign w:val="center"/>
          </w:tcPr>
          <w:p w14:paraId="040DC766">
            <w:pPr>
              <w:pStyle w:val="5"/>
              <w:spacing w:line="300" w:lineRule="auto"/>
              <w:jc w:val="center"/>
            </w:pPr>
            <w:r>
              <w:t>1.5</w:t>
            </w:r>
          </w:p>
        </w:tc>
      </w:tr>
      <w:tr w14:paraId="55054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6F112258">
            <w:pPr>
              <w:pStyle w:val="5"/>
              <w:spacing w:line="300" w:lineRule="auto"/>
              <w:jc w:val="center"/>
            </w:pPr>
          </w:p>
        </w:tc>
        <w:tc>
          <w:tcPr>
            <w:tcW w:w="2835" w:type="dxa"/>
            <w:vMerge w:val="continue"/>
            <w:vAlign w:val="center"/>
          </w:tcPr>
          <w:p w14:paraId="7F5F7842">
            <w:pPr>
              <w:pStyle w:val="5"/>
              <w:spacing w:line="300" w:lineRule="auto"/>
              <w:jc w:val="center"/>
            </w:pPr>
          </w:p>
        </w:tc>
        <w:tc>
          <w:tcPr>
            <w:tcW w:w="2835" w:type="dxa"/>
            <w:vAlign w:val="center"/>
          </w:tcPr>
          <w:p w14:paraId="0C958A92">
            <w:pPr>
              <w:pStyle w:val="5"/>
              <w:spacing w:line="300" w:lineRule="auto"/>
              <w:jc w:val="center"/>
            </w:pPr>
            <w:r>
              <w:t>持久性有机物</w:t>
            </w:r>
          </w:p>
        </w:tc>
        <w:tc>
          <w:tcPr>
            <w:tcW w:w="1417" w:type="dxa"/>
            <w:vAlign w:val="center"/>
          </w:tcPr>
          <w:p w14:paraId="5FF1A9A0">
            <w:pPr>
              <w:pStyle w:val="5"/>
              <w:spacing w:line="300" w:lineRule="auto"/>
              <w:jc w:val="center"/>
              <w:rPr>
                <w:lang w:eastAsia="zh-CN"/>
              </w:rPr>
            </w:pPr>
            <w:r>
              <w:rPr>
                <w:lang w:eastAsia="zh-CN"/>
              </w:rPr>
              <w:t>3</w:t>
            </w:r>
          </w:p>
        </w:tc>
      </w:tr>
      <w:tr w14:paraId="3A61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76415A83">
            <w:pPr>
              <w:pStyle w:val="5"/>
              <w:spacing w:line="300" w:lineRule="auto"/>
              <w:jc w:val="center"/>
            </w:pPr>
          </w:p>
        </w:tc>
        <w:tc>
          <w:tcPr>
            <w:tcW w:w="2835" w:type="dxa"/>
            <w:vMerge w:val="restart"/>
            <w:vAlign w:val="center"/>
          </w:tcPr>
          <w:p w14:paraId="443A42A2">
            <w:pPr>
              <w:pStyle w:val="5"/>
              <w:spacing w:line="300" w:lineRule="auto"/>
              <w:ind w:leftChars="-50" w:right="-113" w:rightChars="-54" w:hanging="105" w:hangingChars="50"/>
              <w:jc w:val="center"/>
              <w:rPr>
                <w:lang w:eastAsia="zh-CN"/>
              </w:rPr>
            </w:pPr>
            <w:r>
              <w:rPr>
                <w:lang w:eastAsia="zh-CN"/>
              </w:rPr>
              <w:t>污染物挥发性（</w:t>
            </w:r>
            <w:r>
              <w:rPr>
                <w:spacing w:val="-4"/>
                <w:lang w:eastAsia="zh-CN"/>
              </w:rPr>
              <w:t>亨利常数H</w:t>
            </w:r>
            <w:r>
              <w:rPr>
                <w:lang w:eastAsia="zh-CN"/>
              </w:rPr>
              <w:t xml:space="preserve"> </w:t>
            </w:r>
            <w:r>
              <w:rPr>
                <w:rFonts w:hint="eastAsia"/>
                <w:lang w:eastAsia="zh-CN"/>
              </w:rPr>
              <w:t>，MPa</w:t>
            </w:r>
            <w:r>
              <w:rPr>
                <w:lang w:eastAsia="zh-CN"/>
              </w:rPr>
              <w:t>）</w:t>
            </w:r>
          </w:p>
        </w:tc>
        <w:tc>
          <w:tcPr>
            <w:tcW w:w="2835" w:type="dxa"/>
            <w:vAlign w:val="center"/>
          </w:tcPr>
          <w:p w14:paraId="0A1B2230">
            <w:pPr>
              <w:pStyle w:val="5"/>
              <w:spacing w:line="300" w:lineRule="auto"/>
              <w:jc w:val="center"/>
            </w:pPr>
            <w:r>
              <w:rPr>
                <w:lang w:eastAsia="zh-CN"/>
              </w:rPr>
              <w:t>H</w:t>
            </w:r>
            <w:r>
              <w:rPr>
                <w:spacing w:val="-4"/>
              </w:rPr>
              <w:t>＜0.001</w:t>
            </w:r>
          </w:p>
        </w:tc>
        <w:tc>
          <w:tcPr>
            <w:tcW w:w="1417" w:type="dxa"/>
            <w:vAlign w:val="center"/>
          </w:tcPr>
          <w:p w14:paraId="4DFB3D0A">
            <w:pPr>
              <w:pStyle w:val="5"/>
              <w:spacing w:line="300" w:lineRule="auto"/>
              <w:jc w:val="center"/>
              <w:rPr>
                <w:lang w:eastAsia="zh-CN"/>
              </w:rPr>
            </w:pPr>
            <w:r>
              <w:rPr>
                <w:lang w:eastAsia="zh-CN"/>
              </w:rPr>
              <w:t>1</w:t>
            </w:r>
          </w:p>
        </w:tc>
      </w:tr>
      <w:tr w14:paraId="28F55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0F058950">
            <w:pPr>
              <w:pStyle w:val="5"/>
              <w:spacing w:line="300" w:lineRule="auto"/>
              <w:jc w:val="center"/>
            </w:pPr>
          </w:p>
        </w:tc>
        <w:tc>
          <w:tcPr>
            <w:tcW w:w="2835" w:type="dxa"/>
            <w:vMerge w:val="continue"/>
            <w:vAlign w:val="center"/>
          </w:tcPr>
          <w:p w14:paraId="62718964">
            <w:pPr>
              <w:pStyle w:val="5"/>
              <w:spacing w:line="300" w:lineRule="auto"/>
              <w:jc w:val="center"/>
            </w:pPr>
          </w:p>
        </w:tc>
        <w:tc>
          <w:tcPr>
            <w:tcW w:w="2835" w:type="dxa"/>
            <w:vAlign w:val="center"/>
          </w:tcPr>
          <w:p w14:paraId="38B0BE89">
            <w:pPr>
              <w:pStyle w:val="5"/>
              <w:spacing w:line="300" w:lineRule="auto"/>
              <w:jc w:val="center"/>
              <w:rPr>
                <w:lang w:eastAsia="zh-CN"/>
              </w:rPr>
            </w:pPr>
            <w:r>
              <w:rPr>
                <w:lang w:eastAsia="zh-CN"/>
              </w:rPr>
              <w:t>0.001</w:t>
            </w:r>
            <w:r>
              <w:t>≤</w:t>
            </w:r>
            <w:r>
              <w:rPr>
                <w:lang w:eastAsia="zh-CN"/>
              </w:rPr>
              <w:t>H</w:t>
            </w:r>
            <w:r>
              <w:t xml:space="preserve"> &lt;</w:t>
            </w:r>
            <w:r>
              <w:rPr>
                <w:lang w:eastAsia="zh-CN"/>
              </w:rPr>
              <w:t>0.01</w:t>
            </w:r>
          </w:p>
        </w:tc>
        <w:tc>
          <w:tcPr>
            <w:tcW w:w="1417" w:type="dxa"/>
            <w:vAlign w:val="center"/>
          </w:tcPr>
          <w:p w14:paraId="6F8A5540">
            <w:pPr>
              <w:pStyle w:val="5"/>
              <w:spacing w:line="300" w:lineRule="auto"/>
              <w:jc w:val="center"/>
              <w:rPr>
                <w:lang w:eastAsia="zh-CN"/>
              </w:rPr>
            </w:pPr>
            <w:r>
              <w:rPr>
                <w:lang w:eastAsia="zh-CN"/>
              </w:rPr>
              <w:t>2</w:t>
            </w:r>
          </w:p>
        </w:tc>
      </w:tr>
      <w:tr w14:paraId="27C2D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755B436C">
            <w:pPr>
              <w:pStyle w:val="5"/>
              <w:spacing w:line="300" w:lineRule="auto"/>
              <w:jc w:val="center"/>
            </w:pPr>
          </w:p>
        </w:tc>
        <w:tc>
          <w:tcPr>
            <w:tcW w:w="2835" w:type="dxa"/>
            <w:vMerge w:val="continue"/>
            <w:vAlign w:val="center"/>
          </w:tcPr>
          <w:p w14:paraId="49368264">
            <w:pPr>
              <w:pStyle w:val="5"/>
              <w:spacing w:line="300" w:lineRule="auto"/>
              <w:jc w:val="center"/>
            </w:pPr>
          </w:p>
        </w:tc>
        <w:tc>
          <w:tcPr>
            <w:tcW w:w="2835" w:type="dxa"/>
            <w:vAlign w:val="center"/>
          </w:tcPr>
          <w:p w14:paraId="4B350F6B">
            <w:pPr>
              <w:pStyle w:val="5"/>
              <w:spacing w:line="300" w:lineRule="auto"/>
              <w:jc w:val="center"/>
              <w:rPr>
                <w:lang w:eastAsia="zh-CN"/>
              </w:rPr>
            </w:pPr>
            <w:r>
              <w:rPr>
                <w:lang w:eastAsia="zh-CN"/>
              </w:rPr>
              <w:t>0.01</w:t>
            </w:r>
            <w:r>
              <w:t>≤</w:t>
            </w:r>
            <w:r>
              <w:rPr>
                <w:lang w:eastAsia="zh-CN"/>
              </w:rPr>
              <w:t>H</w:t>
            </w:r>
            <w:r>
              <w:t xml:space="preserve"> &lt;</w:t>
            </w:r>
            <w:r>
              <w:rPr>
                <w:lang w:eastAsia="zh-CN"/>
              </w:rPr>
              <w:t>0.1</w:t>
            </w:r>
          </w:p>
        </w:tc>
        <w:tc>
          <w:tcPr>
            <w:tcW w:w="1417" w:type="dxa"/>
            <w:vAlign w:val="center"/>
          </w:tcPr>
          <w:p w14:paraId="4D9D5496">
            <w:pPr>
              <w:pStyle w:val="5"/>
              <w:spacing w:line="300" w:lineRule="auto"/>
              <w:jc w:val="center"/>
              <w:rPr>
                <w:lang w:eastAsia="zh-CN"/>
              </w:rPr>
            </w:pPr>
            <w:r>
              <w:rPr>
                <w:lang w:eastAsia="zh-CN"/>
              </w:rPr>
              <w:t>3</w:t>
            </w:r>
          </w:p>
        </w:tc>
      </w:tr>
      <w:tr w14:paraId="199C7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6456D801">
            <w:pPr>
              <w:pStyle w:val="5"/>
              <w:spacing w:line="300" w:lineRule="auto"/>
              <w:jc w:val="center"/>
            </w:pPr>
          </w:p>
        </w:tc>
        <w:tc>
          <w:tcPr>
            <w:tcW w:w="2835" w:type="dxa"/>
            <w:vMerge w:val="continue"/>
            <w:vAlign w:val="center"/>
          </w:tcPr>
          <w:p w14:paraId="72A995F2">
            <w:pPr>
              <w:pStyle w:val="5"/>
              <w:spacing w:line="300" w:lineRule="auto"/>
              <w:jc w:val="center"/>
            </w:pPr>
          </w:p>
        </w:tc>
        <w:tc>
          <w:tcPr>
            <w:tcW w:w="2835" w:type="dxa"/>
            <w:vAlign w:val="center"/>
          </w:tcPr>
          <w:p w14:paraId="6EEA6138">
            <w:pPr>
              <w:pStyle w:val="5"/>
              <w:spacing w:line="300" w:lineRule="auto"/>
              <w:jc w:val="center"/>
            </w:pPr>
            <w:r>
              <w:rPr>
                <w:spacing w:val="-4"/>
                <w:lang w:eastAsia="zh-CN"/>
              </w:rPr>
              <w:t>H</w:t>
            </w:r>
            <w:r>
              <w:rPr>
                <w:spacing w:val="-4"/>
              </w:rPr>
              <w:t>≥0.1</w:t>
            </w:r>
          </w:p>
        </w:tc>
        <w:tc>
          <w:tcPr>
            <w:tcW w:w="1417" w:type="dxa"/>
            <w:vAlign w:val="center"/>
          </w:tcPr>
          <w:p w14:paraId="30A0885F">
            <w:pPr>
              <w:pStyle w:val="5"/>
              <w:spacing w:line="300" w:lineRule="auto"/>
              <w:jc w:val="center"/>
              <w:rPr>
                <w:lang w:eastAsia="zh-CN"/>
              </w:rPr>
            </w:pPr>
            <w:r>
              <w:rPr>
                <w:lang w:eastAsia="zh-CN"/>
              </w:rPr>
              <w:t>4</w:t>
            </w:r>
          </w:p>
        </w:tc>
      </w:tr>
      <w:tr w14:paraId="3F5EE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restart"/>
            <w:vAlign w:val="center"/>
          </w:tcPr>
          <w:p w14:paraId="47892952">
            <w:pPr>
              <w:pStyle w:val="5"/>
              <w:spacing w:line="300" w:lineRule="auto"/>
              <w:jc w:val="center"/>
            </w:pPr>
            <w:r>
              <w:t>环境介质迁移性M2</w:t>
            </w:r>
          </w:p>
        </w:tc>
        <w:tc>
          <w:tcPr>
            <w:tcW w:w="2835" w:type="dxa"/>
            <w:vMerge w:val="restart"/>
            <w:vAlign w:val="center"/>
          </w:tcPr>
          <w:p w14:paraId="7403094D">
            <w:pPr>
              <w:pStyle w:val="5"/>
              <w:spacing w:line="300" w:lineRule="auto"/>
              <w:jc w:val="center"/>
            </w:pPr>
            <w:r>
              <w:t>降水量（R，mm）</w:t>
            </w:r>
          </w:p>
        </w:tc>
        <w:tc>
          <w:tcPr>
            <w:tcW w:w="2835" w:type="dxa"/>
            <w:vAlign w:val="center"/>
          </w:tcPr>
          <w:p w14:paraId="3388B8FF">
            <w:pPr>
              <w:pStyle w:val="5"/>
              <w:spacing w:line="300" w:lineRule="auto"/>
              <w:jc w:val="center"/>
            </w:pPr>
            <w:r>
              <w:t>R＜400</w:t>
            </w:r>
          </w:p>
        </w:tc>
        <w:tc>
          <w:tcPr>
            <w:tcW w:w="1417" w:type="dxa"/>
            <w:vAlign w:val="center"/>
          </w:tcPr>
          <w:p w14:paraId="1F2DE961">
            <w:pPr>
              <w:pStyle w:val="5"/>
              <w:spacing w:line="300" w:lineRule="auto"/>
              <w:jc w:val="center"/>
            </w:pPr>
            <w:r>
              <w:t>2</w:t>
            </w:r>
          </w:p>
        </w:tc>
      </w:tr>
      <w:tr w14:paraId="488C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35D51D5A">
            <w:pPr>
              <w:pStyle w:val="5"/>
              <w:spacing w:line="300" w:lineRule="auto"/>
              <w:jc w:val="center"/>
            </w:pPr>
          </w:p>
        </w:tc>
        <w:tc>
          <w:tcPr>
            <w:tcW w:w="2835" w:type="dxa"/>
            <w:vMerge w:val="continue"/>
            <w:vAlign w:val="center"/>
          </w:tcPr>
          <w:p w14:paraId="4BD3D86A">
            <w:pPr>
              <w:pStyle w:val="5"/>
              <w:spacing w:line="300" w:lineRule="auto"/>
              <w:jc w:val="center"/>
            </w:pPr>
          </w:p>
        </w:tc>
        <w:tc>
          <w:tcPr>
            <w:tcW w:w="2835" w:type="dxa"/>
            <w:vAlign w:val="center"/>
          </w:tcPr>
          <w:p w14:paraId="192248BB">
            <w:pPr>
              <w:pStyle w:val="5"/>
              <w:spacing w:line="300" w:lineRule="auto"/>
              <w:jc w:val="center"/>
            </w:pPr>
            <w:r>
              <w:t>400≤R＜1000</w:t>
            </w:r>
          </w:p>
        </w:tc>
        <w:tc>
          <w:tcPr>
            <w:tcW w:w="1417" w:type="dxa"/>
            <w:vAlign w:val="center"/>
          </w:tcPr>
          <w:p w14:paraId="534CE8D4">
            <w:pPr>
              <w:pStyle w:val="5"/>
              <w:spacing w:line="300" w:lineRule="auto"/>
              <w:jc w:val="center"/>
            </w:pPr>
            <w:r>
              <w:t>6</w:t>
            </w:r>
          </w:p>
        </w:tc>
      </w:tr>
      <w:tr w14:paraId="260DC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5F2E007D">
            <w:pPr>
              <w:pStyle w:val="5"/>
              <w:spacing w:line="300" w:lineRule="auto"/>
              <w:jc w:val="center"/>
            </w:pPr>
          </w:p>
        </w:tc>
        <w:tc>
          <w:tcPr>
            <w:tcW w:w="2835" w:type="dxa"/>
            <w:vMerge w:val="continue"/>
            <w:vAlign w:val="center"/>
          </w:tcPr>
          <w:p w14:paraId="02D5AEBB">
            <w:pPr>
              <w:pStyle w:val="5"/>
              <w:spacing w:line="300" w:lineRule="auto"/>
              <w:jc w:val="center"/>
            </w:pPr>
          </w:p>
        </w:tc>
        <w:tc>
          <w:tcPr>
            <w:tcW w:w="2835" w:type="dxa"/>
            <w:vAlign w:val="center"/>
          </w:tcPr>
          <w:p w14:paraId="5A9CDDF3">
            <w:pPr>
              <w:pStyle w:val="5"/>
              <w:spacing w:line="300" w:lineRule="auto"/>
              <w:jc w:val="center"/>
            </w:pPr>
            <w:r>
              <w:t>R≥1000</w:t>
            </w:r>
          </w:p>
        </w:tc>
        <w:tc>
          <w:tcPr>
            <w:tcW w:w="1417" w:type="dxa"/>
            <w:vAlign w:val="center"/>
          </w:tcPr>
          <w:p w14:paraId="4EFB9EF3">
            <w:pPr>
              <w:pStyle w:val="5"/>
              <w:spacing w:line="300" w:lineRule="auto"/>
              <w:jc w:val="center"/>
            </w:pPr>
            <w:r>
              <w:t>10</w:t>
            </w:r>
          </w:p>
        </w:tc>
      </w:tr>
      <w:tr w14:paraId="2BD8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78D069B3">
            <w:pPr>
              <w:pStyle w:val="5"/>
              <w:spacing w:line="300" w:lineRule="auto"/>
              <w:jc w:val="center"/>
            </w:pPr>
          </w:p>
        </w:tc>
        <w:tc>
          <w:tcPr>
            <w:tcW w:w="2835" w:type="dxa"/>
            <w:vMerge w:val="restart"/>
            <w:vAlign w:val="center"/>
          </w:tcPr>
          <w:p w14:paraId="6E73F9E0">
            <w:pPr>
              <w:pStyle w:val="5"/>
              <w:spacing w:line="300" w:lineRule="auto"/>
              <w:jc w:val="center"/>
            </w:pPr>
            <w:r>
              <w:t>包气带土壤渗透性(P1)</w:t>
            </w:r>
          </w:p>
        </w:tc>
        <w:tc>
          <w:tcPr>
            <w:tcW w:w="2835" w:type="dxa"/>
            <w:vAlign w:val="center"/>
          </w:tcPr>
          <w:p w14:paraId="7245FE55">
            <w:pPr>
              <w:pStyle w:val="5"/>
              <w:spacing w:line="300" w:lineRule="auto"/>
              <w:jc w:val="center"/>
            </w:pPr>
            <w:r>
              <w:t>粘土</w:t>
            </w:r>
          </w:p>
        </w:tc>
        <w:tc>
          <w:tcPr>
            <w:tcW w:w="1417" w:type="dxa"/>
            <w:vAlign w:val="center"/>
          </w:tcPr>
          <w:p w14:paraId="023AFBBE">
            <w:pPr>
              <w:pStyle w:val="5"/>
              <w:spacing w:line="300" w:lineRule="auto"/>
              <w:jc w:val="center"/>
            </w:pPr>
            <w:r>
              <w:t>2</w:t>
            </w:r>
          </w:p>
        </w:tc>
      </w:tr>
      <w:tr w14:paraId="4AF94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2629CFF4">
            <w:pPr>
              <w:pStyle w:val="5"/>
              <w:spacing w:line="300" w:lineRule="auto"/>
              <w:jc w:val="center"/>
            </w:pPr>
          </w:p>
        </w:tc>
        <w:tc>
          <w:tcPr>
            <w:tcW w:w="2835" w:type="dxa"/>
            <w:vMerge w:val="continue"/>
            <w:vAlign w:val="center"/>
          </w:tcPr>
          <w:p w14:paraId="2D1B8009">
            <w:pPr>
              <w:pStyle w:val="5"/>
              <w:spacing w:line="300" w:lineRule="auto"/>
              <w:jc w:val="center"/>
            </w:pPr>
          </w:p>
        </w:tc>
        <w:tc>
          <w:tcPr>
            <w:tcW w:w="2835" w:type="dxa"/>
            <w:vAlign w:val="center"/>
          </w:tcPr>
          <w:p w14:paraId="130B9C2F">
            <w:pPr>
              <w:pStyle w:val="5"/>
              <w:spacing w:line="300" w:lineRule="auto"/>
              <w:jc w:val="center"/>
            </w:pPr>
            <w:r>
              <w:t>粉土</w:t>
            </w:r>
          </w:p>
        </w:tc>
        <w:tc>
          <w:tcPr>
            <w:tcW w:w="1417" w:type="dxa"/>
            <w:vAlign w:val="center"/>
          </w:tcPr>
          <w:p w14:paraId="3F73726B">
            <w:pPr>
              <w:pStyle w:val="5"/>
              <w:spacing w:line="300" w:lineRule="auto"/>
              <w:jc w:val="center"/>
            </w:pPr>
            <w:r>
              <w:t>6</w:t>
            </w:r>
          </w:p>
        </w:tc>
      </w:tr>
      <w:tr w14:paraId="576ED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5831BD19">
            <w:pPr>
              <w:pStyle w:val="5"/>
              <w:spacing w:line="300" w:lineRule="auto"/>
              <w:jc w:val="center"/>
            </w:pPr>
          </w:p>
        </w:tc>
        <w:tc>
          <w:tcPr>
            <w:tcW w:w="2835" w:type="dxa"/>
            <w:vMerge w:val="continue"/>
            <w:vAlign w:val="center"/>
          </w:tcPr>
          <w:p w14:paraId="07305DA6">
            <w:pPr>
              <w:pStyle w:val="5"/>
              <w:spacing w:line="300" w:lineRule="auto"/>
              <w:jc w:val="center"/>
            </w:pPr>
          </w:p>
        </w:tc>
        <w:tc>
          <w:tcPr>
            <w:tcW w:w="2835" w:type="dxa"/>
            <w:vAlign w:val="center"/>
          </w:tcPr>
          <w:p w14:paraId="65855C8E">
            <w:pPr>
              <w:pStyle w:val="5"/>
              <w:spacing w:line="300" w:lineRule="auto"/>
              <w:jc w:val="center"/>
            </w:pPr>
            <w:r>
              <w:t>砂土及砾石</w:t>
            </w:r>
          </w:p>
        </w:tc>
        <w:tc>
          <w:tcPr>
            <w:tcW w:w="1417" w:type="dxa"/>
            <w:vAlign w:val="center"/>
          </w:tcPr>
          <w:p w14:paraId="483C96B7">
            <w:pPr>
              <w:pStyle w:val="5"/>
              <w:spacing w:line="300" w:lineRule="auto"/>
              <w:jc w:val="center"/>
            </w:pPr>
            <w:r>
              <w:t>10</w:t>
            </w:r>
          </w:p>
        </w:tc>
      </w:tr>
      <w:tr w14:paraId="60537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51375AE6">
            <w:pPr>
              <w:pStyle w:val="5"/>
              <w:spacing w:line="300" w:lineRule="auto"/>
              <w:jc w:val="center"/>
            </w:pPr>
          </w:p>
        </w:tc>
        <w:tc>
          <w:tcPr>
            <w:tcW w:w="2835" w:type="dxa"/>
            <w:vMerge w:val="restart"/>
            <w:vAlign w:val="center"/>
          </w:tcPr>
          <w:p w14:paraId="53A6FFDF">
            <w:pPr>
              <w:pStyle w:val="5"/>
              <w:spacing w:line="300" w:lineRule="auto"/>
              <w:jc w:val="center"/>
            </w:pPr>
            <w:r>
              <w:t>饱和带土壤渗透性(P2)</w:t>
            </w:r>
          </w:p>
        </w:tc>
        <w:tc>
          <w:tcPr>
            <w:tcW w:w="2835" w:type="dxa"/>
            <w:vAlign w:val="center"/>
          </w:tcPr>
          <w:p w14:paraId="48B2F171">
            <w:pPr>
              <w:pStyle w:val="5"/>
              <w:spacing w:line="300" w:lineRule="auto"/>
              <w:jc w:val="center"/>
            </w:pPr>
            <w:r>
              <w:t>粉砂及以下土质</w:t>
            </w:r>
          </w:p>
        </w:tc>
        <w:tc>
          <w:tcPr>
            <w:tcW w:w="1417" w:type="dxa"/>
            <w:vAlign w:val="center"/>
          </w:tcPr>
          <w:p w14:paraId="13E55751">
            <w:pPr>
              <w:pStyle w:val="5"/>
              <w:spacing w:line="300" w:lineRule="auto"/>
              <w:jc w:val="center"/>
            </w:pPr>
            <w:r>
              <w:t>2</w:t>
            </w:r>
          </w:p>
        </w:tc>
      </w:tr>
      <w:tr w14:paraId="53465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7DA42CCF">
            <w:pPr>
              <w:pStyle w:val="5"/>
              <w:spacing w:line="300" w:lineRule="auto"/>
              <w:jc w:val="center"/>
            </w:pPr>
          </w:p>
        </w:tc>
        <w:tc>
          <w:tcPr>
            <w:tcW w:w="2835" w:type="dxa"/>
            <w:vMerge w:val="continue"/>
            <w:vAlign w:val="center"/>
          </w:tcPr>
          <w:p w14:paraId="1E57FCE9">
            <w:pPr>
              <w:pStyle w:val="5"/>
              <w:spacing w:line="300" w:lineRule="auto"/>
              <w:jc w:val="center"/>
            </w:pPr>
          </w:p>
        </w:tc>
        <w:tc>
          <w:tcPr>
            <w:tcW w:w="2835" w:type="dxa"/>
            <w:vAlign w:val="center"/>
          </w:tcPr>
          <w:p w14:paraId="308E25ED">
            <w:pPr>
              <w:pStyle w:val="5"/>
              <w:spacing w:line="300" w:lineRule="auto"/>
              <w:jc w:val="center"/>
            </w:pPr>
            <w:r>
              <w:t>粗砂、中砂及细砂</w:t>
            </w:r>
          </w:p>
        </w:tc>
        <w:tc>
          <w:tcPr>
            <w:tcW w:w="1417" w:type="dxa"/>
            <w:vAlign w:val="center"/>
          </w:tcPr>
          <w:p w14:paraId="5851C02D">
            <w:pPr>
              <w:pStyle w:val="5"/>
              <w:spacing w:line="300" w:lineRule="auto"/>
              <w:jc w:val="center"/>
            </w:pPr>
            <w:r>
              <w:t>6</w:t>
            </w:r>
          </w:p>
        </w:tc>
      </w:tr>
      <w:tr w14:paraId="4FAB5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4CB7BADA">
            <w:pPr>
              <w:pStyle w:val="5"/>
              <w:spacing w:line="300" w:lineRule="auto"/>
              <w:jc w:val="center"/>
            </w:pPr>
          </w:p>
        </w:tc>
        <w:tc>
          <w:tcPr>
            <w:tcW w:w="2835" w:type="dxa"/>
            <w:vMerge w:val="continue"/>
            <w:vAlign w:val="center"/>
          </w:tcPr>
          <w:p w14:paraId="3F880E58">
            <w:pPr>
              <w:pStyle w:val="5"/>
              <w:spacing w:line="300" w:lineRule="auto"/>
              <w:jc w:val="center"/>
            </w:pPr>
          </w:p>
        </w:tc>
        <w:tc>
          <w:tcPr>
            <w:tcW w:w="2835" w:type="dxa"/>
            <w:vAlign w:val="center"/>
          </w:tcPr>
          <w:p w14:paraId="619B14F1">
            <w:pPr>
              <w:pStyle w:val="5"/>
              <w:spacing w:line="300" w:lineRule="auto"/>
              <w:jc w:val="center"/>
            </w:pPr>
            <w:r>
              <w:t>砾砂及以上土质</w:t>
            </w:r>
          </w:p>
        </w:tc>
        <w:tc>
          <w:tcPr>
            <w:tcW w:w="1417" w:type="dxa"/>
            <w:vAlign w:val="center"/>
          </w:tcPr>
          <w:p w14:paraId="157F4CA0">
            <w:pPr>
              <w:pStyle w:val="5"/>
              <w:spacing w:line="300" w:lineRule="auto"/>
              <w:jc w:val="center"/>
            </w:pPr>
            <w:r>
              <w:t>10</w:t>
            </w:r>
          </w:p>
        </w:tc>
      </w:tr>
      <w:tr w14:paraId="21A68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7C72253D">
            <w:pPr>
              <w:pStyle w:val="5"/>
              <w:spacing w:line="300" w:lineRule="auto"/>
              <w:jc w:val="center"/>
            </w:pPr>
          </w:p>
        </w:tc>
        <w:tc>
          <w:tcPr>
            <w:tcW w:w="2835" w:type="dxa"/>
            <w:vMerge w:val="restart"/>
            <w:vAlign w:val="center"/>
          </w:tcPr>
          <w:p w14:paraId="420B9331">
            <w:pPr>
              <w:pStyle w:val="5"/>
              <w:spacing w:line="300" w:lineRule="auto"/>
              <w:jc w:val="center"/>
            </w:pPr>
            <w:r>
              <w:t>地下水埋深（GD，m）</w:t>
            </w:r>
          </w:p>
        </w:tc>
        <w:tc>
          <w:tcPr>
            <w:tcW w:w="2835" w:type="dxa"/>
            <w:vAlign w:val="center"/>
          </w:tcPr>
          <w:p w14:paraId="511A865B">
            <w:pPr>
              <w:pStyle w:val="5"/>
              <w:spacing w:line="300" w:lineRule="auto"/>
              <w:jc w:val="center"/>
            </w:pPr>
            <w:r>
              <w:t>GD≥10</w:t>
            </w:r>
          </w:p>
        </w:tc>
        <w:tc>
          <w:tcPr>
            <w:tcW w:w="1417" w:type="dxa"/>
            <w:vAlign w:val="center"/>
          </w:tcPr>
          <w:p w14:paraId="01A13CCF">
            <w:pPr>
              <w:pStyle w:val="5"/>
              <w:spacing w:line="300" w:lineRule="auto"/>
              <w:jc w:val="center"/>
            </w:pPr>
            <w:r>
              <w:t>2</w:t>
            </w:r>
          </w:p>
        </w:tc>
      </w:tr>
      <w:tr w14:paraId="7B8C0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410" w:type="dxa"/>
            <w:vMerge w:val="continue"/>
            <w:vAlign w:val="center"/>
          </w:tcPr>
          <w:p w14:paraId="0D61E555">
            <w:pPr>
              <w:pStyle w:val="5"/>
              <w:spacing w:line="300" w:lineRule="auto"/>
              <w:jc w:val="center"/>
            </w:pPr>
          </w:p>
        </w:tc>
        <w:tc>
          <w:tcPr>
            <w:tcW w:w="2835" w:type="dxa"/>
            <w:vMerge w:val="continue"/>
            <w:vAlign w:val="center"/>
          </w:tcPr>
          <w:p w14:paraId="7FA7AE0D">
            <w:pPr>
              <w:pStyle w:val="5"/>
              <w:spacing w:line="300" w:lineRule="auto"/>
              <w:jc w:val="center"/>
            </w:pPr>
          </w:p>
        </w:tc>
        <w:tc>
          <w:tcPr>
            <w:tcW w:w="2835" w:type="dxa"/>
            <w:vAlign w:val="center"/>
          </w:tcPr>
          <w:p w14:paraId="5ECD2BCF">
            <w:pPr>
              <w:pStyle w:val="5"/>
              <w:spacing w:line="300" w:lineRule="auto"/>
              <w:jc w:val="center"/>
            </w:pPr>
            <w:r>
              <w:t>3≤GD&lt;10</w:t>
            </w:r>
          </w:p>
        </w:tc>
        <w:tc>
          <w:tcPr>
            <w:tcW w:w="1417" w:type="dxa"/>
            <w:vAlign w:val="center"/>
          </w:tcPr>
          <w:p w14:paraId="001688D5">
            <w:pPr>
              <w:pStyle w:val="5"/>
              <w:spacing w:line="300" w:lineRule="auto"/>
              <w:jc w:val="center"/>
            </w:pPr>
            <w:r>
              <w:t>6</w:t>
            </w:r>
          </w:p>
        </w:tc>
      </w:tr>
      <w:tr w14:paraId="7ED8E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1410" w:type="dxa"/>
            <w:vMerge w:val="continue"/>
            <w:vAlign w:val="center"/>
          </w:tcPr>
          <w:p w14:paraId="459C74FB">
            <w:pPr>
              <w:pStyle w:val="5"/>
              <w:spacing w:line="300" w:lineRule="auto"/>
              <w:jc w:val="center"/>
            </w:pPr>
          </w:p>
        </w:tc>
        <w:tc>
          <w:tcPr>
            <w:tcW w:w="2835" w:type="dxa"/>
            <w:vMerge w:val="continue"/>
            <w:vAlign w:val="center"/>
          </w:tcPr>
          <w:p w14:paraId="1E40ACB5">
            <w:pPr>
              <w:pStyle w:val="5"/>
              <w:spacing w:line="300" w:lineRule="auto"/>
              <w:jc w:val="center"/>
            </w:pPr>
          </w:p>
        </w:tc>
        <w:tc>
          <w:tcPr>
            <w:tcW w:w="2835" w:type="dxa"/>
            <w:vAlign w:val="center"/>
          </w:tcPr>
          <w:p w14:paraId="322E6855">
            <w:pPr>
              <w:pStyle w:val="5"/>
              <w:spacing w:line="300" w:lineRule="auto"/>
              <w:jc w:val="center"/>
            </w:pPr>
            <w:r>
              <w:t>GD&lt;3</w:t>
            </w:r>
          </w:p>
        </w:tc>
        <w:tc>
          <w:tcPr>
            <w:tcW w:w="1417" w:type="dxa"/>
            <w:vAlign w:val="center"/>
          </w:tcPr>
          <w:p w14:paraId="396550C8">
            <w:pPr>
              <w:pStyle w:val="5"/>
              <w:spacing w:line="300" w:lineRule="auto"/>
              <w:jc w:val="center"/>
            </w:pPr>
            <w:r>
              <w:t>10</w:t>
            </w:r>
          </w:p>
        </w:tc>
      </w:tr>
      <w:tr w14:paraId="0F853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1410" w:type="dxa"/>
            <w:vMerge w:val="continue"/>
            <w:vAlign w:val="center"/>
          </w:tcPr>
          <w:p w14:paraId="6178D3AD">
            <w:pPr>
              <w:pStyle w:val="5"/>
              <w:spacing w:line="300" w:lineRule="auto"/>
              <w:jc w:val="center"/>
            </w:pPr>
          </w:p>
        </w:tc>
        <w:tc>
          <w:tcPr>
            <w:tcW w:w="2835" w:type="dxa"/>
            <w:vMerge w:val="restart"/>
            <w:vAlign w:val="center"/>
          </w:tcPr>
          <w:p w14:paraId="735D8F8D">
            <w:pPr>
              <w:pStyle w:val="5"/>
              <w:spacing w:line="300" w:lineRule="auto"/>
              <w:jc w:val="center"/>
              <w:rPr>
                <w:lang w:eastAsia="zh-CN"/>
              </w:rPr>
            </w:pPr>
            <w:r>
              <w:rPr>
                <w:lang w:eastAsia="zh-CN"/>
              </w:rPr>
              <w:t>地下水流向影响指数（I，无量纲）</w:t>
            </w:r>
          </w:p>
        </w:tc>
        <w:tc>
          <w:tcPr>
            <w:tcW w:w="2835" w:type="dxa"/>
            <w:vAlign w:val="center"/>
          </w:tcPr>
          <w:p w14:paraId="67591027">
            <w:pPr>
              <w:pStyle w:val="5"/>
              <w:spacing w:line="300" w:lineRule="auto"/>
              <w:jc w:val="center"/>
            </w:pPr>
            <w:r>
              <w:t>上游</w:t>
            </w:r>
          </w:p>
        </w:tc>
        <w:tc>
          <w:tcPr>
            <w:tcW w:w="1417" w:type="dxa"/>
            <w:vAlign w:val="center"/>
          </w:tcPr>
          <w:p w14:paraId="5ECD92CA">
            <w:pPr>
              <w:pStyle w:val="5"/>
              <w:spacing w:line="300" w:lineRule="auto"/>
              <w:jc w:val="center"/>
            </w:pPr>
            <w:r>
              <w:t>2</w:t>
            </w:r>
          </w:p>
        </w:tc>
      </w:tr>
      <w:tr w14:paraId="3CB8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1410" w:type="dxa"/>
            <w:vMerge w:val="continue"/>
            <w:vAlign w:val="center"/>
          </w:tcPr>
          <w:p w14:paraId="0545C1F5">
            <w:pPr>
              <w:pStyle w:val="5"/>
              <w:spacing w:line="300" w:lineRule="auto"/>
              <w:jc w:val="center"/>
            </w:pPr>
          </w:p>
        </w:tc>
        <w:tc>
          <w:tcPr>
            <w:tcW w:w="2835" w:type="dxa"/>
            <w:vMerge w:val="continue"/>
            <w:vAlign w:val="center"/>
          </w:tcPr>
          <w:p w14:paraId="602E830F">
            <w:pPr>
              <w:pStyle w:val="5"/>
              <w:spacing w:line="300" w:lineRule="auto"/>
              <w:jc w:val="center"/>
            </w:pPr>
          </w:p>
        </w:tc>
        <w:tc>
          <w:tcPr>
            <w:tcW w:w="2835" w:type="dxa"/>
            <w:vAlign w:val="center"/>
          </w:tcPr>
          <w:p w14:paraId="7366B2FC">
            <w:pPr>
              <w:pStyle w:val="5"/>
              <w:spacing w:line="300" w:lineRule="auto"/>
              <w:jc w:val="center"/>
            </w:pPr>
            <w:r>
              <w:t>中游</w:t>
            </w:r>
          </w:p>
        </w:tc>
        <w:tc>
          <w:tcPr>
            <w:tcW w:w="1417" w:type="dxa"/>
            <w:vAlign w:val="center"/>
          </w:tcPr>
          <w:p w14:paraId="45ED53E6">
            <w:pPr>
              <w:pStyle w:val="5"/>
              <w:spacing w:line="300" w:lineRule="auto"/>
              <w:jc w:val="center"/>
            </w:pPr>
            <w:r>
              <w:t>6</w:t>
            </w:r>
          </w:p>
        </w:tc>
      </w:tr>
      <w:tr w14:paraId="1FC4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1410" w:type="dxa"/>
            <w:vMerge w:val="continue"/>
            <w:vAlign w:val="center"/>
          </w:tcPr>
          <w:p w14:paraId="0CA78417">
            <w:pPr>
              <w:pStyle w:val="5"/>
              <w:spacing w:line="300" w:lineRule="auto"/>
              <w:jc w:val="center"/>
            </w:pPr>
          </w:p>
        </w:tc>
        <w:tc>
          <w:tcPr>
            <w:tcW w:w="2835" w:type="dxa"/>
            <w:vMerge w:val="continue"/>
            <w:vAlign w:val="center"/>
          </w:tcPr>
          <w:p w14:paraId="11831E2E">
            <w:pPr>
              <w:pStyle w:val="5"/>
              <w:spacing w:line="300" w:lineRule="auto"/>
              <w:jc w:val="center"/>
            </w:pPr>
          </w:p>
        </w:tc>
        <w:tc>
          <w:tcPr>
            <w:tcW w:w="2835" w:type="dxa"/>
            <w:vAlign w:val="center"/>
          </w:tcPr>
          <w:p w14:paraId="6E298A8C">
            <w:pPr>
              <w:pStyle w:val="5"/>
              <w:spacing w:line="300" w:lineRule="auto"/>
              <w:jc w:val="center"/>
            </w:pPr>
            <w:r>
              <w:t>下游</w:t>
            </w:r>
          </w:p>
        </w:tc>
        <w:tc>
          <w:tcPr>
            <w:tcW w:w="1417" w:type="dxa"/>
            <w:vAlign w:val="center"/>
          </w:tcPr>
          <w:p w14:paraId="4AB513C5">
            <w:pPr>
              <w:pStyle w:val="5"/>
              <w:spacing w:line="300" w:lineRule="auto"/>
              <w:jc w:val="center"/>
            </w:pPr>
            <w:r>
              <w:t>10</w:t>
            </w:r>
          </w:p>
        </w:tc>
      </w:tr>
      <w:tr w14:paraId="61E6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8497" w:type="dxa"/>
            <w:gridSpan w:val="4"/>
            <w:vAlign w:val="center"/>
          </w:tcPr>
          <w:p w14:paraId="46CDD80C">
            <w:pPr>
              <w:pStyle w:val="5"/>
              <w:spacing w:line="300" w:lineRule="auto"/>
              <w:jc w:val="center"/>
              <w:rPr>
                <w:lang w:eastAsia="zh-CN"/>
              </w:rPr>
            </w:pPr>
            <w:r>
              <w:rPr>
                <w:b/>
                <w:bCs/>
                <w:color w:val="000000" w:themeColor="text1"/>
                <w:lang w:eastAsia="zh-CN"/>
              </w:rPr>
              <w:t>迁移指数（L）=（M</w:t>
            </w:r>
            <w:r>
              <w:rPr>
                <w:b/>
                <w:bCs/>
                <w:color w:val="000000" w:themeColor="text1"/>
                <w:vertAlign w:val="subscript"/>
                <w:lang w:eastAsia="zh-CN"/>
              </w:rPr>
              <w:t>1</w:t>
            </w:r>
            <w:r>
              <w:rPr>
                <w:b/>
                <w:bCs/>
                <w:color w:val="000000" w:themeColor="text1"/>
                <w:lang w:eastAsia="zh-CN"/>
              </w:rPr>
              <w:t>+M</w:t>
            </w:r>
            <w:r>
              <w:rPr>
                <w:b/>
                <w:bCs/>
                <w:color w:val="000000" w:themeColor="text1"/>
                <w:vertAlign w:val="subscript"/>
                <w:lang w:eastAsia="zh-CN"/>
              </w:rPr>
              <w:t>2</w:t>
            </w:r>
            <w:r>
              <w:rPr>
                <w:b/>
                <w:bCs/>
                <w:color w:val="000000" w:themeColor="text1"/>
                <w:lang w:eastAsia="zh-CN"/>
              </w:rPr>
              <w:t>）*100/35</w:t>
            </w:r>
          </w:p>
        </w:tc>
      </w:tr>
    </w:tbl>
    <w:p w14:paraId="6CF652E6">
      <w:pPr>
        <w:tabs>
          <w:tab w:val="left" w:pos="709"/>
        </w:tabs>
        <w:spacing w:after="156" w:line="240" w:lineRule="auto"/>
        <w:ind w:firstLine="420"/>
        <w:jc w:val="left"/>
        <w:rPr>
          <w:color w:val="000000" w:themeColor="text1"/>
          <w:szCs w:val="21"/>
        </w:rPr>
      </w:pPr>
    </w:p>
    <w:p w14:paraId="574A8F7B">
      <w:pPr>
        <w:spacing w:after="156"/>
        <w:ind w:firstLine="0" w:firstLineChars="0"/>
        <w:jc w:val="center"/>
        <w:rPr>
          <w:b/>
          <w:bCs/>
        </w:rPr>
      </w:pPr>
      <w:r>
        <w:rPr>
          <w:b/>
          <w:bCs/>
        </w:rPr>
        <w:br w:type="page"/>
      </w:r>
      <w:r>
        <w:rPr>
          <w:b/>
          <w:bCs/>
        </w:rPr>
        <w:t>表B.3  污染脆弱性指数指标及等级划分</w:t>
      </w:r>
    </w:p>
    <w:tbl>
      <w:tblPr>
        <w:tblStyle w:val="12"/>
        <w:tblW w:w="87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48"/>
        <w:gridCol w:w="1697"/>
        <w:gridCol w:w="2835"/>
        <w:gridCol w:w="1705"/>
      </w:tblGrid>
      <w:tr w14:paraId="5A212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4245" w:type="dxa"/>
            <w:gridSpan w:val="2"/>
            <w:vAlign w:val="center"/>
          </w:tcPr>
          <w:p w14:paraId="626F5452">
            <w:pPr>
              <w:pStyle w:val="5"/>
              <w:spacing w:line="300" w:lineRule="auto"/>
              <w:jc w:val="center"/>
              <w:rPr>
                <w:b/>
                <w:bCs/>
              </w:rPr>
            </w:pPr>
            <w:r>
              <w:rPr>
                <w:b/>
                <w:bCs/>
              </w:rPr>
              <w:t>指标</w:t>
            </w:r>
          </w:p>
        </w:tc>
        <w:tc>
          <w:tcPr>
            <w:tcW w:w="4540" w:type="dxa"/>
            <w:gridSpan w:val="2"/>
            <w:vAlign w:val="center"/>
          </w:tcPr>
          <w:p w14:paraId="6402CA8B">
            <w:pPr>
              <w:pStyle w:val="5"/>
              <w:spacing w:line="300" w:lineRule="auto"/>
              <w:jc w:val="center"/>
              <w:rPr>
                <w:b/>
                <w:bCs/>
              </w:rPr>
            </w:pPr>
            <w:r>
              <w:rPr>
                <w:b/>
                <w:bCs/>
              </w:rPr>
              <w:t>指标赋值</w:t>
            </w:r>
          </w:p>
        </w:tc>
      </w:tr>
      <w:tr w14:paraId="06B2F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Align w:val="center"/>
          </w:tcPr>
          <w:p w14:paraId="43F7C855">
            <w:pPr>
              <w:pStyle w:val="5"/>
              <w:spacing w:line="300" w:lineRule="auto"/>
              <w:jc w:val="center"/>
              <w:rPr>
                <w:b/>
                <w:bCs/>
              </w:rPr>
            </w:pPr>
            <w:r>
              <w:rPr>
                <w:b/>
                <w:bCs/>
              </w:rPr>
              <w:t>二级指标</w:t>
            </w:r>
          </w:p>
        </w:tc>
        <w:tc>
          <w:tcPr>
            <w:tcW w:w="1697" w:type="dxa"/>
            <w:vAlign w:val="center"/>
          </w:tcPr>
          <w:p w14:paraId="13CD483D">
            <w:pPr>
              <w:pStyle w:val="5"/>
              <w:spacing w:line="300" w:lineRule="auto"/>
              <w:jc w:val="center"/>
              <w:rPr>
                <w:b/>
                <w:bCs/>
              </w:rPr>
            </w:pPr>
            <w:r>
              <w:rPr>
                <w:b/>
                <w:bCs/>
              </w:rPr>
              <w:t>三级指标</w:t>
            </w:r>
          </w:p>
        </w:tc>
        <w:tc>
          <w:tcPr>
            <w:tcW w:w="2835" w:type="dxa"/>
            <w:vAlign w:val="center"/>
          </w:tcPr>
          <w:p w14:paraId="4558FA17">
            <w:pPr>
              <w:pStyle w:val="5"/>
              <w:spacing w:line="300" w:lineRule="auto"/>
              <w:jc w:val="center"/>
              <w:rPr>
                <w:b/>
                <w:bCs/>
              </w:rPr>
            </w:pPr>
            <w:r>
              <w:rPr>
                <w:b/>
                <w:bCs/>
              </w:rPr>
              <w:t>指标等级</w:t>
            </w:r>
          </w:p>
        </w:tc>
        <w:tc>
          <w:tcPr>
            <w:tcW w:w="1705" w:type="dxa"/>
            <w:vAlign w:val="center"/>
          </w:tcPr>
          <w:p w14:paraId="017F2B76">
            <w:pPr>
              <w:pStyle w:val="5"/>
              <w:spacing w:line="300" w:lineRule="auto"/>
              <w:jc w:val="center"/>
              <w:rPr>
                <w:b/>
                <w:bCs/>
              </w:rPr>
            </w:pPr>
            <w:r>
              <w:rPr>
                <w:b/>
                <w:bCs/>
              </w:rPr>
              <w:t>指标分值</w:t>
            </w:r>
          </w:p>
        </w:tc>
      </w:tr>
      <w:tr w14:paraId="755A8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restart"/>
            <w:vAlign w:val="center"/>
          </w:tcPr>
          <w:p w14:paraId="1BEB62C8">
            <w:pPr>
              <w:pStyle w:val="5"/>
              <w:spacing w:line="300" w:lineRule="auto"/>
              <w:jc w:val="center"/>
            </w:pPr>
            <w:r>
              <w:t>地块环境现状V1</w:t>
            </w:r>
          </w:p>
        </w:tc>
        <w:tc>
          <w:tcPr>
            <w:tcW w:w="1697" w:type="dxa"/>
            <w:vMerge w:val="restart"/>
            <w:vAlign w:val="center"/>
          </w:tcPr>
          <w:p w14:paraId="303961F8">
            <w:pPr>
              <w:pStyle w:val="5"/>
              <w:spacing w:line="300" w:lineRule="auto"/>
              <w:jc w:val="center"/>
              <w:rPr>
                <w:lang w:eastAsia="zh-CN"/>
              </w:rPr>
            </w:pPr>
            <w:r>
              <w:rPr>
                <w:lang w:eastAsia="zh-CN"/>
              </w:rPr>
              <w:t>土壤（地下水）污染物超标倍数（E）</w:t>
            </w:r>
          </w:p>
        </w:tc>
        <w:tc>
          <w:tcPr>
            <w:tcW w:w="2835" w:type="dxa"/>
            <w:vAlign w:val="center"/>
          </w:tcPr>
          <w:p w14:paraId="247037FB">
            <w:pPr>
              <w:pStyle w:val="5"/>
              <w:spacing w:line="300" w:lineRule="auto"/>
              <w:jc w:val="center"/>
            </w:pPr>
            <w:r>
              <w:t>1≤E&lt;3</w:t>
            </w:r>
          </w:p>
        </w:tc>
        <w:tc>
          <w:tcPr>
            <w:tcW w:w="1705" w:type="dxa"/>
            <w:vAlign w:val="center"/>
          </w:tcPr>
          <w:p w14:paraId="002061F4">
            <w:pPr>
              <w:pStyle w:val="5"/>
              <w:spacing w:line="300" w:lineRule="auto"/>
              <w:jc w:val="center"/>
            </w:pPr>
            <w:r>
              <w:t>2</w:t>
            </w:r>
          </w:p>
        </w:tc>
      </w:tr>
      <w:tr w14:paraId="2E0CA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2DF6C80A">
            <w:pPr>
              <w:pStyle w:val="5"/>
              <w:spacing w:line="300" w:lineRule="auto"/>
              <w:jc w:val="center"/>
            </w:pPr>
          </w:p>
        </w:tc>
        <w:tc>
          <w:tcPr>
            <w:tcW w:w="1697" w:type="dxa"/>
            <w:vMerge w:val="continue"/>
            <w:vAlign w:val="center"/>
          </w:tcPr>
          <w:p w14:paraId="6F6500B8">
            <w:pPr>
              <w:pStyle w:val="5"/>
              <w:spacing w:line="300" w:lineRule="auto"/>
              <w:jc w:val="center"/>
            </w:pPr>
          </w:p>
        </w:tc>
        <w:tc>
          <w:tcPr>
            <w:tcW w:w="2835" w:type="dxa"/>
            <w:vAlign w:val="center"/>
          </w:tcPr>
          <w:p w14:paraId="10D991ED">
            <w:pPr>
              <w:pStyle w:val="5"/>
              <w:spacing w:line="300" w:lineRule="auto"/>
              <w:jc w:val="center"/>
            </w:pPr>
            <w:r>
              <w:t>3≤E&lt;5</w:t>
            </w:r>
          </w:p>
        </w:tc>
        <w:tc>
          <w:tcPr>
            <w:tcW w:w="1705" w:type="dxa"/>
            <w:vAlign w:val="center"/>
          </w:tcPr>
          <w:p w14:paraId="05BFE6FA">
            <w:pPr>
              <w:pStyle w:val="5"/>
              <w:spacing w:line="300" w:lineRule="auto"/>
              <w:jc w:val="center"/>
            </w:pPr>
            <w:r>
              <w:t>4</w:t>
            </w:r>
          </w:p>
        </w:tc>
      </w:tr>
      <w:tr w14:paraId="6C3EC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36B9C7CB">
            <w:pPr>
              <w:pStyle w:val="5"/>
              <w:spacing w:line="300" w:lineRule="auto"/>
              <w:jc w:val="center"/>
            </w:pPr>
          </w:p>
        </w:tc>
        <w:tc>
          <w:tcPr>
            <w:tcW w:w="1697" w:type="dxa"/>
            <w:vMerge w:val="continue"/>
            <w:vAlign w:val="center"/>
          </w:tcPr>
          <w:p w14:paraId="103290F7">
            <w:pPr>
              <w:pStyle w:val="5"/>
              <w:spacing w:line="300" w:lineRule="auto"/>
              <w:jc w:val="center"/>
            </w:pPr>
          </w:p>
        </w:tc>
        <w:tc>
          <w:tcPr>
            <w:tcW w:w="2835" w:type="dxa"/>
            <w:vAlign w:val="center"/>
          </w:tcPr>
          <w:p w14:paraId="7EEFFB84">
            <w:pPr>
              <w:pStyle w:val="5"/>
              <w:spacing w:line="300" w:lineRule="auto"/>
              <w:jc w:val="center"/>
            </w:pPr>
            <w:r>
              <w:t>5≤E≤10</w:t>
            </w:r>
          </w:p>
        </w:tc>
        <w:tc>
          <w:tcPr>
            <w:tcW w:w="1705" w:type="dxa"/>
            <w:vAlign w:val="center"/>
          </w:tcPr>
          <w:p w14:paraId="5790E219">
            <w:pPr>
              <w:pStyle w:val="5"/>
              <w:spacing w:line="300" w:lineRule="auto"/>
              <w:jc w:val="center"/>
            </w:pPr>
            <w:r>
              <w:t>6</w:t>
            </w:r>
          </w:p>
        </w:tc>
      </w:tr>
      <w:tr w14:paraId="4731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40B2A7BF">
            <w:pPr>
              <w:pStyle w:val="5"/>
              <w:spacing w:line="300" w:lineRule="auto"/>
              <w:jc w:val="center"/>
            </w:pPr>
          </w:p>
        </w:tc>
        <w:tc>
          <w:tcPr>
            <w:tcW w:w="1697" w:type="dxa"/>
            <w:vMerge w:val="continue"/>
            <w:vAlign w:val="center"/>
          </w:tcPr>
          <w:p w14:paraId="20DA1A56">
            <w:pPr>
              <w:pStyle w:val="5"/>
              <w:spacing w:line="300" w:lineRule="auto"/>
              <w:jc w:val="center"/>
            </w:pPr>
          </w:p>
        </w:tc>
        <w:tc>
          <w:tcPr>
            <w:tcW w:w="2835" w:type="dxa"/>
            <w:vAlign w:val="center"/>
          </w:tcPr>
          <w:p w14:paraId="6A3127D0">
            <w:pPr>
              <w:pStyle w:val="5"/>
              <w:spacing w:line="300" w:lineRule="auto"/>
              <w:jc w:val="center"/>
            </w:pPr>
            <w:r>
              <w:t>10≤E&lt;50</w:t>
            </w:r>
          </w:p>
        </w:tc>
        <w:tc>
          <w:tcPr>
            <w:tcW w:w="1705" w:type="dxa"/>
            <w:vAlign w:val="center"/>
          </w:tcPr>
          <w:p w14:paraId="7AD136D8">
            <w:pPr>
              <w:pStyle w:val="5"/>
              <w:spacing w:line="300" w:lineRule="auto"/>
              <w:jc w:val="center"/>
            </w:pPr>
            <w:r>
              <w:t>8</w:t>
            </w:r>
          </w:p>
        </w:tc>
      </w:tr>
      <w:tr w14:paraId="3412DF76">
        <w:tblPrEx>
          <w:tblCellMar>
            <w:top w:w="0" w:type="dxa"/>
            <w:left w:w="108" w:type="dxa"/>
            <w:bottom w:w="0" w:type="dxa"/>
            <w:right w:w="108" w:type="dxa"/>
          </w:tblCellMar>
        </w:tblPrEx>
        <w:trPr>
          <w:trHeight w:val="57" w:hRule="atLeast"/>
          <w:jc w:val="center"/>
        </w:trPr>
        <w:tc>
          <w:tcPr>
            <w:tcW w:w="2548" w:type="dxa"/>
            <w:vMerge w:val="continue"/>
            <w:vAlign w:val="center"/>
          </w:tcPr>
          <w:p w14:paraId="60502B57">
            <w:pPr>
              <w:pStyle w:val="5"/>
              <w:spacing w:line="300" w:lineRule="auto"/>
              <w:jc w:val="center"/>
            </w:pPr>
          </w:p>
        </w:tc>
        <w:tc>
          <w:tcPr>
            <w:tcW w:w="1697" w:type="dxa"/>
            <w:vMerge w:val="continue"/>
            <w:vAlign w:val="center"/>
          </w:tcPr>
          <w:p w14:paraId="7E9B970C">
            <w:pPr>
              <w:pStyle w:val="5"/>
              <w:spacing w:line="300" w:lineRule="auto"/>
              <w:jc w:val="center"/>
            </w:pPr>
          </w:p>
        </w:tc>
        <w:tc>
          <w:tcPr>
            <w:tcW w:w="2835" w:type="dxa"/>
            <w:vAlign w:val="center"/>
          </w:tcPr>
          <w:p w14:paraId="31FE9D86">
            <w:pPr>
              <w:pStyle w:val="5"/>
              <w:spacing w:line="300" w:lineRule="auto"/>
              <w:jc w:val="center"/>
            </w:pPr>
            <w:r>
              <w:t>E≥50</w:t>
            </w:r>
          </w:p>
        </w:tc>
        <w:tc>
          <w:tcPr>
            <w:tcW w:w="1705" w:type="dxa"/>
            <w:vAlign w:val="center"/>
          </w:tcPr>
          <w:p w14:paraId="0FEDE264">
            <w:pPr>
              <w:pStyle w:val="5"/>
              <w:spacing w:line="300" w:lineRule="auto"/>
              <w:jc w:val="center"/>
            </w:pPr>
            <w:r>
              <w:t>10</w:t>
            </w:r>
          </w:p>
        </w:tc>
      </w:tr>
      <w:tr w14:paraId="781309FF">
        <w:tblPrEx>
          <w:tblCellMar>
            <w:top w:w="0" w:type="dxa"/>
            <w:left w:w="108" w:type="dxa"/>
            <w:bottom w:w="0" w:type="dxa"/>
            <w:right w:w="108" w:type="dxa"/>
          </w:tblCellMar>
        </w:tblPrEx>
        <w:trPr>
          <w:trHeight w:val="57" w:hRule="atLeast"/>
          <w:jc w:val="center"/>
        </w:trPr>
        <w:tc>
          <w:tcPr>
            <w:tcW w:w="2548" w:type="dxa"/>
            <w:vMerge w:val="restart"/>
            <w:vAlign w:val="center"/>
          </w:tcPr>
          <w:p w14:paraId="53137022">
            <w:pPr>
              <w:pStyle w:val="5"/>
              <w:spacing w:line="300" w:lineRule="auto"/>
              <w:jc w:val="center"/>
            </w:pPr>
            <w:r>
              <w:t>受体敏感性指数V2</w:t>
            </w:r>
          </w:p>
          <w:p w14:paraId="2BC1A005">
            <w:pPr>
              <w:pStyle w:val="5"/>
              <w:spacing w:line="300" w:lineRule="auto"/>
              <w:ind w:firstLine="420"/>
              <w:jc w:val="center"/>
            </w:pPr>
          </w:p>
        </w:tc>
        <w:tc>
          <w:tcPr>
            <w:tcW w:w="1697" w:type="dxa"/>
            <w:vMerge w:val="restart"/>
            <w:vAlign w:val="center"/>
          </w:tcPr>
          <w:p w14:paraId="3E24A739">
            <w:pPr>
              <w:pStyle w:val="5"/>
              <w:spacing w:line="300" w:lineRule="auto"/>
              <w:ind w:leftChars="-50" w:hanging="105" w:hangingChars="50"/>
              <w:jc w:val="center"/>
              <w:rPr>
                <w:lang w:eastAsia="zh-CN"/>
              </w:rPr>
            </w:pPr>
            <w:r>
              <w:rPr>
                <w:lang w:eastAsia="zh-CN"/>
              </w:rPr>
              <w:t>敏感目标</w:t>
            </w:r>
            <w:r>
              <w:rPr>
                <w:rFonts w:hint="eastAsia"/>
                <w:lang w:eastAsia="zh-CN"/>
              </w:rPr>
              <w:t>最近</w:t>
            </w:r>
            <w:r>
              <w:rPr>
                <w:lang w:eastAsia="zh-CN"/>
              </w:rPr>
              <w:t>距离（D</w:t>
            </w:r>
            <w:r>
              <w:rPr>
                <w:vertAlign w:val="subscript"/>
                <w:lang w:eastAsia="zh-CN"/>
              </w:rPr>
              <w:t>S1</w:t>
            </w:r>
            <w:r>
              <w:rPr>
                <w:lang w:eastAsia="zh-CN"/>
              </w:rPr>
              <w:t>）m</w:t>
            </w:r>
          </w:p>
        </w:tc>
        <w:tc>
          <w:tcPr>
            <w:tcW w:w="2835" w:type="dxa"/>
            <w:vAlign w:val="center"/>
          </w:tcPr>
          <w:p w14:paraId="1F301385">
            <w:pPr>
              <w:pStyle w:val="5"/>
              <w:spacing w:line="300" w:lineRule="auto"/>
              <w:jc w:val="center"/>
            </w:pPr>
            <w:r>
              <w:t>D</w:t>
            </w:r>
            <w:r>
              <w:rPr>
                <w:vertAlign w:val="subscript"/>
              </w:rPr>
              <w:t>S1</w:t>
            </w:r>
            <w:r>
              <w:t>≥1000</w:t>
            </w:r>
          </w:p>
        </w:tc>
        <w:tc>
          <w:tcPr>
            <w:tcW w:w="1705" w:type="dxa"/>
            <w:vAlign w:val="center"/>
          </w:tcPr>
          <w:p w14:paraId="126998AE">
            <w:pPr>
              <w:pStyle w:val="5"/>
              <w:spacing w:line="300" w:lineRule="auto"/>
              <w:jc w:val="center"/>
            </w:pPr>
            <w:r>
              <w:t>2</w:t>
            </w:r>
          </w:p>
        </w:tc>
      </w:tr>
      <w:tr w14:paraId="7D38C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D738416">
            <w:pPr>
              <w:pStyle w:val="5"/>
              <w:spacing w:line="300" w:lineRule="auto"/>
              <w:jc w:val="center"/>
            </w:pPr>
          </w:p>
        </w:tc>
        <w:tc>
          <w:tcPr>
            <w:tcW w:w="1697" w:type="dxa"/>
            <w:vMerge w:val="continue"/>
            <w:vAlign w:val="center"/>
          </w:tcPr>
          <w:p w14:paraId="239EEAA1">
            <w:pPr>
              <w:pStyle w:val="5"/>
              <w:spacing w:line="300" w:lineRule="auto"/>
              <w:ind w:leftChars="-50" w:hanging="105" w:hangingChars="50"/>
              <w:jc w:val="center"/>
            </w:pPr>
          </w:p>
        </w:tc>
        <w:tc>
          <w:tcPr>
            <w:tcW w:w="2835" w:type="dxa"/>
            <w:vAlign w:val="center"/>
          </w:tcPr>
          <w:p w14:paraId="229BE387">
            <w:pPr>
              <w:pStyle w:val="5"/>
              <w:spacing w:line="300" w:lineRule="auto"/>
              <w:jc w:val="center"/>
            </w:pPr>
            <w:r>
              <w:t>500≤D</w:t>
            </w:r>
            <w:r>
              <w:rPr>
                <w:vertAlign w:val="subscript"/>
              </w:rPr>
              <w:t>S1</w:t>
            </w:r>
            <w:r>
              <w:t>&lt;1000</w:t>
            </w:r>
          </w:p>
        </w:tc>
        <w:tc>
          <w:tcPr>
            <w:tcW w:w="1705" w:type="dxa"/>
            <w:vAlign w:val="center"/>
          </w:tcPr>
          <w:p w14:paraId="51747EFE">
            <w:pPr>
              <w:pStyle w:val="5"/>
              <w:spacing w:line="300" w:lineRule="auto"/>
              <w:jc w:val="center"/>
            </w:pPr>
            <w:r>
              <w:t>4</w:t>
            </w:r>
          </w:p>
        </w:tc>
      </w:tr>
      <w:tr w14:paraId="67A18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5EB1621">
            <w:pPr>
              <w:pStyle w:val="5"/>
              <w:spacing w:line="300" w:lineRule="auto"/>
              <w:jc w:val="center"/>
            </w:pPr>
          </w:p>
        </w:tc>
        <w:tc>
          <w:tcPr>
            <w:tcW w:w="1697" w:type="dxa"/>
            <w:vMerge w:val="continue"/>
            <w:vAlign w:val="center"/>
          </w:tcPr>
          <w:p w14:paraId="26BCA437">
            <w:pPr>
              <w:pStyle w:val="5"/>
              <w:spacing w:line="300" w:lineRule="auto"/>
              <w:ind w:leftChars="-50" w:hanging="105" w:hangingChars="50"/>
              <w:jc w:val="center"/>
            </w:pPr>
          </w:p>
        </w:tc>
        <w:tc>
          <w:tcPr>
            <w:tcW w:w="2835" w:type="dxa"/>
            <w:vAlign w:val="center"/>
          </w:tcPr>
          <w:p w14:paraId="2DF49C9C">
            <w:pPr>
              <w:pStyle w:val="5"/>
              <w:spacing w:line="300" w:lineRule="auto"/>
              <w:jc w:val="center"/>
            </w:pPr>
            <w:r>
              <w:t>300≤D</w:t>
            </w:r>
            <w:r>
              <w:rPr>
                <w:vertAlign w:val="subscript"/>
              </w:rPr>
              <w:t>S1</w:t>
            </w:r>
            <w:r>
              <w:t>&lt;500</w:t>
            </w:r>
          </w:p>
        </w:tc>
        <w:tc>
          <w:tcPr>
            <w:tcW w:w="1705" w:type="dxa"/>
            <w:vAlign w:val="center"/>
          </w:tcPr>
          <w:p w14:paraId="1C28E337">
            <w:pPr>
              <w:pStyle w:val="5"/>
              <w:spacing w:line="300" w:lineRule="auto"/>
              <w:jc w:val="center"/>
            </w:pPr>
            <w:r>
              <w:t>6</w:t>
            </w:r>
          </w:p>
        </w:tc>
      </w:tr>
      <w:tr w14:paraId="2599F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3AC30D8A">
            <w:pPr>
              <w:pStyle w:val="5"/>
              <w:spacing w:line="300" w:lineRule="auto"/>
              <w:jc w:val="center"/>
            </w:pPr>
          </w:p>
        </w:tc>
        <w:tc>
          <w:tcPr>
            <w:tcW w:w="1697" w:type="dxa"/>
            <w:vMerge w:val="continue"/>
            <w:vAlign w:val="center"/>
          </w:tcPr>
          <w:p w14:paraId="67EB4B3C">
            <w:pPr>
              <w:pStyle w:val="5"/>
              <w:spacing w:line="300" w:lineRule="auto"/>
              <w:ind w:leftChars="-50" w:hanging="105" w:hangingChars="50"/>
              <w:jc w:val="center"/>
            </w:pPr>
          </w:p>
        </w:tc>
        <w:tc>
          <w:tcPr>
            <w:tcW w:w="2835" w:type="dxa"/>
            <w:vAlign w:val="center"/>
          </w:tcPr>
          <w:p w14:paraId="48B23069">
            <w:pPr>
              <w:pStyle w:val="5"/>
              <w:spacing w:line="300" w:lineRule="auto"/>
              <w:jc w:val="center"/>
            </w:pPr>
            <w:r>
              <w:t>100≤D</w:t>
            </w:r>
            <w:r>
              <w:rPr>
                <w:vertAlign w:val="subscript"/>
              </w:rPr>
              <w:t>S1</w:t>
            </w:r>
            <w:r>
              <w:t>&lt;300</w:t>
            </w:r>
          </w:p>
        </w:tc>
        <w:tc>
          <w:tcPr>
            <w:tcW w:w="1705" w:type="dxa"/>
            <w:vAlign w:val="center"/>
          </w:tcPr>
          <w:p w14:paraId="76F81065">
            <w:pPr>
              <w:pStyle w:val="5"/>
              <w:spacing w:line="300" w:lineRule="auto"/>
              <w:jc w:val="center"/>
            </w:pPr>
            <w:r>
              <w:t>8</w:t>
            </w:r>
          </w:p>
        </w:tc>
      </w:tr>
      <w:tr w14:paraId="15BC6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1E3BCA9D">
            <w:pPr>
              <w:pStyle w:val="5"/>
              <w:spacing w:line="300" w:lineRule="auto"/>
              <w:jc w:val="center"/>
            </w:pPr>
          </w:p>
        </w:tc>
        <w:tc>
          <w:tcPr>
            <w:tcW w:w="1697" w:type="dxa"/>
            <w:vMerge w:val="continue"/>
            <w:vAlign w:val="center"/>
          </w:tcPr>
          <w:p w14:paraId="76D8A593">
            <w:pPr>
              <w:pStyle w:val="5"/>
              <w:spacing w:line="300" w:lineRule="auto"/>
              <w:ind w:leftChars="-50" w:hanging="105" w:hangingChars="50"/>
              <w:jc w:val="center"/>
            </w:pPr>
          </w:p>
        </w:tc>
        <w:tc>
          <w:tcPr>
            <w:tcW w:w="2835" w:type="dxa"/>
            <w:vAlign w:val="center"/>
          </w:tcPr>
          <w:p w14:paraId="7054EF9C">
            <w:pPr>
              <w:pStyle w:val="5"/>
              <w:spacing w:line="300" w:lineRule="auto"/>
              <w:jc w:val="center"/>
            </w:pPr>
            <w:r>
              <w:t>D</w:t>
            </w:r>
            <w:r>
              <w:rPr>
                <w:vertAlign w:val="subscript"/>
              </w:rPr>
              <w:t>S1</w:t>
            </w:r>
            <w:r>
              <w:t>＜100</w:t>
            </w:r>
          </w:p>
        </w:tc>
        <w:tc>
          <w:tcPr>
            <w:tcW w:w="1705" w:type="dxa"/>
            <w:vAlign w:val="center"/>
          </w:tcPr>
          <w:p w14:paraId="05793394">
            <w:pPr>
              <w:pStyle w:val="5"/>
              <w:spacing w:line="300" w:lineRule="auto"/>
              <w:jc w:val="center"/>
            </w:pPr>
            <w:r>
              <w:t>10</w:t>
            </w:r>
          </w:p>
        </w:tc>
      </w:tr>
      <w:tr w14:paraId="6C88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7853E00E">
            <w:pPr>
              <w:pStyle w:val="5"/>
              <w:spacing w:line="300" w:lineRule="auto"/>
              <w:jc w:val="center"/>
            </w:pPr>
          </w:p>
        </w:tc>
        <w:tc>
          <w:tcPr>
            <w:tcW w:w="1697" w:type="dxa"/>
            <w:vMerge w:val="restart"/>
            <w:vAlign w:val="center"/>
          </w:tcPr>
          <w:p w14:paraId="44C7680E">
            <w:pPr>
              <w:pStyle w:val="5"/>
              <w:spacing w:line="300" w:lineRule="auto"/>
              <w:ind w:leftChars="-50" w:hanging="105" w:hangingChars="50"/>
              <w:jc w:val="center"/>
            </w:pPr>
            <w:r>
              <w:t>地表水体距离（D</w:t>
            </w:r>
            <w:r>
              <w:rPr>
                <w:vertAlign w:val="subscript"/>
              </w:rPr>
              <w:t>S2</w:t>
            </w:r>
            <w:r>
              <w:t>）m</w:t>
            </w:r>
          </w:p>
        </w:tc>
        <w:tc>
          <w:tcPr>
            <w:tcW w:w="2835" w:type="dxa"/>
            <w:vAlign w:val="center"/>
          </w:tcPr>
          <w:p w14:paraId="30EFBB60">
            <w:pPr>
              <w:pStyle w:val="5"/>
              <w:spacing w:line="300" w:lineRule="auto"/>
              <w:jc w:val="center"/>
            </w:pPr>
            <w:r>
              <w:t>D</w:t>
            </w:r>
            <w:r>
              <w:rPr>
                <w:vertAlign w:val="subscript"/>
              </w:rPr>
              <w:t>S2</w:t>
            </w:r>
            <w:r>
              <w:t>≥1000</w:t>
            </w:r>
          </w:p>
        </w:tc>
        <w:tc>
          <w:tcPr>
            <w:tcW w:w="1705" w:type="dxa"/>
            <w:vAlign w:val="center"/>
          </w:tcPr>
          <w:p w14:paraId="77F426FE">
            <w:pPr>
              <w:pStyle w:val="5"/>
              <w:spacing w:line="300" w:lineRule="auto"/>
              <w:jc w:val="center"/>
            </w:pPr>
            <w:r>
              <w:t>2</w:t>
            </w:r>
          </w:p>
        </w:tc>
      </w:tr>
      <w:tr w14:paraId="1014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5605EB85">
            <w:pPr>
              <w:pStyle w:val="5"/>
              <w:spacing w:line="300" w:lineRule="auto"/>
              <w:jc w:val="center"/>
            </w:pPr>
          </w:p>
        </w:tc>
        <w:tc>
          <w:tcPr>
            <w:tcW w:w="1697" w:type="dxa"/>
            <w:vMerge w:val="continue"/>
            <w:vAlign w:val="center"/>
          </w:tcPr>
          <w:p w14:paraId="3C293159">
            <w:pPr>
              <w:pStyle w:val="5"/>
              <w:spacing w:line="300" w:lineRule="auto"/>
              <w:ind w:leftChars="-50" w:hanging="105" w:hangingChars="50"/>
              <w:jc w:val="center"/>
            </w:pPr>
          </w:p>
        </w:tc>
        <w:tc>
          <w:tcPr>
            <w:tcW w:w="2835" w:type="dxa"/>
            <w:vAlign w:val="center"/>
          </w:tcPr>
          <w:p w14:paraId="1356E99E">
            <w:pPr>
              <w:pStyle w:val="5"/>
              <w:spacing w:line="300" w:lineRule="auto"/>
              <w:jc w:val="center"/>
            </w:pPr>
            <w:r>
              <w:t>500≤D</w:t>
            </w:r>
            <w:r>
              <w:rPr>
                <w:vertAlign w:val="subscript"/>
              </w:rPr>
              <w:t>S2</w:t>
            </w:r>
            <w:r>
              <w:t>&lt;1000</w:t>
            </w:r>
          </w:p>
        </w:tc>
        <w:tc>
          <w:tcPr>
            <w:tcW w:w="1705" w:type="dxa"/>
            <w:vAlign w:val="center"/>
          </w:tcPr>
          <w:p w14:paraId="084D146A">
            <w:pPr>
              <w:pStyle w:val="5"/>
              <w:spacing w:line="300" w:lineRule="auto"/>
              <w:jc w:val="center"/>
            </w:pPr>
            <w:r>
              <w:t>4</w:t>
            </w:r>
          </w:p>
        </w:tc>
      </w:tr>
      <w:tr w14:paraId="633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B20C88B">
            <w:pPr>
              <w:pStyle w:val="5"/>
              <w:spacing w:line="300" w:lineRule="auto"/>
              <w:jc w:val="center"/>
            </w:pPr>
          </w:p>
        </w:tc>
        <w:tc>
          <w:tcPr>
            <w:tcW w:w="1697" w:type="dxa"/>
            <w:vMerge w:val="continue"/>
            <w:vAlign w:val="center"/>
          </w:tcPr>
          <w:p w14:paraId="03BA2051">
            <w:pPr>
              <w:pStyle w:val="5"/>
              <w:spacing w:line="300" w:lineRule="auto"/>
              <w:ind w:leftChars="-50" w:hanging="105" w:hangingChars="50"/>
              <w:jc w:val="center"/>
            </w:pPr>
          </w:p>
        </w:tc>
        <w:tc>
          <w:tcPr>
            <w:tcW w:w="2835" w:type="dxa"/>
            <w:vAlign w:val="center"/>
          </w:tcPr>
          <w:p w14:paraId="16767029">
            <w:pPr>
              <w:pStyle w:val="5"/>
              <w:spacing w:line="300" w:lineRule="auto"/>
              <w:jc w:val="center"/>
            </w:pPr>
            <w:r>
              <w:t>300≤D</w:t>
            </w:r>
            <w:r>
              <w:rPr>
                <w:vertAlign w:val="subscript"/>
              </w:rPr>
              <w:t>S2</w:t>
            </w:r>
            <w:r>
              <w:t>&lt;500</w:t>
            </w:r>
          </w:p>
        </w:tc>
        <w:tc>
          <w:tcPr>
            <w:tcW w:w="1705" w:type="dxa"/>
            <w:vAlign w:val="center"/>
          </w:tcPr>
          <w:p w14:paraId="58B9993A">
            <w:pPr>
              <w:pStyle w:val="5"/>
              <w:spacing w:line="300" w:lineRule="auto"/>
              <w:jc w:val="center"/>
            </w:pPr>
            <w:r>
              <w:t>6</w:t>
            </w:r>
          </w:p>
        </w:tc>
      </w:tr>
      <w:tr w14:paraId="3D9C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7EF2D3DC">
            <w:pPr>
              <w:pStyle w:val="5"/>
              <w:spacing w:line="300" w:lineRule="auto"/>
              <w:jc w:val="center"/>
            </w:pPr>
          </w:p>
        </w:tc>
        <w:tc>
          <w:tcPr>
            <w:tcW w:w="1697" w:type="dxa"/>
            <w:vMerge w:val="continue"/>
            <w:vAlign w:val="center"/>
          </w:tcPr>
          <w:p w14:paraId="44B69B14">
            <w:pPr>
              <w:pStyle w:val="5"/>
              <w:spacing w:line="300" w:lineRule="auto"/>
              <w:ind w:leftChars="-50" w:hanging="105" w:hangingChars="50"/>
              <w:jc w:val="center"/>
            </w:pPr>
          </w:p>
        </w:tc>
        <w:tc>
          <w:tcPr>
            <w:tcW w:w="2835" w:type="dxa"/>
            <w:vAlign w:val="center"/>
          </w:tcPr>
          <w:p w14:paraId="2C68275B">
            <w:pPr>
              <w:pStyle w:val="5"/>
              <w:spacing w:line="300" w:lineRule="auto"/>
              <w:jc w:val="center"/>
            </w:pPr>
            <w:r>
              <w:t>100≤D</w:t>
            </w:r>
            <w:r>
              <w:rPr>
                <w:vertAlign w:val="subscript"/>
              </w:rPr>
              <w:t>S2</w:t>
            </w:r>
            <w:r>
              <w:t>&lt;300</w:t>
            </w:r>
          </w:p>
        </w:tc>
        <w:tc>
          <w:tcPr>
            <w:tcW w:w="1705" w:type="dxa"/>
            <w:vAlign w:val="center"/>
          </w:tcPr>
          <w:p w14:paraId="32BAA6C6">
            <w:pPr>
              <w:pStyle w:val="5"/>
              <w:spacing w:line="300" w:lineRule="auto"/>
              <w:jc w:val="center"/>
            </w:pPr>
            <w:r>
              <w:t>8</w:t>
            </w:r>
          </w:p>
        </w:tc>
      </w:tr>
      <w:tr w14:paraId="14BF0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44D0FA1A">
            <w:pPr>
              <w:pStyle w:val="5"/>
              <w:spacing w:line="300" w:lineRule="auto"/>
              <w:jc w:val="center"/>
            </w:pPr>
          </w:p>
        </w:tc>
        <w:tc>
          <w:tcPr>
            <w:tcW w:w="1697" w:type="dxa"/>
            <w:vMerge w:val="continue"/>
            <w:vAlign w:val="center"/>
          </w:tcPr>
          <w:p w14:paraId="2017800E">
            <w:pPr>
              <w:pStyle w:val="5"/>
              <w:spacing w:line="300" w:lineRule="auto"/>
              <w:ind w:leftChars="-50" w:hanging="105" w:hangingChars="50"/>
              <w:jc w:val="center"/>
            </w:pPr>
          </w:p>
        </w:tc>
        <w:tc>
          <w:tcPr>
            <w:tcW w:w="2835" w:type="dxa"/>
            <w:vAlign w:val="center"/>
          </w:tcPr>
          <w:p w14:paraId="40984CF0">
            <w:pPr>
              <w:pStyle w:val="5"/>
              <w:spacing w:line="300" w:lineRule="auto"/>
              <w:jc w:val="center"/>
            </w:pPr>
            <w:r>
              <w:t>D</w:t>
            </w:r>
            <w:r>
              <w:rPr>
                <w:vertAlign w:val="subscript"/>
              </w:rPr>
              <w:t>S2</w:t>
            </w:r>
            <w:r>
              <w:t>＜100</w:t>
            </w:r>
          </w:p>
        </w:tc>
        <w:tc>
          <w:tcPr>
            <w:tcW w:w="1705" w:type="dxa"/>
            <w:vAlign w:val="center"/>
          </w:tcPr>
          <w:p w14:paraId="2DCC6157">
            <w:pPr>
              <w:pStyle w:val="5"/>
              <w:spacing w:line="300" w:lineRule="auto"/>
              <w:jc w:val="center"/>
            </w:pPr>
            <w:r>
              <w:t>10</w:t>
            </w:r>
          </w:p>
        </w:tc>
      </w:tr>
      <w:tr w14:paraId="7785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024CB6E">
            <w:pPr>
              <w:pStyle w:val="5"/>
              <w:spacing w:line="300" w:lineRule="auto"/>
              <w:jc w:val="center"/>
            </w:pPr>
          </w:p>
        </w:tc>
        <w:tc>
          <w:tcPr>
            <w:tcW w:w="1697" w:type="dxa"/>
            <w:vMerge w:val="restart"/>
            <w:vAlign w:val="center"/>
          </w:tcPr>
          <w:p w14:paraId="1E9CF51C">
            <w:pPr>
              <w:pStyle w:val="5"/>
              <w:spacing w:line="300" w:lineRule="auto"/>
              <w:ind w:leftChars="-50" w:hanging="105" w:hangingChars="50"/>
              <w:jc w:val="center"/>
            </w:pPr>
            <w:r>
              <w:rPr>
                <w:rFonts w:hint="eastAsia"/>
                <w:lang w:eastAsia="zh-CN"/>
              </w:rPr>
              <w:t>地表水</w:t>
            </w:r>
            <w:r>
              <w:t>功能(W)</w:t>
            </w:r>
          </w:p>
        </w:tc>
        <w:tc>
          <w:tcPr>
            <w:tcW w:w="2835" w:type="dxa"/>
            <w:vAlign w:val="center"/>
          </w:tcPr>
          <w:p w14:paraId="0673E4DB">
            <w:pPr>
              <w:pStyle w:val="5"/>
              <w:spacing w:line="300" w:lineRule="auto"/>
              <w:jc w:val="center"/>
            </w:pPr>
            <w:r>
              <w:rPr>
                <w:rFonts w:hint="eastAsia"/>
                <w:lang w:eastAsia="zh-CN"/>
              </w:rPr>
              <w:t>工业及景观用水</w:t>
            </w:r>
          </w:p>
        </w:tc>
        <w:tc>
          <w:tcPr>
            <w:tcW w:w="1705" w:type="dxa"/>
            <w:vAlign w:val="center"/>
          </w:tcPr>
          <w:p w14:paraId="271F5178">
            <w:pPr>
              <w:pStyle w:val="5"/>
              <w:spacing w:line="300" w:lineRule="auto"/>
              <w:jc w:val="center"/>
            </w:pPr>
            <w:r>
              <w:t>2</w:t>
            </w:r>
          </w:p>
        </w:tc>
      </w:tr>
      <w:tr w14:paraId="54B73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4B1C52FC">
            <w:pPr>
              <w:pStyle w:val="5"/>
              <w:spacing w:line="300" w:lineRule="auto"/>
              <w:jc w:val="center"/>
            </w:pPr>
          </w:p>
        </w:tc>
        <w:tc>
          <w:tcPr>
            <w:tcW w:w="1697" w:type="dxa"/>
            <w:vMerge w:val="continue"/>
            <w:vAlign w:val="center"/>
          </w:tcPr>
          <w:p w14:paraId="18A85C4D">
            <w:pPr>
              <w:pStyle w:val="5"/>
              <w:spacing w:line="300" w:lineRule="auto"/>
              <w:ind w:leftChars="-50" w:hanging="105" w:hangingChars="50"/>
              <w:jc w:val="center"/>
            </w:pPr>
          </w:p>
        </w:tc>
        <w:tc>
          <w:tcPr>
            <w:tcW w:w="2835" w:type="dxa"/>
            <w:vAlign w:val="center"/>
          </w:tcPr>
          <w:p w14:paraId="0DE9A5C8">
            <w:pPr>
              <w:pStyle w:val="5"/>
              <w:spacing w:line="300" w:lineRule="auto"/>
              <w:jc w:val="center"/>
              <w:rPr>
                <w:lang w:eastAsia="zh-CN"/>
              </w:rPr>
            </w:pPr>
            <w:r>
              <w:rPr>
                <w:rFonts w:hint="eastAsia"/>
                <w:lang w:eastAsia="zh-CN"/>
              </w:rPr>
              <w:t>农业用水</w:t>
            </w:r>
          </w:p>
        </w:tc>
        <w:tc>
          <w:tcPr>
            <w:tcW w:w="1705" w:type="dxa"/>
            <w:vAlign w:val="center"/>
          </w:tcPr>
          <w:p w14:paraId="578998C9">
            <w:pPr>
              <w:pStyle w:val="5"/>
              <w:spacing w:line="300" w:lineRule="auto"/>
              <w:jc w:val="center"/>
            </w:pPr>
            <w:r>
              <w:t>4</w:t>
            </w:r>
          </w:p>
        </w:tc>
      </w:tr>
      <w:tr w14:paraId="5FE57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144D08EA">
            <w:pPr>
              <w:pStyle w:val="5"/>
              <w:spacing w:line="300" w:lineRule="auto"/>
              <w:jc w:val="center"/>
            </w:pPr>
          </w:p>
        </w:tc>
        <w:tc>
          <w:tcPr>
            <w:tcW w:w="1697" w:type="dxa"/>
            <w:vMerge w:val="continue"/>
            <w:vAlign w:val="center"/>
          </w:tcPr>
          <w:p w14:paraId="6A5BB180">
            <w:pPr>
              <w:pStyle w:val="5"/>
              <w:spacing w:line="300" w:lineRule="auto"/>
              <w:ind w:leftChars="-50" w:hanging="105" w:hangingChars="50"/>
              <w:jc w:val="center"/>
            </w:pPr>
          </w:p>
        </w:tc>
        <w:tc>
          <w:tcPr>
            <w:tcW w:w="2835" w:type="dxa"/>
            <w:vAlign w:val="center"/>
          </w:tcPr>
          <w:p w14:paraId="5AB57A0D">
            <w:pPr>
              <w:pStyle w:val="5"/>
              <w:spacing w:line="300" w:lineRule="auto"/>
              <w:jc w:val="center"/>
            </w:pPr>
            <w:r>
              <w:rPr>
                <w:rFonts w:hint="eastAsia"/>
                <w:lang w:eastAsia="zh-CN"/>
              </w:rPr>
              <w:t>渔业用水</w:t>
            </w:r>
          </w:p>
        </w:tc>
        <w:tc>
          <w:tcPr>
            <w:tcW w:w="1705" w:type="dxa"/>
            <w:vAlign w:val="center"/>
          </w:tcPr>
          <w:p w14:paraId="7F183CE7">
            <w:pPr>
              <w:pStyle w:val="5"/>
              <w:spacing w:line="300" w:lineRule="auto"/>
              <w:jc w:val="center"/>
            </w:pPr>
            <w:r>
              <w:t>6</w:t>
            </w:r>
          </w:p>
        </w:tc>
      </w:tr>
      <w:tr w14:paraId="0EFFA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12A61BC">
            <w:pPr>
              <w:pStyle w:val="5"/>
              <w:spacing w:line="300" w:lineRule="auto"/>
              <w:jc w:val="center"/>
            </w:pPr>
          </w:p>
        </w:tc>
        <w:tc>
          <w:tcPr>
            <w:tcW w:w="1697" w:type="dxa"/>
            <w:vMerge w:val="continue"/>
            <w:vAlign w:val="center"/>
          </w:tcPr>
          <w:p w14:paraId="51F41667">
            <w:pPr>
              <w:pStyle w:val="5"/>
              <w:spacing w:line="300" w:lineRule="auto"/>
              <w:ind w:leftChars="-50" w:hanging="105" w:hangingChars="50"/>
              <w:jc w:val="center"/>
            </w:pPr>
          </w:p>
        </w:tc>
        <w:tc>
          <w:tcPr>
            <w:tcW w:w="2835" w:type="dxa"/>
            <w:vAlign w:val="center"/>
          </w:tcPr>
          <w:p w14:paraId="1C0C5499">
            <w:pPr>
              <w:pStyle w:val="5"/>
              <w:spacing w:line="300" w:lineRule="auto"/>
              <w:jc w:val="center"/>
              <w:rPr>
                <w:lang w:eastAsia="zh-CN"/>
              </w:rPr>
            </w:pPr>
            <w:r>
              <w:rPr>
                <w:lang w:eastAsia="zh-CN"/>
              </w:rPr>
              <w:t>集中式生活饮用水水源地二级保护区</w:t>
            </w:r>
          </w:p>
        </w:tc>
        <w:tc>
          <w:tcPr>
            <w:tcW w:w="1705" w:type="dxa"/>
            <w:vAlign w:val="center"/>
          </w:tcPr>
          <w:p w14:paraId="20163518">
            <w:pPr>
              <w:pStyle w:val="5"/>
              <w:spacing w:line="300" w:lineRule="auto"/>
              <w:jc w:val="center"/>
            </w:pPr>
            <w:r>
              <w:t>8</w:t>
            </w:r>
          </w:p>
        </w:tc>
      </w:tr>
      <w:tr w14:paraId="65F44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00A13D42">
            <w:pPr>
              <w:pStyle w:val="5"/>
              <w:spacing w:line="300" w:lineRule="auto"/>
              <w:jc w:val="center"/>
            </w:pPr>
          </w:p>
        </w:tc>
        <w:tc>
          <w:tcPr>
            <w:tcW w:w="1697" w:type="dxa"/>
            <w:vMerge w:val="continue"/>
            <w:vAlign w:val="center"/>
          </w:tcPr>
          <w:p w14:paraId="44B7B849">
            <w:pPr>
              <w:pStyle w:val="5"/>
              <w:spacing w:line="300" w:lineRule="auto"/>
              <w:ind w:leftChars="-50" w:hanging="105" w:hangingChars="50"/>
              <w:jc w:val="center"/>
            </w:pPr>
          </w:p>
        </w:tc>
        <w:tc>
          <w:tcPr>
            <w:tcW w:w="2835" w:type="dxa"/>
            <w:vAlign w:val="center"/>
          </w:tcPr>
          <w:p w14:paraId="5725A1E9">
            <w:pPr>
              <w:pStyle w:val="5"/>
              <w:spacing w:line="300" w:lineRule="auto"/>
              <w:jc w:val="center"/>
              <w:rPr>
                <w:lang w:eastAsia="zh-CN"/>
              </w:rPr>
            </w:pPr>
            <w:r>
              <w:rPr>
                <w:rFonts w:hint="eastAsia"/>
                <w:lang w:eastAsia="zh-CN"/>
              </w:rPr>
              <w:t>集中式生活饮用水水源地一级保护区及源头水、自然保护区</w:t>
            </w:r>
          </w:p>
        </w:tc>
        <w:tc>
          <w:tcPr>
            <w:tcW w:w="1705" w:type="dxa"/>
            <w:vAlign w:val="center"/>
          </w:tcPr>
          <w:p w14:paraId="59C14155">
            <w:pPr>
              <w:pStyle w:val="5"/>
              <w:spacing w:line="300" w:lineRule="auto"/>
              <w:jc w:val="center"/>
            </w:pPr>
            <w:r>
              <w:t>10</w:t>
            </w:r>
          </w:p>
        </w:tc>
      </w:tr>
      <w:tr w14:paraId="5429A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66E0AF73">
            <w:pPr>
              <w:pStyle w:val="5"/>
              <w:spacing w:line="300" w:lineRule="auto"/>
              <w:jc w:val="center"/>
            </w:pPr>
          </w:p>
        </w:tc>
        <w:tc>
          <w:tcPr>
            <w:tcW w:w="1697" w:type="dxa"/>
            <w:vMerge w:val="restart"/>
            <w:vAlign w:val="center"/>
          </w:tcPr>
          <w:p w14:paraId="54B7C29E">
            <w:pPr>
              <w:pStyle w:val="5"/>
              <w:spacing w:line="300" w:lineRule="auto"/>
              <w:ind w:leftChars="-50" w:hanging="105" w:hangingChars="50"/>
              <w:jc w:val="center"/>
            </w:pPr>
            <w:r>
              <w:t>地块周边500m内人数(H)</w:t>
            </w:r>
          </w:p>
        </w:tc>
        <w:tc>
          <w:tcPr>
            <w:tcW w:w="2835" w:type="dxa"/>
            <w:vAlign w:val="center"/>
          </w:tcPr>
          <w:p w14:paraId="28B1FA32">
            <w:pPr>
              <w:pStyle w:val="5"/>
              <w:spacing w:line="300" w:lineRule="auto"/>
              <w:jc w:val="center"/>
            </w:pPr>
            <w:r>
              <w:t>H＜100</w:t>
            </w:r>
          </w:p>
        </w:tc>
        <w:tc>
          <w:tcPr>
            <w:tcW w:w="1705" w:type="dxa"/>
            <w:vAlign w:val="center"/>
          </w:tcPr>
          <w:p w14:paraId="4ED81EFD">
            <w:pPr>
              <w:pStyle w:val="5"/>
              <w:spacing w:line="300" w:lineRule="auto"/>
              <w:jc w:val="center"/>
            </w:pPr>
            <w:r>
              <w:t>2</w:t>
            </w:r>
          </w:p>
        </w:tc>
      </w:tr>
      <w:tr w14:paraId="72AA9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5DE076BB">
            <w:pPr>
              <w:pStyle w:val="5"/>
              <w:spacing w:line="300" w:lineRule="auto"/>
              <w:jc w:val="center"/>
            </w:pPr>
          </w:p>
        </w:tc>
        <w:tc>
          <w:tcPr>
            <w:tcW w:w="1697" w:type="dxa"/>
            <w:vMerge w:val="continue"/>
            <w:vAlign w:val="center"/>
          </w:tcPr>
          <w:p w14:paraId="0737C7D1">
            <w:pPr>
              <w:pStyle w:val="5"/>
              <w:spacing w:line="300" w:lineRule="auto"/>
              <w:jc w:val="center"/>
            </w:pPr>
          </w:p>
        </w:tc>
        <w:tc>
          <w:tcPr>
            <w:tcW w:w="2835" w:type="dxa"/>
            <w:vAlign w:val="center"/>
          </w:tcPr>
          <w:p w14:paraId="01F95547">
            <w:pPr>
              <w:pStyle w:val="5"/>
              <w:spacing w:line="300" w:lineRule="auto"/>
              <w:jc w:val="center"/>
            </w:pPr>
            <w:r>
              <w:t>100≤H&lt;1000</w:t>
            </w:r>
          </w:p>
        </w:tc>
        <w:tc>
          <w:tcPr>
            <w:tcW w:w="1705" w:type="dxa"/>
            <w:vAlign w:val="center"/>
          </w:tcPr>
          <w:p w14:paraId="554928AF">
            <w:pPr>
              <w:pStyle w:val="5"/>
              <w:spacing w:line="300" w:lineRule="auto"/>
              <w:jc w:val="center"/>
            </w:pPr>
            <w:r>
              <w:t>4</w:t>
            </w:r>
          </w:p>
        </w:tc>
      </w:tr>
      <w:tr w14:paraId="2790BD24">
        <w:tblPrEx>
          <w:tblCellMar>
            <w:top w:w="0" w:type="dxa"/>
            <w:left w:w="108" w:type="dxa"/>
            <w:bottom w:w="0" w:type="dxa"/>
            <w:right w:w="108" w:type="dxa"/>
          </w:tblCellMar>
        </w:tblPrEx>
        <w:trPr>
          <w:trHeight w:val="57" w:hRule="atLeast"/>
          <w:jc w:val="center"/>
        </w:trPr>
        <w:tc>
          <w:tcPr>
            <w:tcW w:w="2548" w:type="dxa"/>
            <w:vMerge w:val="continue"/>
            <w:vAlign w:val="center"/>
          </w:tcPr>
          <w:p w14:paraId="1621B9CC">
            <w:pPr>
              <w:pStyle w:val="5"/>
              <w:spacing w:line="300" w:lineRule="auto"/>
              <w:jc w:val="center"/>
            </w:pPr>
          </w:p>
        </w:tc>
        <w:tc>
          <w:tcPr>
            <w:tcW w:w="1697" w:type="dxa"/>
            <w:vMerge w:val="continue"/>
            <w:vAlign w:val="center"/>
          </w:tcPr>
          <w:p w14:paraId="26E18B12">
            <w:pPr>
              <w:pStyle w:val="5"/>
              <w:spacing w:line="300" w:lineRule="auto"/>
              <w:jc w:val="center"/>
            </w:pPr>
          </w:p>
        </w:tc>
        <w:tc>
          <w:tcPr>
            <w:tcW w:w="2835" w:type="dxa"/>
            <w:vAlign w:val="center"/>
          </w:tcPr>
          <w:p w14:paraId="35A101B7">
            <w:pPr>
              <w:pStyle w:val="5"/>
              <w:spacing w:line="300" w:lineRule="auto"/>
              <w:jc w:val="center"/>
            </w:pPr>
            <w:r>
              <w:t>1000≤H&lt;3000</w:t>
            </w:r>
          </w:p>
        </w:tc>
        <w:tc>
          <w:tcPr>
            <w:tcW w:w="1705" w:type="dxa"/>
            <w:vAlign w:val="center"/>
          </w:tcPr>
          <w:p w14:paraId="7CCB8A97">
            <w:pPr>
              <w:pStyle w:val="5"/>
              <w:spacing w:line="300" w:lineRule="auto"/>
              <w:jc w:val="center"/>
            </w:pPr>
            <w:r>
              <w:t>6</w:t>
            </w:r>
          </w:p>
        </w:tc>
      </w:tr>
      <w:tr w14:paraId="35CF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2548" w:type="dxa"/>
            <w:vMerge w:val="continue"/>
            <w:vAlign w:val="center"/>
          </w:tcPr>
          <w:p w14:paraId="76B4D256">
            <w:pPr>
              <w:pStyle w:val="5"/>
              <w:spacing w:line="300" w:lineRule="auto"/>
              <w:jc w:val="center"/>
            </w:pPr>
          </w:p>
        </w:tc>
        <w:tc>
          <w:tcPr>
            <w:tcW w:w="1697" w:type="dxa"/>
            <w:vMerge w:val="continue"/>
            <w:vAlign w:val="center"/>
          </w:tcPr>
          <w:p w14:paraId="11F6194B">
            <w:pPr>
              <w:pStyle w:val="5"/>
              <w:spacing w:line="300" w:lineRule="auto"/>
              <w:jc w:val="center"/>
            </w:pPr>
          </w:p>
        </w:tc>
        <w:tc>
          <w:tcPr>
            <w:tcW w:w="2835" w:type="dxa"/>
            <w:vAlign w:val="center"/>
          </w:tcPr>
          <w:p w14:paraId="29350307">
            <w:pPr>
              <w:pStyle w:val="5"/>
              <w:spacing w:line="300" w:lineRule="auto"/>
              <w:jc w:val="center"/>
            </w:pPr>
            <w:r>
              <w:t>3000≤H&lt;5000</w:t>
            </w:r>
          </w:p>
        </w:tc>
        <w:tc>
          <w:tcPr>
            <w:tcW w:w="1705" w:type="dxa"/>
            <w:vAlign w:val="center"/>
          </w:tcPr>
          <w:p w14:paraId="71C1E088">
            <w:pPr>
              <w:pStyle w:val="5"/>
              <w:spacing w:line="300" w:lineRule="auto"/>
              <w:jc w:val="center"/>
            </w:pPr>
            <w:r>
              <w:t>8</w:t>
            </w:r>
          </w:p>
        </w:tc>
      </w:tr>
      <w:tr w14:paraId="0DFA4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2548" w:type="dxa"/>
            <w:vMerge w:val="continue"/>
            <w:vAlign w:val="center"/>
          </w:tcPr>
          <w:p w14:paraId="7D6E98FC">
            <w:pPr>
              <w:pStyle w:val="5"/>
              <w:spacing w:line="300" w:lineRule="auto"/>
              <w:jc w:val="center"/>
            </w:pPr>
          </w:p>
        </w:tc>
        <w:tc>
          <w:tcPr>
            <w:tcW w:w="1697" w:type="dxa"/>
            <w:vMerge w:val="continue"/>
            <w:vAlign w:val="center"/>
          </w:tcPr>
          <w:p w14:paraId="16F00053">
            <w:pPr>
              <w:pStyle w:val="5"/>
              <w:spacing w:line="300" w:lineRule="auto"/>
              <w:jc w:val="center"/>
            </w:pPr>
          </w:p>
        </w:tc>
        <w:tc>
          <w:tcPr>
            <w:tcW w:w="2835" w:type="dxa"/>
            <w:vAlign w:val="center"/>
          </w:tcPr>
          <w:p w14:paraId="10491E89">
            <w:pPr>
              <w:pStyle w:val="5"/>
              <w:spacing w:line="300" w:lineRule="auto"/>
              <w:jc w:val="center"/>
            </w:pPr>
            <w:r>
              <w:t>H≥5000</w:t>
            </w:r>
          </w:p>
        </w:tc>
        <w:tc>
          <w:tcPr>
            <w:tcW w:w="1705" w:type="dxa"/>
            <w:vAlign w:val="center"/>
          </w:tcPr>
          <w:p w14:paraId="602531F4">
            <w:pPr>
              <w:pStyle w:val="5"/>
              <w:spacing w:line="300" w:lineRule="auto"/>
              <w:jc w:val="center"/>
            </w:pPr>
            <w:r>
              <w:t>10</w:t>
            </w:r>
          </w:p>
        </w:tc>
      </w:tr>
      <w:tr w14:paraId="3D73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8785" w:type="dxa"/>
            <w:gridSpan w:val="4"/>
            <w:vAlign w:val="center"/>
          </w:tcPr>
          <w:p w14:paraId="5BC2062D">
            <w:pPr>
              <w:pStyle w:val="5"/>
              <w:spacing w:line="300" w:lineRule="auto"/>
              <w:jc w:val="center"/>
              <w:rPr>
                <w:lang w:eastAsia="zh-CN"/>
              </w:rPr>
            </w:pPr>
            <w:r>
              <w:rPr>
                <w:b/>
                <w:bCs/>
                <w:color w:val="000000" w:themeColor="text1"/>
                <w:lang w:eastAsia="zh-CN"/>
              </w:rPr>
              <w:t>环境脆弱性指数（V）=（V</w:t>
            </w:r>
            <w:r>
              <w:rPr>
                <w:b/>
                <w:bCs/>
                <w:color w:val="000000" w:themeColor="text1"/>
                <w:vertAlign w:val="subscript"/>
                <w:lang w:eastAsia="zh-CN"/>
              </w:rPr>
              <w:t>1</w:t>
            </w:r>
            <w:r>
              <w:rPr>
                <w:b/>
                <w:bCs/>
                <w:color w:val="000000" w:themeColor="text1"/>
                <w:lang w:eastAsia="zh-CN"/>
              </w:rPr>
              <w:t>+V</w:t>
            </w:r>
            <w:r>
              <w:rPr>
                <w:b/>
                <w:bCs/>
                <w:color w:val="000000" w:themeColor="text1"/>
                <w:vertAlign w:val="subscript"/>
                <w:lang w:eastAsia="zh-CN"/>
              </w:rPr>
              <w:t>2</w:t>
            </w:r>
            <w:r>
              <w:rPr>
                <w:b/>
                <w:bCs/>
                <w:color w:val="000000" w:themeColor="text1"/>
                <w:lang w:eastAsia="zh-CN"/>
              </w:rPr>
              <w:t>）*100/20</w:t>
            </w:r>
          </w:p>
        </w:tc>
      </w:tr>
    </w:tbl>
    <w:p w14:paraId="2E1784B3">
      <w:pPr>
        <w:tabs>
          <w:tab w:val="left" w:pos="709"/>
        </w:tabs>
        <w:spacing w:after="156" w:line="240" w:lineRule="auto"/>
        <w:ind w:firstLine="420"/>
        <w:jc w:val="left"/>
        <w:rPr>
          <w:color w:val="000000" w:themeColor="text1"/>
          <w:szCs w:val="21"/>
        </w:rPr>
      </w:pPr>
    </w:p>
    <w:sectPr>
      <w:footerReference r:id="rId14" w:type="default"/>
      <w:footerReference r:id="rId15" w:type="even"/>
      <w:pgSz w:w="11906" w:h="16838"/>
      <w:pgMar w:top="1417" w:right="1134" w:bottom="1134" w:left="1417" w:header="1020" w:footer="850"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B658">
    <w:pPr>
      <w:spacing w:after="120"/>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5E8B">
    <w:pPr>
      <w:pStyle w:val="7"/>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F2621">
    <w:pPr>
      <w:spacing w:after="120"/>
      <w:ind w:firstLine="360"/>
    </w:pPr>
    <w:r>
      <w:rPr>
        <w:sz w:val="18"/>
      </w:rPr>
      <w:pict>
        <v:shape id="_x0000_s1025" o:spid="_x0000_s102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AFA2502">
                <w:pPr>
                  <w:spacing w:after="120"/>
                  <w:ind w:firstLine="420"/>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17D6">
    <w:pPr>
      <w:pStyle w:val="7"/>
      <w:spacing w:after="120"/>
      <w:ind w:firstLine="360"/>
    </w:pPr>
    <w:r>
      <w:pict>
        <v:shape id="_x0000_s1035" o:spid="_x0000_s1035"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CD6EEF6">
                <w:pPr>
                  <w:pStyle w:val="7"/>
                  <w:spacing w:after="120"/>
                  <w:ind w:firstLine="360"/>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315B">
    <w:pPr>
      <w:tabs>
        <w:tab w:val="right" w:pos="9355"/>
      </w:tabs>
      <w:spacing w:after="120"/>
      <w:ind w:firstLine="360"/>
    </w:pPr>
    <w:r>
      <w:rPr>
        <w:sz w:val="18"/>
      </w:rPr>
      <w:pict>
        <v:shape id="_x0000_s1033" o:spid="_x0000_s103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4351104">
                <w:pPr>
                  <w:spacing w:after="120"/>
                  <w:ind w:firstLine="420"/>
                </w:pPr>
                <w:r>
                  <w:fldChar w:fldCharType="begin"/>
                </w:r>
                <w:r>
                  <w:instrText xml:space="preserve"> PAGE  \* MERGEFORMAT </w:instrText>
                </w:r>
                <w:r>
                  <w:fldChar w:fldCharType="separate"/>
                </w:r>
                <w:r>
                  <w:t>I</w:t>
                </w:r>
                <w:r>
                  <w:fldChar w:fldCharType="end"/>
                </w:r>
              </w:p>
            </w:txbxContent>
          </v:textbox>
        </v:shape>
      </w:pic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814396"/>
      <w:docPartObj>
        <w:docPartGallery w:val="AutoText"/>
      </w:docPartObj>
    </w:sdtPr>
    <w:sdtContent>
      <w:p w14:paraId="7F06C41C">
        <w:pPr>
          <w:pStyle w:val="7"/>
          <w:spacing w:after="1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E573">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DFD0">
    <w:pPr>
      <w:pBdr>
        <w:bottom w:val="none" w:color="auto" w:sz="0" w:space="0"/>
      </w:pBdr>
      <w:jc w:val="right"/>
      <w:rPr>
        <w:rFonts w:hint="default" w:ascii="Times New Roman" w:hAnsi="Times New Roman" w:cs="Times New Roman"/>
      </w:rPr>
    </w:pPr>
    <w:r>
      <w:rPr>
        <w:rFonts w:hint="default" w:ascii="Times New Roman" w:hAnsi="Times New Roman" w:cs="Times New Roman"/>
      </w:rPr>
      <w:t xml:space="preserve">T/ACEF </w:t>
    </w:r>
    <w:r>
      <w:rPr>
        <w:rFonts w:hint="eastAsia" w:ascii="Times New Roman" w:hAnsi="Times New Roman" w:cs="Times New Roman"/>
        <w:lang w:val="en-US" w:eastAsia="zh-CN"/>
      </w:rPr>
      <w:t>×××</w:t>
    </w:r>
    <w:r>
      <w:rPr>
        <w:rFonts w:hint="default" w:ascii="Times New Roman" w:hAnsi="Times New Roman" w:cs="Times New Roman"/>
      </w:rPr>
      <w:t>—20</w:t>
    </w:r>
    <w:r>
      <w:rPr>
        <w:rFonts w:hint="eastAsia" w:ascii="Times New Roman" w:hAnsi="Times New Roman" w:cs="Times New Roman"/>
        <w:lang w:val="en-US" w:eastAsia="zh-CN"/>
      </w:rPr>
      <w:t>××</w:t>
    </w:r>
  </w:p>
  <w:p w14:paraId="77093EDA">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22EF">
    <w:pPr>
      <w:pStyle w:val="8"/>
      <w:spacing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E35E">
    <w:pPr>
      <w:spacing w:after="120"/>
      <w:ind w:firstLine="420"/>
      <w:jc w:val="right"/>
    </w:pPr>
    <w:r>
      <w:t xml:space="preserve">T/ACEF </w:t>
    </w:r>
    <w:r>
      <w:rPr>
        <w:rFonts w:hint="eastAsia"/>
      </w:rPr>
      <w:t>×××</w:t>
    </w:r>
    <w:r>
      <w:t>—20</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FAB0">
    <w:pPr>
      <w:spacing w:after="120"/>
      <w:ind w:firstLine="420"/>
      <w:jc w:val="right"/>
    </w:pPr>
    <w:r>
      <w:t xml:space="preserve">T/ACEF </w:t>
    </w:r>
    <w:r>
      <w:rPr>
        <w:rFonts w:hint="eastAsia"/>
      </w:rPr>
      <w:t>×××</w:t>
    </w:r>
    <w:r>
      <w:t>—20</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8187C"/>
    <w:multiLevelType w:val="multilevel"/>
    <w:tmpl w:val="24E8187C"/>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DC528C4"/>
    <w:multiLevelType w:val="multilevel"/>
    <w:tmpl w:val="5DC528C4"/>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0A275F1"/>
    <w:multiLevelType w:val="multilevel"/>
    <w:tmpl w:val="60A275F1"/>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5D42B3"/>
    <w:multiLevelType w:val="multilevel"/>
    <w:tmpl w:val="6A5D42B3"/>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NmI3YzNkZDI0MjBkYWZkODcxNTRiZTQ3OWU0Y2Q4NTUifQ=="/>
  </w:docVars>
  <w:rsids>
    <w:rsidRoot w:val="00B849AC"/>
    <w:rsid w:val="00001E69"/>
    <w:rsid w:val="0001530B"/>
    <w:rsid w:val="00015DA7"/>
    <w:rsid w:val="00016B79"/>
    <w:rsid w:val="000171ED"/>
    <w:rsid w:val="00025ED4"/>
    <w:rsid w:val="000262C5"/>
    <w:rsid w:val="00026341"/>
    <w:rsid w:val="0003068D"/>
    <w:rsid w:val="000353B4"/>
    <w:rsid w:val="0003610F"/>
    <w:rsid w:val="0004089F"/>
    <w:rsid w:val="00041CC6"/>
    <w:rsid w:val="00044221"/>
    <w:rsid w:val="0004502F"/>
    <w:rsid w:val="000469D5"/>
    <w:rsid w:val="0005029F"/>
    <w:rsid w:val="00053F1B"/>
    <w:rsid w:val="00056B86"/>
    <w:rsid w:val="00056E79"/>
    <w:rsid w:val="00066237"/>
    <w:rsid w:val="00066A31"/>
    <w:rsid w:val="000678BF"/>
    <w:rsid w:val="00074EB1"/>
    <w:rsid w:val="00080E9C"/>
    <w:rsid w:val="000833C8"/>
    <w:rsid w:val="000839B7"/>
    <w:rsid w:val="00084F52"/>
    <w:rsid w:val="000861BD"/>
    <w:rsid w:val="0008660C"/>
    <w:rsid w:val="00092D01"/>
    <w:rsid w:val="00095278"/>
    <w:rsid w:val="000971D4"/>
    <w:rsid w:val="00097CFE"/>
    <w:rsid w:val="00097FDF"/>
    <w:rsid w:val="000A189B"/>
    <w:rsid w:val="000A22D0"/>
    <w:rsid w:val="000A44C6"/>
    <w:rsid w:val="000C54DD"/>
    <w:rsid w:val="000D12ED"/>
    <w:rsid w:val="000D22A1"/>
    <w:rsid w:val="000E14E9"/>
    <w:rsid w:val="000E27B9"/>
    <w:rsid w:val="000E614D"/>
    <w:rsid w:val="000F2BFF"/>
    <w:rsid w:val="000F5ABD"/>
    <w:rsid w:val="000F6483"/>
    <w:rsid w:val="00101A14"/>
    <w:rsid w:val="00103ECA"/>
    <w:rsid w:val="001113BD"/>
    <w:rsid w:val="00112A75"/>
    <w:rsid w:val="00115364"/>
    <w:rsid w:val="00117E97"/>
    <w:rsid w:val="0012202F"/>
    <w:rsid w:val="00122D98"/>
    <w:rsid w:val="001239FF"/>
    <w:rsid w:val="0012644C"/>
    <w:rsid w:val="001268C7"/>
    <w:rsid w:val="00127059"/>
    <w:rsid w:val="00141413"/>
    <w:rsid w:val="00146417"/>
    <w:rsid w:val="0015392E"/>
    <w:rsid w:val="001568B6"/>
    <w:rsid w:val="00157856"/>
    <w:rsid w:val="001602C2"/>
    <w:rsid w:val="0017668A"/>
    <w:rsid w:val="00180449"/>
    <w:rsid w:val="001813B9"/>
    <w:rsid w:val="00183AF4"/>
    <w:rsid w:val="00184312"/>
    <w:rsid w:val="001853C0"/>
    <w:rsid w:val="00185477"/>
    <w:rsid w:val="0018613B"/>
    <w:rsid w:val="001864B3"/>
    <w:rsid w:val="001A0B34"/>
    <w:rsid w:val="001A1E60"/>
    <w:rsid w:val="001A2FE6"/>
    <w:rsid w:val="001A6907"/>
    <w:rsid w:val="001B06FC"/>
    <w:rsid w:val="001B6562"/>
    <w:rsid w:val="001C24C3"/>
    <w:rsid w:val="001D47CD"/>
    <w:rsid w:val="001D6B7C"/>
    <w:rsid w:val="001D71F8"/>
    <w:rsid w:val="001E6284"/>
    <w:rsid w:val="001F368B"/>
    <w:rsid w:val="002023B8"/>
    <w:rsid w:val="00207EBC"/>
    <w:rsid w:val="00213927"/>
    <w:rsid w:val="002162C5"/>
    <w:rsid w:val="00220C90"/>
    <w:rsid w:val="00221146"/>
    <w:rsid w:val="002305FC"/>
    <w:rsid w:val="00232E1D"/>
    <w:rsid w:val="00235A56"/>
    <w:rsid w:val="00237100"/>
    <w:rsid w:val="00247117"/>
    <w:rsid w:val="002543D9"/>
    <w:rsid w:val="00257EA2"/>
    <w:rsid w:val="00261311"/>
    <w:rsid w:val="00262BA5"/>
    <w:rsid w:val="00264F17"/>
    <w:rsid w:val="00265102"/>
    <w:rsid w:val="0026747B"/>
    <w:rsid w:val="002746E8"/>
    <w:rsid w:val="00275DAB"/>
    <w:rsid w:val="00280A00"/>
    <w:rsid w:val="002813E7"/>
    <w:rsid w:val="0028345B"/>
    <w:rsid w:val="00290E62"/>
    <w:rsid w:val="00293689"/>
    <w:rsid w:val="002956C8"/>
    <w:rsid w:val="002A5905"/>
    <w:rsid w:val="002A7B56"/>
    <w:rsid w:val="002B1461"/>
    <w:rsid w:val="002B31D4"/>
    <w:rsid w:val="002B4E01"/>
    <w:rsid w:val="002C0B43"/>
    <w:rsid w:val="002C3FC5"/>
    <w:rsid w:val="002C474B"/>
    <w:rsid w:val="002C4954"/>
    <w:rsid w:val="002D14AE"/>
    <w:rsid w:val="002D2B82"/>
    <w:rsid w:val="002E18D9"/>
    <w:rsid w:val="002F46B9"/>
    <w:rsid w:val="002F7813"/>
    <w:rsid w:val="00300509"/>
    <w:rsid w:val="003042D2"/>
    <w:rsid w:val="00304803"/>
    <w:rsid w:val="003061E2"/>
    <w:rsid w:val="00307DE6"/>
    <w:rsid w:val="0032115A"/>
    <w:rsid w:val="00321850"/>
    <w:rsid w:val="00321C23"/>
    <w:rsid w:val="00321E32"/>
    <w:rsid w:val="00322695"/>
    <w:rsid w:val="0033099F"/>
    <w:rsid w:val="00335054"/>
    <w:rsid w:val="0033715B"/>
    <w:rsid w:val="003415C1"/>
    <w:rsid w:val="00343935"/>
    <w:rsid w:val="00343F08"/>
    <w:rsid w:val="003441C6"/>
    <w:rsid w:val="003553BA"/>
    <w:rsid w:val="003569F7"/>
    <w:rsid w:val="00360BCA"/>
    <w:rsid w:val="00364EE2"/>
    <w:rsid w:val="00367903"/>
    <w:rsid w:val="00367904"/>
    <w:rsid w:val="00370E12"/>
    <w:rsid w:val="00370FC1"/>
    <w:rsid w:val="00380648"/>
    <w:rsid w:val="00381F30"/>
    <w:rsid w:val="00382525"/>
    <w:rsid w:val="003901FD"/>
    <w:rsid w:val="00392567"/>
    <w:rsid w:val="003945E2"/>
    <w:rsid w:val="003A3602"/>
    <w:rsid w:val="003A43D4"/>
    <w:rsid w:val="003A5BA6"/>
    <w:rsid w:val="003A6869"/>
    <w:rsid w:val="003B277A"/>
    <w:rsid w:val="003B3A12"/>
    <w:rsid w:val="003B743D"/>
    <w:rsid w:val="003C11DC"/>
    <w:rsid w:val="003C1669"/>
    <w:rsid w:val="003C1987"/>
    <w:rsid w:val="003C1DE6"/>
    <w:rsid w:val="003C4728"/>
    <w:rsid w:val="003C707C"/>
    <w:rsid w:val="003D57D1"/>
    <w:rsid w:val="003D6793"/>
    <w:rsid w:val="003E011F"/>
    <w:rsid w:val="003E44D0"/>
    <w:rsid w:val="003E5DA6"/>
    <w:rsid w:val="003F6110"/>
    <w:rsid w:val="00400312"/>
    <w:rsid w:val="00403077"/>
    <w:rsid w:val="00407DB8"/>
    <w:rsid w:val="00410BCF"/>
    <w:rsid w:val="00420CAA"/>
    <w:rsid w:val="00426CB9"/>
    <w:rsid w:val="004310CB"/>
    <w:rsid w:val="00431441"/>
    <w:rsid w:val="004328C8"/>
    <w:rsid w:val="00433151"/>
    <w:rsid w:val="00436558"/>
    <w:rsid w:val="00437546"/>
    <w:rsid w:val="00437719"/>
    <w:rsid w:val="00437FA6"/>
    <w:rsid w:val="00443A8C"/>
    <w:rsid w:val="00443E3C"/>
    <w:rsid w:val="00445970"/>
    <w:rsid w:val="004466AE"/>
    <w:rsid w:val="004479BF"/>
    <w:rsid w:val="00447B69"/>
    <w:rsid w:val="004579C6"/>
    <w:rsid w:val="0047531E"/>
    <w:rsid w:val="00480C5A"/>
    <w:rsid w:val="00483B4D"/>
    <w:rsid w:val="00484A52"/>
    <w:rsid w:val="00484D00"/>
    <w:rsid w:val="00485264"/>
    <w:rsid w:val="004902EF"/>
    <w:rsid w:val="004904C2"/>
    <w:rsid w:val="004A5D9E"/>
    <w:rsid w:val="004B2FAA"/>
    <w:rsid w:val="004B4AFD"/>
    <w:rsid w:val="004B4E44"/>
    <w:rsid w:val="004C0F6A"/>
    <w:rsid w:val="004C1647"/>
    <w:rsid w:val="004C3AA9"/>
    <w:rsid w:val="004C4000"/>
    <w:rsid w:val="004C4BB7"/>
    <w:rsid w:val="004C5593"/>
    <w:rsid w:val="004E0D4A"/>
    <w:rsid w:val="004E284C"/>
    <w:rsid w:val="004E5759"/>
    <w:rsid w:val="004F5EA9"/>
    <w:rsid w:val="004F7E4F"/>
    <w:rsid w:val="00500BC9"/>
    <w:rsid w:val="00502ADC"/>
    <w:rsid w:val="00506D72"/>
    <w:rsid w:val="00513600"/>
    <w:rsid w:val="005168EB"/>
    <w:rsid w:val="0052599C"/>
    <w:rsid w:val="00533F4C"/>
    <w:rsid w:val="005439B7"/>
    <w:rsid w:val="0055198A"/>
    <w:rsid w:val="00552121"/>
    <w:rsid w:val="005724C2"/>
    <w:rsid w:val="00583E88"/>
    <w:rsid w:val="00584E42"/>
    <w:rsid w:val="005851EB"/>
    <w:rsid w:val="00585D96"/>
    <w:rsid w:val="005915ED"/>
    <w:rsid w:val="0059170F"/>
    <w:rsid w:val="005938BB"/>
    <w:rsid w:val="00597BFA"/>
    <w:rsid w:val="005B0EA6"/>
    <w:rsid w:val="005B1820"/>
    <w:rsid w:val="005B5700"/>
    <w:rsid w:val="005D1414"/>
    <w:rsid w:val="005D1E2A"/>
    <w:rsid w:val="005D41F5"/>
    <w:rsid w:val="005D717D"/>
    <w:rsid w:val="005E1E63"/>
    <w:rsid w:val="005E26DF"/>
    <w:rsid w:val="005E46B0"/>
    <w:rsid w:val="005E5074"/>
    <w:rsid w:val="005E6EF1"/>
    <w:rsid w:val="005E7F7B"/>
    <w:rsid w:val="005F4FD2"/>
    <w:rsid w:val="00600C1B"/>
    <w:rsid w:val="00610137"/>
    <w:rsid w:val="00612FFD"/>
    <w:rsid w:val="00616F75"/>
    <w:rsid w:val="006250D6"/>
    <w:rsid w:val="0063109F"/>
    <w:rsid w:val="00632897"/>
    <w:rsid w:val="006355F2"/>
    <w:rsid w:val="00636527"/>
    <w:rsid w:val="00636939"/>
    <w:rsid w:val="00647449"/>
    <w:rsid w:val="00650C8F"/>
    <w:rsid w:val="00656EB1"/>
    <w:rsid w:val="00663525"/>
    <w:rsid w:val="00667D51"/>
    <w:rsid w:val="0067357E"/>
    <w:rsid w:val="00676551"/>
    <w:rsid w:val="00676C0A"/>
    <w:rsid w:val="00683598"/>
    <w:rsid w:val="00687B39"/>
    <w:rsid w:val="00690C1A"/>
    <w:rsid w:val="00695554"/>
    <w:rsid w:val="006956BD"/>
    <w:rsid w:val="00696A1F"/>
    <w:rsid w:val="00697278"/>
    <w:rsid w:val="006A02ED"/>
    <w:rsid w:val="006A1401"/>
    <w:rsid w:val="006C6159"/>
    <w:rsid w:val="006D1847"/>
    <w:rsid w:val="006D4483"/>
    <w:rsid w:val="006E17B4"/>
    <w:rsid w:val="006E3E44"/>
    <w:rsid w:val="006E4ECD"/>
    <w:rsid w:val="006F25F7"/>
    <w:rsid w:val="006F601F"/>
    <w:rsid w:val="00701BB4"/>
    <w:rsid w:val="00702BDD"/>
    <w:rsid w:val="0070332B"/>
    <w:rsid w:val="00704760"/>
    <w:rsid w:val="00704C47"/>
    <w:rsid w:val="00715E06"/>
    <w:rsid w:val="00721F2A"/>
    <w:rsid w:val="00731A11"/>
    <w:rsid w:val="0073401E"/>
    <w:rsid w:val="007516D4"/>
    <w:rsid w:val="00752AFF"/>
    <w:rsid w:val="0076246A"/>
    <w:rsid w:val="00765FD4"/>
    <w:rsid w:val="0076764F"/>
    <w:rsid w:val="00776408"/>
    <w:rsid w:val="00784ED8"/>
    <w:rsid w:val="00792E33"/>
    <w:rsid w:val="007933E6"/>
    <w:rsid w:val="007940BC"/>
    <w:rsid w:val="00795CCB"/>
    <w:rsid w:val="00796448"/>
    <w:rsid w:val="007A3676"/>
    <w:rsid w:val="007B5168"/>
    <w:rsid w:val="007C3720"/>
    <w:rsid w:val="007D4A7A"/>
    <w:rsid w:val="007D7333"/>
    <w:rsid w:val="007D74EC"/>
    <w:rsid w:val="007E6EB6"/>
    <w:rsid w:val="007E7D7A"/>
    <w:rsid w:val="007F24BB"/>
    <w:rsid w:val="007F4051"/>
    <w:rsid w:val="0080358F"/>
    <w:rsid w:val="00806E62"/>
    <w:rsid w:val="00810148"/>
    <w:rsid w:val="008154A4"/>
    <w:rsid w:val="00815692"/>
    <w:rsid w:val="00816BE8"/>
    <w:rsid w:val="008204FF"/>
    <w:rsid w:val="008214B5"/>
    <w:rsid w:val="00827D4D"/>
    <w:rsid w:val="00833FED"/>
    <w:rsid w:val="008364FC"/>
    <w:rsid w:val="008377A7"/>
    <w:rsid w:val="00841DDF"/>
    <w:rsid w:val="00842CF1"/>
    <w:rsid w:val="00843B49"/>
    <w:rsid w:val="008440F0"/>
    <w:rsid w:val="008456AA"/>
    <w:rsid w:val="00863807"/>
    <w:rsid w:val="00864789"/>
    <w:rsid w:val="00867896"/>
    <w:rsid w:val="00870DC0"/>
    <w:rsid w:val="008730A4"/>
    <w:rsid w:val="0087377F"/>
    <w:rsid w:val="0087445D"/>
    <w:rsid w:val="00874DA8"/>
    <w:rsid w:val="00883A6D"/>
    <w:rsid w:val="0089258C"/>
    <w:rsid w:val="00895429"/>
    <w:rsid w:val="00895957"/>
    <w:rsid w:val="008A06F1"/>
    <w:rsid w:val="008A420F"/>
    <w:rsid w:val="008A654B"/>
    <w:rsid w:val="008B17D9"/>
    <w:rsid w:val="008B582F"/>
    <w:rsid w:val="008B65D2"/>
    <w:rsid w:val="008C3021"/>
    <w:rsid w:val="008C3142"/>
    <w:rsid w:val="008D106C"/>
    <w:rsid w:val="008D1A82"/>
    <w:rsid w:val="008E1550"/>
    <w:rsid w:val="008E1F60"/>
    <w:rsid w:val="008E5E3C"/>
    <w:rsid w:val="008F05F3"/>
    <w:rsid w:val="00902D7B"/>
    <w:rsid w:val="00910781"/>
    <w:rsid w:val="00916494"/>
    <w:rsid w:val="009170B2"/>
    <w:rsid w:val="009213EC"/>
    <w:rsid w:val="00923AC8"/>
    <w:rsid w:val="00930563"/>
    <w:rsid w:val="009322AF"/>
    <w:rsid w:val="00932D40"/>
    <w:rsid w:val="00934F51"/>
    <w:rsid w:val="0094376C"/>
    <w:rsid w:val="00943D92"/>
    <w:rsid w:val="00945392"/>
    <w:rsid w:val="0094543B"/>
    <w:rsid w:val="00945826"/>
    <w:rsid w:val="0095032C"/>
    <w:rsid w:val="00957FC0"/>
    <w:rsid w:val="00960AFF"/>
    <w:rsid w:val="00962D24"/>
    <w:rsid w:val="009634E9"/>
    <w:rsid w:val="00967136"/>
    <w:rsid w:val="00971A93"/>
    <w:rsid w:val="00973348"/>
    <w:rsid w:val="009737C3"/>
    <w:rsid w:val="009743B9"/>
    <w:rsid w:val="00974C63"/>
    <w:rsid w:val="00975617"/>
    <w:rsid w:val="00977167"/>
    <w:rsid w:val="0097740A"/>
    <w:rsid w:val="009775A4"/>
    <w:rsid w:val="00981EE4"/>
    <w:rsid w:val="009912B4"/>
    <w:rsid w:val="0099242E"/>
    <w:rsid w:val="00992AC7"/>
    <w:rsid w:val="00992DB4"/>
    <w:rsid w:val="009A1366"/>
    <w:rsid w:val="009A4CF9"/>
    <w:rsid w:val="009A5AB0"/>
    <w:rsid w:val="009A6436"/>
    <w:rsid w:val="009A6A88"/>
    <w:rsid w:val="009B1996"/>
    <w:rsid w:val="009C26C7"/>
    <w:rsid w:val="009C70B2"/>
    <w:rsid w:val="009D7ED9"/>
    <w:rsid w:val="009E002A"/>
    <w:rsid w:val="009E039D"/>
    <w:rsid w:val="009E1B3C"/>
    <w:rsid w:val="009F0981"/>
    <w:rsid w:val="009F12DE"/>
    <w:rsid w:val="009F4F3C"/>
    <w:rsid w:val="00A02AD0"/>
    <w:rsid w:val="00A02FAD"/>
    <w:rsid w:val="00A13599"/>
    <w:rsid w:val="00A16ADD"/>
    <w:rsid w:val="00A22E3B"/>
    <w:rsid w:val="00A36822"/>
    <w:rsid w:val="00A41799"/>
    <w:rsid w:val="00A5577E"/>
    <w:rsid w:val="00A560E9"/>
    <w:rsid w:val="00A56431"/>
    <w:rsid w:val="00A60F70"/>
    <w:rsid w:val="00A617DD"/>
    <w:rsid w:val="00A627D0"/>
    <w:rsid w:val="00A649BE"/>
    <w:rsid w:val="00A71BD7"/>
    <w:rsid w:val="00A8463F"/>
    <w:rsid w:val="00A904BD"/>
    <w:rsid w:val="00A96F7B"/>
    <w:rsid w:val="00A97AEF"/>
    <w:rsid w:val="00AA70E5"/>
    <w:rsid w:val="00AA748F"/>
    <w:rsid w:val="00AB0594"/>
    <w:rsid w:val="00AB0CA5"/>
    <w:rsid w:val="00AC246D"/>
    <w:rsid w:val="00AC3CE4"/>
    <w:rsid w:val="00AC4216"/>
    <w:rsid w:val="00AC51B7"/>
    <w:rsid w:val="00AC60AD"/>
    <w:rsid w:val="00AC6743"/>
    <w:rsid w:val="00AC6BCC"/>
    <w:rsid w:val="00AD2CDB"/>
    <w:rsid w:val="00AD4237"/>
    <w:rsid w:val="00AD5A10"/>
    <w:rsid w:val="00AE16E6"/>
    <w:rsid w:val="00AE19BF"/>
    <w:rsid w:val="00AE291F"/>
    <w:rsid w:val="00AF4466"/>
    <w:rsid w:val="00AF5374"/>
    <w:rsid w:val="00AF5A67"/>
    <w:rsid w:val="00B03E68"/>
    <w:rsid w:val="00B11C81"/>
    <w:rsid w:val="00B14808"/>
    <w:rsid w:val="00B1606E"/>
    <w:rsid w:val="00B2774F"/>
    <w:rsid w:val="00B31FDE"/>
    <w:rsid w:val="00B33EAB"/>
    <w:rsid w:val="00B33ECB"/>
    <w:rsid w:val="00B349AD"/>
    <w:rsid w:val="00B37BD3"/>
    <w:rsid w:val="00B40755"/>
    <w:rsid w:val="00B414E3"/>
    <w:rsid w:val="00B507F3"/>
    <w:rsid w:val="00B51AB7"/>
    <w:rsid w:val="00B5624F"/>
    <w:rsid w:val="00B60E74"/>
    <w:rsid w:val="00B649FC"/>
    <w:rsid w:val="00B6669A"/>
    <w:rsid w:val="00B669D1"/>
    <w:rsid w:val="00B66EE2"/>
    <w:rsid w:val="00B67B59"/>
    <w:rsid w:val="00B70023"/>
    <w:rsid w:val="00B710F3"/>
    <w:rsid w:val="00B741F5"/>
    <w:rsid w:val="00B742FF"/>
    <w:rsid w:val="00B8168A"/>
    <w:rsid w:val="00B849AC"/>
    <w:rsid w:val="00B8600F"/>
    <w:rsid w:val="00B86530"/>
    <w:rsid w:val="00B86A50"/>
    <w:rsid w:val="00B90D2D"/>
    <w:rsid w:val="00B91154"/>
    <w:rsid w:val="00B916AF"/>
    <w:rsid w:val="00B968A1"/>
    <w:rsid w:val="00BB0312"/>
    <w:rsid w:val="00BB1762"/>
    <w:rsid w:val="00BB234C"/>
    <w:rsid w:val="00BB2E74"/>
    <w:rsid w:val="00BC0973"/>
    <w:rsid w:val="00BC0DAB"/>
    <w:rsid w:val="00BC7BAD"/>
    <w:rsid w:val="00BD02B2"/>
    <w:rsid w:val="00BD0A48"/>
    <w:rsid w:val="00BD29A0"/>
    <w:rsid w:val="00BE283B"/>
    <w:rsid w:val="00BE59EB"/>
    <w:rsid w:val="00BE6219"/>
    <w:rsid w:val="00BE6D21"/>
    <w:rsid w:val="00BE6E30"/>
    <w:rsid w:val="00BF5236"/>
    <w:rsid w:val="00C04AE6"/>
    <w:rsid w:val="00C106B6"/>
    <w:rsid w:val="00C15BEC"/>
    <w:rsid w:val="00C23A5D"/>
    <w:rsid w:val="00C23B43"/>
    <w:rsid w:val="00C24052"/>
    <w:rsid w:val="00C26A9C"/>
    <w:rsid w:val="00C31013"/>
    <w:rsid w:val="00C354BF"/>
    <w:rsid w:val="00C35FF2"/>
    <w:rsid w:val="00C36201"/>
    <w:rsid w:val="00C3720E"/>
    <w:rsid w:val="00C44BF5"/>
    <w:rsid w:val="00C46918"/>
    <w:rsid w:val="00C52559"/>
    <w:rsid w:val="00C55D8F"/>
    <w:rsid w:val="00C61C6E"/>
    <w:rsid w:val="00C62CF6"/>
    <w:rsid w:val="00C63C5E"/>
    <w:rsid w:val="00C6472D"/>
    <w:rsid w:val="00C70B9F"/>
    <w:rsid w:val="00C728EB"/>
    <w:rsid w:val="00C73683"/>
    <w:rsid w:val="00C81249"/>
    <w:rsid w:val="00C93AA4"/>
    <w:rsid w:val="00C94308"/>
    <w:rsid w:val="00CA2102"/>
    <w:rsid w:val="00CA4945"/>
    <w:rsid w:val="00CA4E79"/>
    <w:rsid w:val="00CA5ADC"/>
    <w:rsid w:val="00CA60CB"/>
    <w:rsid w:val="00CA62EE"/>
    <w:rsid w:val="00CB0966"/>
    <w:rsid w:val="00CB465B"/>
    <w:rsid w:val="00CB64D3"/>
    <w:rsid w:val="00CB7E8B"/>
    <w:rsid w:val="00CD31A6"/>
    <w:rsid w:val="00CE2404"/>
    <w:rsid w:val="00CE3324"/>
    <w:rsid w:val="00CF037F"/>
    <w:rsid w:val="00CF22A5"/>
    <w:rsid w:val="00CF4322"/>
    <w:rsid w:val="00CF448A"/>
    <w:rsid w:val="00CF4A36"/>
    <w:rsid w:val="00D008C9"/>
    <w:rsid w:val="00D06C9D"/>
    <w:rsid w:val="00D07958"/>
    <w:rsid w:val="00D12CEA"/>
    <w:rsid w:val="00D1365A"/>
    <w:rsid w:val="00D15B0E"/>
    <w:rsid w:val="00D17EEC"/>
    <w:rsid w:val="00D228CB"/>
    <w:rsid w:val="00D23ECE"/>
    <w:rsid w:val="00D2742D"/>
    <w:rsid w:val="00D368FA"/>
    <w:rsid w:val="00D37812"/>
    <w:rsid w:val="00D41281"/>
    <w:rsid w:val="00D42B40"/>
    <w:rsid w:val="00D5050F"/>
    <w:rsid w:val="00D50A9C"/>
    <w:rsid w:val="00D50F40"/>
    <w:rsid w:val="00D50F85"/>
    <w:rsid w:val="00D52683"/>
    <w:rsid w:val="00D538FA"/>
    <w:rsid w:val="00D5466A"/>
    <w:rsid w:val="00D5688F"/>
    <w:rsid w:val="00D660C9"/>
    <w:rsid w:val="00D73F62"/>
    <w:rsid w:val="00D744AE"/>
    <w:rsid w:val="00D77873"/>
    <w:rsid w:val="00D77918"/>
    <w:rsid w:val="00D80B45"/>
    <w:rsid w:val="00D903DC"/>
    <w:rsid w:val="00D907BB"/>
    <w:rsid w:val="00D92EE9"/>
    <w:rsid w:val="00D9665F"/>
    <w:rsid w:val="00DA0E24"/>
    <w:rsid w:val="00DA374B"/>
    <w:rsid w:val="00DA77E2"/>
    <w:rsid w:val="00DB21FB"/>
    <w:rsid w:val="00DC13CB"/>
    <w:rsid w:val="00DC3EFC"/>
    <w:rsid w:val="00DC554F"/>
    <w:rsid w:val="00DC72B5"/>
    <w:rsid w:val="00DC7D3A"/>
    <w:rsid w:val="00DD23CD"/>
    <w:rsid w:val="00DD3C5C"/>
    <w:rsid w:val="00DD6135"/>
    <w:rsid w:val="00DE120E"/>
    <w:rsid w:val="00DE64DF"/>
    <w:rsid w:val="00DF096B"/>
    <w:rsid w:val="00DF4857"/>
    <w:rsid w:val="00E00C03"/>
    <w:rsid w:val="00E06862"/>
    <w:rsid w:val="00E12060"/>
    <w:rsid w:val="00E21235"/>
    <w:rsid w:val="00E21B01"/>
    <w:rsid w:val="00E240DA"/>
    <w:rsid w:val="00E30E5B"/>
    <w:rsid w:val="00E3303B"/>
    <w:rsid w:val="00E42BCE"/>
    <w:rsid w:val="00E47A14"/>
    <w:rsid w:val="00E47B93"/>
    <w:rsid w:val="00E537B9"/>
    <w:rsid w:val="00E61D70"/>
    <w:rsid w:val="00E6284A"/>
    <w:rsid w:val="00E632FE"/>
    <w:rsid w:val="00E6400F"/>
    <w:rsid w:val="00E74FC0"/>
    <w:rsid w:val="00E76F3F"/>
    <w:rsid w:val="00E77BB4"/>
    <w:rsid w:val="00E829C2"/>
    <w:rsid w:val="00E83786"/>
    <w:rsid w:val="00E8442D"/>
    <w:rsid w:val="00E859EF"/>
    <w:rsid w:val="00E9438A"/>
    <w:rsid w:val="00E94A5D"/>
    <w:rsid w:val="00EA0D68"/>
    <w:rsid w:val="00EA39FA"/>
    <w:rsid w:val="00EA66D2"/>
    <w:rsid w:val="00EA6E50"/>
    <w:rsid w:val="00EB6386"/>
    <w:rsid w:val="00EB7405"/>
    <w:rsid w:val="00EC0E03"/>
    <w:rsid w:val="00EC4E40"/>
    <w:rsid w:val="00EC6B70"/>
    <w:rsid w:val="00EC7BCE"/>
    <w:rsid w:val="00ED1E83"/>
    <w:rsid w:val="00EE05DD"/>
    <w:rsid w:val="00EE2F5D"/>
    <w:rsid w:val="00EE4737"/>
    <w:rsid w:val="00EE6A59"/>
    <w:rsid w:val="00EF2DFC"/>
    <w:rsid w:val="00EF5B52"/>
    <w:rsid w:val="00F0068B"/>
    <w:rsid w:val="00F034E8"/>
    <w:rsid w:val="00F11678"/>
    <w:rsid w:val="00F15CC1"/>
    <w:rsid w:val="00F16B5F"/>
    <w:rsid w:val="00F171DD"/>
    <w:rsid w:val="00F17600"/>
    <w:rsid w:val="00F25295"/>
    <w:rsid w:val="00F32726"/>
    <w:rsid w:val="00F3326C"/>
    <w:rsid w:val="00F34DFC"/>
    <w:rsid w:val="00F352EC"/>
    <w:rsid w:val="00F40E53"/>
    <w:rsid w:val="00F42A54"/>
    <w:rsid w:val="00F500AD"/>
    <w:rsid w:val="00F555B5"/>
    <w:rsid w:val="00F563FB"/>
    <w:rsid w:val="00F572D8"/>
    <w:rsid w:val="00F64489"/>
    <w:rsid w:val="00F64FE8"/>
    <w:rsid w:val="00F72A49"/>
    <w:rsid w:val="00F74BA8"/>
    <w:rsid w:val="00F84029"/>
    <w:rsid w:val="00F87A74"/>
    <w:rsid w:val="00F91BC1"/>
    <w:rsid w:val="00F94736"/>
    <w:rsid w:val="00F97DF9"/>
    <w:rsid w:val="00FB309C"/>
    <w:rsid w:val="00FB58D8"/>
    <w:rsid w:val="00FB76DB"/>
    <w:rsid w:val="00FC0C5A"/>
    <w:rsid w:val="00FC19D8"/>
    <w:rsid w:val="00FC44FE"/>
    <w:rsid w:val="00FC656E"/>
    <w:rsid w:val="00FD5CED"/>
    <w:rsid w:val="00FE16E3"/>
    <w:rsid w:val="00FE3211"/>
    <w:rsid w:val="00FE380C"/>
    <w:rsid w:val="00FE402E"/>
    <w:rsid w:val="00FE4528"/>
    <w:rsid w:val="00FE458A"/>
    <w:rsid w:val="00FE6376"/>
    <w:rsid w:val="00FF06FA"/>
    <w:rsid w:val="00FF1DAC"/>
    <w:rsid w:val="013B4944"/>
    <w:rsid w:val="021F7DC1"/>
    <w:rsid w:val="0270061D"/>
    <w:rsid w:val="02932CE3"/>
    <w:rsid w:val="02C85CF8"/>
    <w:rsid w:val="02E53D83"/>
    <w:rsid w:val="036208AE"/>
    <w:rsid w:val="03DE35EF"/>
    <w:rsid w:val="045E55E2"/>
    <w:rsid w:val="04763EE5"/>
    <w:rsid w:val="056061E5"/>
    <w:rsid w:val="05FD666C"/>
    <w:rsid w:val="067601CC"/>
    <w:rsid w:val="06FD269B"/>
    <w:rsid w:val="07B0770E"/>
    <w:rsid w:val="08031F33"/>
    <w:rsid w:val="08892439"/>
    <w:rsid w:val="0A40121D"/>
    <w:rsid w:val="0AA31BE7"/>
    <w:rsid w:val="0B7A075E"/>
    <w:rsid w:val="0B8D0492"/>
    <w:rsid w:val="0BD53BE7"/>
    <w:rsid w:val="0BFC5617"/>
    <w:rsid w:val="0C344DB1"/>
    <w:rsid w:val="0D7D0092"/>
    <w:rsid w:val="0DD762CB"/>
    <w:rsid w:val="0E883192"/>
    <w:rsid w:val="0EA004DC"/>
    <w:rsid w:val="0EB21FBD"/>
    <w:rsid w:val="0F9022FF"/>
    <w:rsid w:val="10857989"/>
    <w:rsid w:val="12F9465F"/>
    <w:rsid w:val="12FC2887"/>
    <w:rsid w:val="13623FB2"/>
    <w:rsid w:val="13F6294C"/>
    <w:rsid w:val="15737CA5"/>
    <w:rsid w:val="159D39C7"/>
    <w:rsid w:val="15D8055B"/>
    <w:rsid w:val="165A3666"/>
    <w:rsid w:val="16B03286"/>
    <w:rsid w:val="16B713C6"/>
    <w:rsid w:val="16D231FD"/>
    <w:rsid w:val="16DA0303"/>
    <w:rsid w:val="171F21BA"/>
    <w:rsid w:val="174A5489"/>
    <w:rsid w:val="1772678E"/>
    <w:rsid w:val="178C784F"/>
    <w:rsid w:val="18893D8F"/>
    <w:rsid w:val="18D25736"/>
    <w:rsid w:val="18E13BCB"/>
    <w:rsid w:val="18EB67F8"/>
    <w:rsid w:val="18F25DD8"/>
    <w:rsid w:val="18F4130C"/>
    <w:rsid w:val="19687E48"/>
    <w:rsid w:val="1A75281D"/>
    <w:rsid w:val="1AC437A4"/>
    <w:rsid w:val="1AF000F5"/>
    <w:rsid w:val="1BA3160C"/>
    <w:rsid w:val="1BFB1448"/>
    <w:rsid w:val="1C2A7637"/>
    <w:rsid w:val="1CAC44F0"/>
    <w:rsid w:val="1D7414B2"/>
    <w:rsid w:val="1DD43CFE"/>
    <w:rsid w:val="1DDE692B"/>
    <w:rsid w:val="1E0D0FBE"/>
    <w:rsid w:val="1EF67CA4"/>
    <w:rsid w:val="1F3233D2"/>
    <w:rsid w:val="1F6317DE"/>
    <w:rsid w:val="1FCD4EA9"/>
    <w:rsid w:val="1FD224BF"/>
    <w:rsid w:val="21483265"/>
    <w:rsid w:val="21F20BF7"/>
    <w:rsid w:val="21F66939"/>
    <w:rsid w:val="22A55C69"/>
    <w:rsid w:val="22BB548D"/>
    <w:rsid w:val="236C6787"/>
    <w:rsid w:val="23DD1433"/>
    <w:rsid w:val="2479115B"/>
    <w:rsid w:val="253B473C"/>
    <w:rsid w:val="25520519"/>
    <w:rsid w:val="259D0E7A"/>
    <w:rsid w:val="25C603D0"/>
    <w:rsid w:val="263317DE"/>
    <w:rsid w:val="2694099E"/>
    <w:rsid w:val="26DF1F53"/>
    <w:rsid w:val="26EC0E6B"/>
    <w:rsid w:val="26FB22FC"/>
    <w:rsid w:val="274A5031"/>
    <w:rsid w:val="283F446A"/>
    <w:rsid w:val="28537F15"/>
    <w:rsid w:val="287C121A"/>
    <w:rsid w:val="28E868B0"/>
    <w:rsid w:val="29094D4C"/>
    <w:rsid w:val="29455AB0"/>
    <w:rsid w:val="2973261D"/>
    <w:rsid w:val="2A8820F8"/>
    <w:rsid w:val="2ADE61BC"/>
    <w:rsid w:val="2B2B15E0"/>
    <w:rsid w:val="2B6761B2"/>
    <w:rsid w:val="2B6D7540"/>
    <w:rsid w:val="2B870602"/>
    <w:rsid w:val="2C1D2D14"/>
    <w:rsid w:val="2C7E2881"/>
    <w:rsid w:val="2CEF46B1"/>
    <w:rsid w:val="2D3E2F42"/>
    <w:rsid w:val="2D4542D1"/>
    <w:rsid w:val="2DE41D3C"/>
    <w:rsid w:val="2EB37960"/>
    <w:rsid w:val="2F51365C"/>
    <w:rsid w:val="302F1268"/>
    <w:rsid w:val="318555E4"/>
    <w:rsid w:val="31B00187"/>
    <w:rsid w:val="31D2634F"/>
    <w:rsid w:val="32384404"/>
    <w:rsid w:val="3253123E"/>
    <w:rsid w:val="326E06BF"/>
    <w:rsid w:val="32D00AE0"/>
    <w:rsid w:val="330C763F"/>
    <w:rsid w:val="33BA52ED"/>
    <w:rsid w:val="34367069"/>
    <w:rsid w:val="356E45E1"/>
    <w:rsid w:val="35C91CF6"/>
    <w:rsid w:val="366D6646"/>
    <w:rsid w:val="36A52284"/>
    <w:rsid w:val="377203B8"/>
    <w:rsid w:val="37893954"/>
    <w:rsid w:val="38685317"/>
    <w:rsid w:val="3870241E"/>
    <w:rsid w:val="391E1E7A"/>
    <w:rsid w:val="39447B32"/>
    <w:rsid w:val="394C6378"/>
    <w:rsid w:val="39707FF3"/>
    <w:rsid w:val="39E43211"/>
    <w:rsid w:val="3A23599A"/>
    <w:rsid w:val="3C187054"/>
    <w:rsid w:val="3C3A6FCB"/>
    <w:rsid w:val="3C881010"/>
    <w:rsid w:val="3CF87894"/>
    <w:rsid w:val="3D3A1978"/>
    <w:rsid w:val="3DCE3E6E"/>
    <w:rsid w:val="3DF17B5D"/>
    <w:rsid w:val="3DFD4754"/>
    <w:rsid w:val="3E7F33BB"/>
    <w:rsid w:val="3F56160C"/>
    <w:rsid w:val="3F7E3672"/>
    <w:rsid w:val="3FAC01DF"/>
    <w:rsid w:val="401A783F"/>
    <w:rsid w:val="41032081"/>
    <w:rsid w:val="416B677A"/>
    <w:rsid w:val="41E2613A"/>
    <w:rsid w:val="42426BD9"/>
    <w:rsid w:val="42725710"/>
    <w:rsid w:val="43081BD1"/>
    <w:rsid w:val="436A4639"/>
    <w:rsid w:val="463A4797"/>
    <w:rsid w:val="465A0995"/>
    <w:rsid w:val="4689127A"/>
    <w:rsid w:val="469D4D26"/>
    <w:rsid w:val="46DD15C6"/>
    <w:rsid w:val="46FE3A16"/>
    <w:rsid w:val="470152B5"/>
    <w:rsid w:val="47226FD9"/>
    <w:rsid w:val="47431429"/>
    <w:rsid w:val="476B0980"/>
    <w:rsid w:val="481B23A6"/>
    <w:rsid w:val="4B517E8D"/>
    <w:rsid w:val="4BA83F51"/>
    <w:rsid w:val="4BD55E03"/>
    <w:rsid w:val="4C911CAD"/>
    <w:rsid w:val="4D7F6F33"/>
    <w:rsid w:val="4DB0533F"/>
    <w:rsid w:val="4DC82688"/>
    <w:rsid w:val="4EBD51C5"/>
    <w:rsid w:val="4F5D32A4"/>
    <w:rsid w:val="4F840831"/>
    <w:rsid w:val="4F876573"/>
    <w:rsid w:val="4FF77255"/>
    <w:rsid w:val="50770396"/>
    <w:rsid w:val="51BD44CE"/>
    <w:rsid w:val="51FD2B1C"/>
    <w:rsid w:val="5253098E"/>
    <w:rsid w:val="527E5A0B"/>
    <w:rsid w:val="52B16D04"/>
    <w:rsid w:val="531A4EF2"/>
    <w:rsid w:val="53437A58"/>
    <w:rsid w:val="536A41E2"/>
    <w:rsid w:val="53964FD7"/>
    <w:rsid w:val="542425E2"/>
    <w:rsid w:val="545E3D46"/>
    <w:rsid w:val="54E35FFA"/>
    <w:rsid w:val="55C53951"/>
    <w:rsid w:val="55CF657E"/>
    <w:rsid w:val="55D02A22"/>
    <w:rsid w:val="567A4F69"/>
    <w:rsid w:val="56927CD7"/>
    <w:rsid w:val="572648C3"/>
    <w:rsid w:val="57A3000D"/>
    <w:rsid w:val="58093FC9"/>
    <w:rsid w:val="58112E7E"/>
    <w:rsid w:val="591C4EE5"/>
    <w:rsid w:val="59E85E60"/>
    <w:rsid w:val="5A0C5FF2"/>
    <w:rsid w:val="5A6A4AC7"/>
    <w:rsid w:val="5A731BCE"/>
    <w:rsid w:val="5AF96577"/>
    <w:rsid w:val="5BD91F04"/>
    <w:rsid w:val="5BF64864"/>
    <w:rsid w:val="5C337866"/>
    <w:rsid w:val="5CF05758"/>
    <w:rsid w:val="5D8B5480"/>
    <w:rsid w:val="5EB97DCB"/>
    <w:rsid w:val="5F657910"/>
    <w:rsid w:val="5FA8108B"/>
    <w:rsid w:val="5FCD7FD2"/>
    <w:rsid w:val="604A1623"/>
    <w:rsid w:val="605129B1"/>
    <w:rsid w:val="60AC5E39"/>
    <w:rsid w:val="60FF065F"/>
    <w:rsid w:val="615F10FE"/>
    <w:rsid w:val="616E1341"/>
    <w:rsid w:val="6189617B"/>
    <w:rsid w:val="61E433B1"/>
    <w:rsid w:val="623E6288"/>
    <w:rsid w:val="62500A46"/>
    <w:rsid w:val="628F156F"/>
    <w:rsid w:val="637A5D7B"/>
    <w:rsid w:val="63FA6EBC"/>
    <w:rsid w:val="64281C7B"/>
    <w:rsid w:val="656A1E1F"/>
    <w:rsid w:val="65A74E21"/>
    <w:rsid w:val="6635242D"/>
    <w:rsid w:val="66DE4873"/>
    <w:rsid w:val="681F061D"/>
    <w:rsid w:val="68633281"/>
    <w:rsid w:val="68DE2F22"/>
    <w:rsid w:val="69EB27D8"/>
    <w:rsid w:val="6A3F1ACC"/>
    <w:rsid w:val="6BBE4C73"/>
    <w:rsid w:val="6BF15048"/>
    <w:rsid w:val="6C007039"/>
    <w:rsid w:val="6C8E2897"/>
    <w:rsid w:val="6CDF30F3"/>
    <w:rsid w:val="6D002A36"/>
    <w:rsid w:val="6D800432"/>
    <w:rsid w:val="6DA700B4"/>
    <w:rsid w:val="6DD662A4"/>
    <w:rsid w:val="6E0C6169"/>
    <w:rsid w:val="6EDA0016"/>
    <w:rsid w:val="6EE40E94"/>
    <w:rsid w:val="6F9B7998"/>
    <w:rsid w:val="6FFE5F86"/>
    <w:rsid w:val="7019691C"/>
    <w:rsid w:val="716D5171"/>
    <w:rsid w:val="71D30AFF"/>
    <w:rsid w:val="71F17B50"/>
    <w:rsid w:val="74624D35"/>
    <w:rsid w:val="74730CF0"/>
    <w:rsid w:val="747C53AA"/>
    <w:rsid w:val="74C973C0"/>
    <w:rsid w:val="74F11C15"/>
    <w:rsid w:val="75045DEC"/>
    <w:rsid w:val="750758DC"/>
    <w:rsid w:val="753F6E24"/>
    <w:rsid w:val="755D72AA"/>
    <w:rsid w:val="755F1275"/>
    <w:rsid w:val="75932CCC"/>
    <w:rsid w:val="75AD3D8E"/>
    <w:rsid w:val="75C15A8B"/>
    <w:rsid w:val="7662726E"/>
    <w:rsid w:val="7746449A"/>
    <w:rsid w:val="779571D0"/>
    <w:rsid w:val="77AD4519"/>
    <w:rsid w:val="7A94551C"/>
    <w:rsid w:val="7AA35350"/>
    <w:rsid w:val="7AA65250"/>
    <w:rsid w:val="7B476A33"/>
    <w:rsid w:val="7B672C31"/>
    <w:rsid w:val="7B7D4202"/>
    <w:rsid w:val="7C29438A"/>
    <w:rsid w:val="7C5807CC"/>
    <w:rsid w:val="7C910E4E"/>
    <w:rsid w:val="7CCD11BA"/>
    <w:rsid w:val="7D3A2273"/>
    <w:rsid w:val="7D7E4262"/>
    <w:rsid w:val="7D87697E"/>
    <w:rsid w:val="7DB06B11"/>
    <w:rsid w:val="7DD32800"/>
    <w:rsid w:val="7E6671D0"/>
    <w:rsid w:val="7F10538E"/>
    <w:rsid w:val="7F3E014D"/>
    <w:rsid w:val="7F84007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60" w:lineRule="auto"/>
      <w:ind w:firstLine="200" w:firstLineChars="200"/>
      <w:jc w:val="both"/>
    </w:pPr>
    <w:rPr>
      <w:rFonts w:ascii="Times New Roman" w:hAnsi="Times New Roman" w:eastAsia="宋体" w:cs="Times New Roman"/>
      <w:sz w:val="21"/>
      <w:szCs w:val="22"/>
      <w:lang w:val="en-US" w:eastAsia="zh-CN" w:bidi="ar-SA"/>
    </w:rPr>
  </w:style>
  <w:style w:type="paragraph" w:styleId="2">
    <w:name w:val="heading 1"/>
    <w:basedOn w:val="1"/>
    <w:next w:val="1"/>
    <w:link w:val="16"/>
    <w:qFormat/>
    <w:uiPriority w:val="0"/>
    <w:pPr>
      <w:keepNext/>
      <w:keepLines/>
      <w:spacing w:before="100" w:beforeLines="100" w:after="100" w:afterLines="100" w:line="240" w:lineRule="auto"/>
      <w:ind w:firstLine="0" w:firstLineChars="0"/>
      <w:jc w:val="left"/>
      <w:outlineLvl w:val="0"/>
    </w:pPr>
    <w:rPr>
      <w:rFonts w:ascii="黑体" w:hAnsi="黑体" w:eastAsia="黑体"/>
      <w:bCs/>
      <w:kern w:val="44"/>
      <w:szCs w:val="44"/>
    </w:rPr>
  </w:style>
  <w:style w:type="paragraph" w:styleId="3">
    <w:name w:val="heading 2"/>
    <w:basedOn w:val="1"/>
    <w:next w:val="1"/>
    <w:link w:val="18"/>
    <w:unhideWhenUsed/>
    <w:qFormat/>
    <w:uiPriority w:val="0"/>
    <w:pPr>
      <w:keepNext/>
      <w:keepLines/>
      <w:spacing w:line="240" w:lineRule="auto"/>
      <w:ind w:firstLine="0" w:firstLineChars="0"/>
      <w:jc w:val="left"/>
      <w:outlineLvl w:val="1"/>
    </w:pPr>
    <w:rPr>
      <w:rFonts w:ascii="黑体" w:hAnsi="黑体" w:eastAsia="黑体" w:cstheme="majorBidi"/>
      <w:bCs/>
      <w:szCs w:val="32"/>
    </w:rPr>
  </w:style>
  <w:style w:type="paragraph" w:styleId="4">
    <w:name w:val="heading 3"/>
    <w:basedOn w:val="1"/>
    <w:next w:val="1"/>
    <w:link w:val="19"/>
    <w:unhideWhenUsed/>
    <w:qFormat/>
    <w:uiPriority w:val="0"/>
    <w:pPr>
      <w:keepNext/>
      <w:keepLines/>
      <w:spacing w:line="240" w:lineRule="auto"/>
      <w:ind w:firstLine="0" w:firstLineChars="0"/>
      <w:jc w:val="left"/>
      <w:outlineLvl w:val="2"/>
    </w:pPr>
    <w:rPr>
      <w:rFonts w:ascii="黑体" w:hAnsi="黑体" w:eastAsia="黑体"/>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1"/>
    <w:pPr>
      <w:spacing w:after="0" w:afterLines="0" w:line="240" w:lineRule="auto"/>
      <w:ind w:firstLine="0" w:firstLineChars="0"/>
      <w:jc w:val="left"/>
    </w:pPr>
    <w:rPr>
      <w:szCs w:val="21"/>
      <w:lang w:eastAsia="en-US"/>
    </w:rPr>
  </w:style>
  <w:style w:type="paragraph" w:styleId="6">
    <w:name w:val="toc 3"/>
    <w:basedOn w:val="1"/>
    <w:next w:val="1"/>
    <w:autoRedefine/>
    <w:qFormat/>
    <w:uiPriority w:val="39"/>
    <w:pPr>
      <w:ind w:left="840" w:leftChars="400"/>
    </w:pPr>
  </w:style>
  <w:style w:type="paragraph" w:styleId="7">
    <w:name w:val="footer"/>
    <w:basedOn w:val="1"/>
    <w:link w:val="25"/>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pPr>
      <w:tabs>
        <w:tab w:val="right" w:leader="dot" w:pos="9345"/>
      </w:tabs>
      <w:spacing w:after="156"/>
      <w:ind w:firstLine="420"/>
      <w:jc w:val="left"/>
    </w:pPr>
  </w:style>
  <w:style w:type="paragraph" w:styleId="10">
    <w:name w:val="toc 2"/>
    <w:basedOn w:val="1"/>
    <w:next w:val="1"/>
    <w:autoRedefine/>
    <w:uiPriority w:val="39"/>
    <w:pPr>
      <w:ind w:left="420" w:leftChars="200"/>
    </w:pPr>
  </w:style>
  <w:style w:type="paragraph" w:styleId="11">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rPr>
  </w:style>
  <w:style w:type="character" w:customStyle="1" w:styleId="16">
    <w:name w:val="标题 1 字符"/>
    <w:basedOn w:val="14"/>
    <w:link w:val="2"/>
    <w:qFormat/>
    <w:uiPriority w:val="0"/>
    <w:rPr>
      <w:rFonts w:ascii="黑体" w:hAnsi="黑体" w:eastAsia="黑体"/>
      <w:bCs/>
      <w:kern w:val="44"/>
      <w:sz w:val="21"/>
      <w:szCs w:val="44"/>
    </w:rPr>
  </w:style>
  <w:style w:type="character" w:customStyle="1" w:styleId="17">
    <w:name w:val="标题 字符"/>
    <w:basedOn w:val="14"/>
    <w:link w:val="11"/>
    <w:qFormat/>
    <w:uiPriority w:val="0"/>
    <w:rPr>
      <w:rFonts w:asciiTheme="majorHAnsi" w:hAnsiTheme="majorHAnsi" w:eastAsiaTheme="majorEastAsia" w:cstheme="majorBidi"/>
      <w:b/>
      <w:bCs/>
      <w:sz w:val="32"/>
      <w:szCs w:val="32"/>
    </w:rPr>
  </w:style>
  <w:style w:type="character" w:customStyle="1" w:styleId="18">
    <w:name w:val="标题 2 字符"/>
    <w:basedOn w:val="14"/>
    <w:link w:val="3"/>
    <w:qFormat/>
    <w:uiPriority w:val="0"/>
    <w:rPr>
      <w:rFonts w:ascii="黑体" w:hAnsi="黑体" w:eastAsia="黑体" w:cstheme="majorBidi"/>
      <w:bCs/>
      <w:sz w:val="21"/>
      <w:szCs w:val="32"/>
    </w:rPr>
  </w:style>
  <w:style w:type="character" w:customStyle="1" w:styleId="19">
    <w:name w:val="标题 3 字符"/>
    <w:basedOn w:val="14"/>
    <w:link w:val="4"/>
    <w:qFormat/>
    <w:uiPriority w:val="0"/>
    <w:rPr>
      <w:rFonts w:ascii="黑体" w:hAnsi="黑体" w:eastAsia="黑体"/>
      <w:bCs/>
      <w:sz w:val="21"/>
      <w:szCs w:val="32"/>
    </w:rPr>
  </w:style>
  <w:style w:type="character" w:customStyle="1" w:styleId="20">
    <w:name w:val="正文文本 字符"/>
    <w:basedOn w:val="14"/>
    <w:qFormat/>
    <w:uiPriority w:val="0"/>
    <w:rPr>
      <w:sz w:val="21"/>
      <w:szCs w:val="22"/>
    </w:rPr>
  </w:style>
  <w:style w:type="character" w:customStyle="1" w:styleId="21">
    <w:name w:val="正文文本 字符1"/>
    <w:link w:val="5"/>
    <w:qFormat/>
    <w:uiPriority w:val="1"/>
    <w:rPr>
      <w:sz w:val="21"/>
      <w:szCs w:val="21"/>
      <w:lang w:eastAsia="en-US"/>
    </w:rPr>
  </w:style>
  <w:style w:type="paragraph" w:customStyle="1" w:styleId="22">
    <w:name w:val="MTDisplayEquation"/>
    <w:basedOn w:val="1"/>
    <w:link w:val="23"/>
    <w:uiPriority w:val="0"/>
    <w:pPr>
      <w:tabs>
        <w:tab w:val="center" w:pos="4160"/>
        <w:tab w:val="right" w:pos="8300"/>
      </w:tabs>
      <w:spacing w:after="0" w:afterLines="0"/>
      <w:ind w:firstLine="0" w:firstLineChars="0"/>
    </w:pPr>
    <w:rPr>
      <w:rFonts w:eastAsia="仿宋"/>
      <w:kern w:val="2"/>
      <w:sz w:val="24"/>
    </w:rPr>
  </w:style>
  <w:style w:type="character" w:customStyle="1" w:styleId="23">
    <w:name w:val="MTDisplayEquation 字符"/>
    <w:basedOn w:val="14"/>
    <w:link w:val="22"/>
    <w:qFormat/>
    <w:uiPriority w:val="0"/>
    <w:rPr>
      <w:rFonts w:eastAsia="仿宋"/>
      <w:kern w:val="2"/>
      <w:sz w:val="24"/>
      <w:szCs w:val="22"/>
    </w:rPr>
  </w:style>
  <w:style w:type="paragraph" w:customStyle="1" w:styleId="24">
    <w:name w:val="TOC Heading"/>
    <w:basedOn w:val="2"/>
    <w:next w:val="1"/>
    <w:unhideWhenUsed/>
    <w:qFormat/>
    <w:uiPriority w:val="39"/>
    <w:pPr>
      <w:widowControl/>
      <w:spacing w:before="240" w:beforeLines="0" w:after="0" w:afterLines="0" w:line="259" w:lineRule="auto"/>
      <w:outlineLvl w:val="9"/>
    </w:pPr>
    <w:rPr>
      <w:rFonts w:asciiTheme="majorHAnsi" w:hAnsiTheme="majorHAnsi" w:eastAsiaTheme="majorEastAsia" w:cstheme="majorBidi"/>
      <w:bCs w:val="0"/>
      <w:color w:val="366091" w:themeColor="accent1" w:themeShade="BF"/>
      <w:kern w:val="0"/>
      <w:sz w:val="32"/>
      <w:szCs w:val="32"/>
    </w:rPr>
  </w:style>
  <w:style w:type="character" w:customStyle="1" w:styleId="25">
    <w:name w:val="页脚 字符"/>
    <w:basedOn w:val="14"/>
    <w:link w:val="7"/>
    <w:qFormat/>
    <w:uiPriority w:val="99"/>
    <w:rPr>
      <w:sz w:val="18"/>
      <w:szCs w:val="22"/>
    </w:rPr>
  </w:style>
  <w:style w:type="paragraph" w:styleId="26">
    <w:name w:val="List Paragraph"/>
    <w:basedOn w:val="1"/>
    <w:unhideWhenUsed/>
    <w:qFormat/>
    <w:uiPriority w:val="99"/>
    <w:pPr>
      <w:ind w:firstLine="420"/>
    </w:pPr>
  </w:style>
  <w:style w:type="paragraph" w:customStyle="1" w:styleId="27">
    <w:name w:val="Revision"/>
    <w:hidden/>
    <w:unhideWhenUsed/>
    <w:qFormat/>
    <w:uiPriority w:val="99"/>
    <w:rPr>
      <w:rFonts w:ascii="Times New Roman" w:hAnsi="Times New Roman" w:eastAsia="宋体" w:cs="Times New Roman"/>
      <w:sz w:val="21"/>
      <w:szCs w:val="22"/>
      <w:lang w:val="en-US" w:eastAsia="zh-CN" w:bidi="ar-SA"/>
    </w:rPr>
  </w:style>
  <w:style w:type="character" w:styleId="28">
    <w:name w:val="Placeholder Text"/>
    <w:basedOn w:val="14"/>
    <w:unhideWhenUsed/>
    <w:qFormat/>
    <w:uiPriority w:val="99"/>
    <w:rPr>
      <w:color w:val="666666"/>
    </w:rPr>
  </w:style>
  <w:style w:type="character" w:customStyle="1" w:styleId="29">
    <w:name w:val="MTEquationSection"/>
    <w:basedOn w:val="14"/>
    <w:qFormat/>
    <w:uiPriority w:val="0"/>
    <w:rPr>
      <w:rFonts w:ascii="Times New Roman" w:hAnsi="Times New Roman" w:cs="Times New Roman"/>
      <w:vanish/>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4.wmf"/><Relationship Id="rId42" Type="http://schemas.openxmlformats.org/officeDocument/2006/relationships/oleObject" Target="embeddings/oleObject13.bin"/><Relationship Id="rId41" Type="http://schemas.openxmlformats.org/officeDocument/2006/relationships/image" Target="media/image13.wmf"/><Relationship Id="rId40" Type="http://schemas.openxmlformats.org/officeDocument/2006/relationships/oleObject" Target="embeddings/oleObject12.bin"/><Relationship Id="rId4" Type="http://schemas.openxmlformats.org/officeDocument/2006/relationships/endnotes" Target="endnotes.xml"/><Relationship Id="rId39" Type="http://schemas.openxmlformats.org/officeDocument/2006/relationships/image" Target="media/image12.wmf"/><Relationship Id="rId38" Type="http://schemas.openxmlformats.org/officeDocument/2006/relationships/oleObject" Target="embeddings/oleObject11.bin"/><Relationship Id="rId37" Type="http://schemas.openxmlformats.org/officeDocument/2006/relationships/image" Target="media/image11.wmf"/><Relationship Id="rId36" Type="http://schemas.openxmlformats.org/officeDocument/2006/relationships/oleObject" Target="embeddings/oleObject10.bin"/><Relationship Id="rId35" Type="http://schemas.openxmlformats.org/officeDocument/2006/relationships/image" Target="media/image10.wmf"/><Relationship Id="rId34" Type="http://schemas.openxmlformats.org/officeDocument/2006/relationships/oleObject" Target="embeddings/oleObject9.bin"/><Relationship Id="rId33" Type="http://schemas.openxmlformats.org/officeDocument/2006/relationships/image" Target="media/image9.wmf"/><Relationship Id="rId32" Type="http://schemas.openxmlformats.org/officeDocument/2006/relationships/oleObject" Target="embeddings/oleObject8.bin"/><Relationship Id="rId31" Type="http://schemas.openxmlformats.org/officeDocument/2006/relationships/image" Target="media/image8.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6.bin"/><Relationship Id="rId27" Type="http://schemas.openxmlformats.org/officeDocument/2006/relationships/image" Target="media/image6.wmf"/><Relationship Id="rId26" Type="http://schemas.openxmlformats.org/officeDocument/2006/relationships/oleObject" Target="embeddings/oleObject5.bin"/><Relationship Id="rId25" Type="http://schemas.openxmlformats.org/officeDocument/2006/relationships/image" Target="media/image5.wmf"/><Relationship Id="rId24" Type="http://schemas.openxmlformats.org/officeDocument/2006/relationships/oleObject" Target="embeddings/oleObject4.bin"/><Relationship Id="rId23" Type="http://schemas.openxmlformats.org/officeDocument/2006/relationships/image" Target="media/image4.wmf"/><Relationship Id="rId22" Type="http://schemas.openxmlformats.org/officeDocument/2006/relationships/oleObject" Target="embeddings/oleObject3.bin"/><Relationship Id="rId21" Type="http://schemas.openxmlformats.org/officeDocument/2006/relationships/image" Target="media/image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封面"/>
    </customSectPr>
    <customSectPr/>
    <customSectPr/>
  </customSectProps>
  <customShpExts>
    <customShpInfo spid="_x0000_s1025"/>
    <customShpInfo spid="_x0000_s1035"/>
    <customShpInfo spid="_x0000_s1033"/>
    <customShpInfo spid="_x0000_s2057"/>
    <customShpInfo spid="_x0000_s205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6114-E481-41D3-85A7-F9BBBFFCB301}">
  <ds:schemaRefs/>
</ds:datastoreItem>
</file>

<file path=docProps/app.xml><?xml version="1.0" encoding="utf-8"?>
<Properties xmlns="http://schemas.openxmlformats.org/officeDocument/2006/extended-properties" xmlns:vt="http://schemas.openxmlformats.org/officeDocument/2006/docPropsVTypes">
  <Template>Normal</Template>
  <Pages>23</Pages>
  <Words>8845</Words>
  <Characters>10168</Characters>
  <Lines>110</Lines>
  <Paragraphs>31</Paragraphs>
  <TotalTime>0</TotalTime>
  <ScaleCrop>false</ScaleCrop>
  <LinksUpToDate>false</LinksUpToDate>
  <CharactersWithSpaces>10394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2026-01-20T08:39:00Z</dcterms:created>
  <dc:creator>13401</dc:creator>
  <cp:lastModifiedBy>Cynthia王璨</cp:lastModifiedBy>
  <dcterms:modified xsi:type="dcterms:W3CDTF">2026-01-21T07:09:46Z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3A0FFDE792524AC99CF690114E2A06CC_12</vt:lpwstr>
  </property>
  <property fmtid="{D5CDD505-2E9C-101B-9397-08002B2CF9AE}" pid="4" name="MTWinEqns">
    <vt:bool>true</vt:bool>
  </property>
  <property fmtid="{D5CDD505-2E9C-101B-9397-08002B2CF9AE}" pid="5" name="MTEquationSection">
    <vt:lpwstr>1</vt:lpwstr>
  </property>
  <property fmtid="{D5CDD505-2E9C-101B-9397-08002B2CF9AE}" pid="6" name="MTEquationNumber2">
    <vt:lpwstr>(#C1-#E1)</vt:lpwstr>
  </property>
  <property fmtid="{D5CDD505-2E9C-101B-9397-08002B2CF9AE}" pid="7" name="KSOTemplateDocerSaveRecord">
    <vt:lpwstr>eyJoZGlkIjoiMzEwNTM5NzYwMDRjMzkwZTVkZjY2ODkwMGIxNGU0OTUiLCJ1c2VySWQiOiI3MDczMTQxNDkifQ==</vt:lpwstr>
  </property>
</Properties>
</file>