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739CA">
      <w:pPr>
        <w:adjustRightInd/>
        <w:spacing w:before="10" w:line="240" w:lineRule="auto"/>
        <w:ind w:firstLine="0" w:firstLineChars="0"/>
        <w:jc w:val="both"/>
        <w:rPr>
          <w:rFonts w:ascii="Times New Roman" w:hAnsi="Times New Roman"/>
          <w:color w:val="000000"/>
          <w:kern w:val="0"/>
          <w:sz w:val="27"/>
          <w:szCs w:val="27"/>
          <w:lang w:eastAsia="zh-CN"/>
        </w:rPr>
      </w:pPr>
      <w:bookmarkStart w:id="96" w:name="_GoBack"/>
      <w:bookmarkEnd w:id="96"/>
    </w:p>
    <w:p w14:paraId="06FC591A">
      <w:pPr>
        <w:adjustRightInd/>
        <w:spacing w:before="10" w:line="240" w:lineRule="auto"/>
        <w:ind w:firstLine="0" w:firstLineChars="0"/>
        <w:jc w:val="both"/>
        <w:rPr>
          <w:rFonts w:ascii="Times New Roman" w:hAnsi="Times New Roman" w:eastAsia="Times New Roman"/>
          <w:color w:val="000000"/>
          <w:kern w:val="0"/>
          <w:sz w:val="27"/>
          <w:szCs w:val="27"/>
          <w:lang w:eastAsia="en-US"/>
        </w:rPr>
      </w:pPr>
    </w:p>
    <w:p w14:paraId="25A999BF">
      <w:pPr>
        <w:adjustRightInd/>
        <w:spacing w:before="10" w:line="240" w:lineRule="auto"/>
        <w:ind w:firstLine="0" w:firstLineChars="0"/>
        <w:jc w:val="both"/>
        <w:rPr>
          <w:rFonts w:ascii="Times New Roman" w:hAnsi="Times New Roman" w:eastAsia="Times New Roman"/>
          <w:color w:val="000000"/>
          <w:kern w:val="0"/>
          <w:sz w:val="27"/>
          <w:szCs w:val="27"/>
          <w:lang w:eastAsia="en-US"/>
        </w:rPr>
      </w:pPr>
    </w:p>
    <w:p w14:paraId="77047048">
      <w:pPr>
        <w:adjustRightInd/>
        <w:spacing w:before="10" w:line="240" w:lineRule="auto"/>
        <w:ind w:firstLine="0" w:firstLineChars="0"/>
        <w:jc w:val="both"/>
        <w:rPr>
          <w:rFonts w:ascii="Times New Roman" w:hAnsi="Times New Roman" w:eastAsia="Times New Roman"/>
          <w:color w:val="000000"/>
          <w:kern w:val="0"/>
          <w:sz w:val="27"/>
          <w:szCs w:val="27"/>
          <w:lang w:eastAsia="en-US"/>
        </w:rPr>
      </w:pPr>
    </w:p>
    <w:p w14:paraId="4A6432D5">
      <w:pPr>
        <w:adjustRightInd/>
        <w:spacing w:before="10" w:line="240" w:lineRule="auto"/>
        <w:ind w:firstLine="0" w:firstLineChars="0"/>
        <w:jc w:val="both"/>
        <w:rPr>
          <w:rFonts w:ascii="Times New Roman" w:hAnsi="Times New Roman" w:eastAsia="Times New Roman"/>
          <w:color w:val="000000"/>
          <w:kern w:val="0"/>
          <w:sz w:val="27"/>
          <w:szCs w:val="27"/>
          <w:lang w:eastAsia="en-US"/>
        </w:rPr>
      </w:pPr>
    </w:p>
    <w:p w14:paraId="491124E9">
      <w:pPr>
        <w:adjustRightInd/>
        <w:spacing w:before="10" w:line="240" w:lineRule="auto"/>
        <w:ind w:firstLine="0" w:firstLineChars="0"/>
        <w:jc w:val="both"/>
        <w:rPr>
          <w:rFonts w:ascii="Times New Roman" w:hAnsi="Times New Roman" w:eastAsia="Times New Roman"/>
          <w:color w:val="000000"/>
          <w:kern w:val="0"/>
          <w:sz w:val="27"/>
          <w:szCs w:val="27"/>
          <w:lang w:eastAsia="en-US"/>
        </w:rPr>
      </w:pPr>
    </w:p>
    <w:p w14:paraId="79E3605A">
      <w:pPr>
        <w:adjustRightInd/>
        <w:spacing w:line="360" w:lineRule="auto"/>
        <w:ind w:firstLine="0" w:firstLineChars="0"/>
        <w:jc w:val="center"/>
        <w:rPr>
          <w:rFonts w:ascii="宋体" w:hAnsi="宋体"/>
          <w:color w:val="000000"/>
          <w:kern w:val="0"/>
          <w:sz w:val="44"/>
          <w:szCs w:val="44"/>
          <w:lang w:eastAsia="zh-CN"/>
        </w:rPr>
      </w:pPr>
      <w:r>
        <w:rPr>
          <w:rFonts w:hint="eastAsia" w:ascii="宋体" w:hAnsi="宋体"/>
          <w:color w:val="000000"/>
          <w:kern w:val="0"/>
          <w:sz w:val="44"/>
          <w:szCs w:val="44"/>
          <w:lang w:val="en-US" w:eastAsia="zh-CN"/>
        </w:rPr>
        <w:t>规模化生猪养殖臭气污染防治技术规范</w:t>
      </w:r>
    </w:p>
    <w:p w14:paraId="2A251BBC">
      <w:pPr>
        <w:adjustRightInd/>
        <w:spacing w:before="156" w:line="360" w:lineRule="auto"/>
        <w:ind w:left="210" w:right="227" w:firstLine="0" w:firstLineChars="0"/>
        <w:jc w:val="center"/>
        <w:rPr>
          <w:rFonts w:hint="eastAsia" w:ascii="宋体" w:hAnsi="宋体"/>
          <w:color w:val="000000"/>
          <w:kern w:val="0"/>
          <w:sz w:val="44"/>
          <w:szCs w:val="44"/>
          <w:lang w:eastAsia="zh-CN"/>
        </w:rPr>
      </w:pPr>
      <w:r>
        <w:rPr>
          <w:rFonts w:hint="eastAsia" w:ascii="宋体" w:hAnsi="宋体"/>
          <w:color w:val="000000"/>
          <w:kern w:val="0"/>
          <w:sz w:val="44"/>
          <w:szCs w:val="44"/>
          <w:lang w:eastAsia="zh-CN"/>
        </w:rPr>
        <w:t>编制说明</w:t>
      </w:r>
    </w:p>
    <w:p w14:paraId="51D05210">
      <w:pPr>
        <w:adjustRightInd/>
        <w:spacing w:before="156" w:line="360" w:lineRule="auto"/>
        <w:ind w:left="210" w:right="227" w:firstLine="0" w:firstLineChars="0"/>
        <w:jc w:val="center"/>
        <w:rPr>
          <w:rFonts w:hint="eastAsia" w:ascii="宋体" w:hAnsi="宋体"/>
          <w:color w:val="000000"/>
          <w:kern w:val="0"/>
          <w:sz w:val="44"/>
          <w:szCs w:val="44"/>
          <w:lang w:eastAsia="zh-CN"/>
        </w:rPr>
      </w:pPr>
    </w:p>
    <w:p w14:paraId="3585C56F">
      <w:pPr>
        <w:adjustRightInd/>
        <w:spacing w:before="156" w:line="360" w:lineRule="auto"/>
        <w:ind w:left="210" w:right="227" w:firstLine="0" w:firstLineChars="0"/>
        <w:jc w:val="center"/>
        <w:rPr>
          <w:rFonts w:hint="default" w:ascii="宋体" w:hAnsi="宋体"/>
          <w:color w:val="000000"/>
          <w:kern w:val="0"/>
          <w:sz w:val="44"/>
          <w:szCs w:val="44"/>
          <w:lang w:val="en-US" w:eastAsia="zh-CN"/>
        </w:rPr>
      </w:pPr>
      <w:r>
        <w:rPr>
          <w:rFonts w:hint="eastAsia" w:ascii="宋体" w:hAnsi="宋体"/>
          <w:color w:val="000000"/>
          <w:kern w:val="0"/>
          <w:sz w:val="44"/>
          <w:szCs w:val="44"/>
          <w:lang w:val="en-US" w:eastAsia="zh-CN"/>
        </w:rPr>
        <w:t>（征求意见稿）</w:t>
      </w:r>
    </w:p>
    <w:p w14:paraId="7055F522">
      <w:pPr>
        <w:adjustRightInd/>
        <w:spacing w:before="156" w:line="360" w:lineRule="auto"/>
        <w:ind w:left="210" w:right="227" w:firstLine="0" w:firstLineChars="0"/>
        <w:jc w:val="center"/>
        <w:rPr>
          <w:rFonts w:ascii="宋体" w:hAnsi="宋体"/>
          <w:color w:val="000000"/>
          <w:kern w:val="0"/>
          <w:sz w:val="44"/>
          <w:szCs w:val="44"/>
          <w:lang w:eastAsia="zh-CN"/>
        </w:rPr>
      </w:pPr>
    </w:p>
    <w:p w14:paraId="06E09B16">
      <w:pPr>
        <w:adjustRightInd/>
        <w:spacing w:before="156" w:line="360" w:lineRule="auto"/>
        <w:ind w:left="210" w:right="227" w:firstLine="0" w:firstLineChars="0"/>
        <w:jc w:val="center"/>
        <w:rPr>
          <w:rFonts w:ascii="宋体" w:hAnsi="宋体"/>
          <w:color w:val="000000"/>
          <w:kern w:val="0"/>
          <w:sz w:val="44"/>
          <w:szCs w:val="44"/>
          <w:lang w:eastAsia="zh-CN"/>
        </w:rPr>
      </w:pPr>
    </w:p>
    <w:p w14:paraId="31B4F188">
      <w:pPr>
        <w:adjustRightInd/>
        <w:spacing w:before="156" w:line="360" w:lineRule="auto"/>
        <w:ind w:left="210" w:right="227" w:firstLine="0" w:firstLineChars="0"/>
        <w:jc w:val="center"/>
        <w:rPr>
          <w:rFonts w:ascii="宋体" w:hAnsi="宋体"/>
          <w:color w:val="000000"/>
          <w:kern w:val="0"/>
          <w:sz w:val="44"/>
          <w:szCs w:val="44"/>
          <w:lang w:eastAsia="zh-CN"/>
        </w:rPr>
      </w:pPr>
    </w:p>
    <w:p w14:paraId="3FE6B830">
      <w:pPr>
        <w:adjustRightInd/>
        <w:spacing w:before="156" w:line="360" w:lineRule="auto"/>
        <w:ind w:left="210" w:right="227" w:firstLine="0" w:firstLineChars="0"/>
        <w:jc w:val="center"/>
        <w:rPr>
          <w:rFonts w:ascii="宋体" w:hAnsi="宋体"/>
          <w:color w:val="000000"/>
          <w:kern w:val="0"/>
          <w:sz w:val="44"/>
          <w:szCs w:val="44"/>
          <w:lang w:eastAsia="zh-CN"/>
        </w:rPr>
      </w:pPr>
    </w:p>
    <w:p w14:paraId="298869A6">
      <w:pPr>
        <w:adjustRightInd/>
        <w:spacing w:before="156" w:line="360" w:lineRule="auto"/>
        <w:ind w:left="210" w:right="227" w:firstLine="0" w:firstLineChars="0"/>
        <w:jc w:val="center"/>
        <w:rPr>
          <w:rFonts w:ascii="宋体" w:hAnsi="宋体"/>
          <w:color w:val="000000"/>
          <w:kern w:val="0"/>
          <w:sz w:val="44"/>
          <w:szCs w:val="44"/>
          <w:lang w:eastAsia="zh-CN"/>
        </w:rPr>
      </w:pPr>
    </w:p>
    <w:p w14:paraId="45B51AAD">
      <w:pPr>
        <w:adjustRightInd/>
        <w:spacing w:before="156" w:line="360" w:lineRule="auto"/>
        <w:ind w:left="210" w:right="227" w:firstLine="0" w:firstLineChars="0"/>
        <w:jc w:val="center"/>
        <w:rPr>
          <w:rFonts w:ascii="宋体" w:hAnsi="宋体"/>
          <w:color w:val="000000"/>
          <w:kern w:val="0"/>
          <w:sz w:val="44"/>
          <w:szCs w:val="44"/>
          <w:lang w:eastAsia="zh-CN"/>
        </w:rPr>
      </w:pPr>
    </w:p>
    <w:p w14:paraId="427AC292">
      <w:pPr>
        <w:adjustRightInd/>
        <w:spacing w:before="156" w:line="360" w:lineRule="auto"/>
        <w:ind w:left="210" w:right="227" w:firstLine="0" w:firstLineChars="0"/>
        <w:jc w:val="center"/>
        <w:rPr>
          <w:rFonts w:ascii="宋体" w:hAnsi="宋体"/>
          <w:color w:val="000000"/>
          <w:kern w:val="0"/>
          <w:sz w:val="44"/>
          <w:szCs w:val="44"/>
          <w:lang w:eastAsia="zh-CN"/>
        </w:rPr>
      </w:pPr>
    </w:p>
    <w:p w14:paraId="6505CCB6">
      <w:pPr>
        <w:adjustRightInd/>
        <w:spacing w:before="156" w:line="360" w:lineRule="auto"/>
        <w:ind w:left="210" w:right="227" w:firstLine="0" w:firstLineChars="0"/>
        <w:jc w:val="center"/>
        <w:rPr>
          <w:rFonts w:ascii="宋体" w:hAnsi="宋体"/>
          <w:color w:val="000000"/>
          <w:kern w:val="0"/>
          <w:sz w:val="44"/>
          <w:szCs w:val="44"/>
          <w:lang w:eastAsia="zh-CN"/>
        </w:rPr>
      </w:pPr>
    </w:p>
    <w:p w14:paraId="6D5D0E36">
      <w:pPr>
        <w:adjustRightInd/>
        <w:spacing w:before="156" w:line="360" w:lineRule="auto"/>
        <w:ind w:left="210" w:right="227" w:firstLine="0" w:firstLineChars="0"/>
        <w:jc w:val="center"/>
        <w:rPr>
          <w:rFonts w:ascii="宋体" w:hAnsi="宋体"/>
          <w:color w:val="000000"/>
          <w:kern w:val="0"/>
          <w:sz w:val="44"/>
          <w:szCs w:val="44"/>
          <w:lang w:eastAsia="zh-CN"/>
        </w:rPr>
      </w:pPr>
    </w:p>
    <w:p w14:paraId="610109AD">
      <w:pPr>
        <w:adjustRightInd/>
        <w:spacing w:before="156" w:line="360" w:lineRule="auto"/>
        <w:ind w:left="210" w:right="227" w:firstLine="0" w:firstLineChars="0"/>
        <w:jc w:val="center"/>
        <w:rPr>
          <w:rFonts w:ascii="宋体" w:hAnsi="宋体"/>
          <w:color w:val="000000"/>
          <w:kern w:val="0"/>
          <w:sz w:val="44"/>
          <w:szCs w:val="44"/>
          <w:lang w:eastAsia="zh-CN"/>
        </w:rPr>
      </w:pPr>
    </w:p>
    <w:p w14:paraId="222F0944">
      <w:pPr>
        <w:adjustRightInd/>
        <w:spacing w:before="0" w:line="360" w:lineRule="auto"/>
        <w:ind w:left="0" w:right="0" w:firstLine="0" w:firstLineChars="0"/>
        <w:jc w:val="center"/>
        <w:rPr>
          <w:rFonts w:hint="default" w:ascii="宋体" w:hAnsi="宋体"/>
          <w:b/>
          <w:bCs/>
          <w:color w:val="000000"/>
          <w:kern w:val="0"/>
          <w:sz w:val="24"/>
          <w:szCs w:val="24"/>
          <w:lang w:val="en-US" w:eastAsia="zh-CN"/>
        </w:rPr>
      </w:pPr>
      <w:r>
        <w:rPr>
          <w:rFonts w:hint="eastAsia" w:ascii="宋体" w:hAnsi="宋体"/>
          <w:b/>
          <w:bCs/>
          <w:color w:val="000000"/>
          <w:kern w:val="0"/>
          <w:sz w:val="24"/>
          <w:szCs w:val="24"/>
          <w:lang w:eastAsia="zh-CN"/>
        </w:rPr>
        <w:t>《</w:t>
      </w:r>
      <w:r>
        <w:rPr>
          <w:rFonts w:hint="eastAsia" w:ascii="宋体" w:hAnsi="宋体"/>
          <w:b/>
          <w:bCs/>
          <w:color w:val="000000"/>
          <w:kern w:val="0"/>
          <w:sz w:val="24"/>
          <w:szCs w:val="24"/>
          <w:lang w:val="en-US" w:eastAsia="zh-CN"/>
        </w:rPr>
        <w:t>规模化生猪养殖臭气污染防治技术规范</w:t>
      </w:r>
      <w:r>
        <w:rPr>
          <w:rFonts w:hint="eastAsia" w:ascii="宋体" w:hAnsi="宋体"/>
          <w:b/>
          <w:bCs/>
          <w:color w:val="000000"/>
          <w:kern w:val="0"/>
          <w:sz w:val="24"/>
          <w:szCs w:val="24"/>
          <w:lang w:eastAsia="zh-CN"/>
        </w:rPr>
        <w:t>》</w:t>
      </w:r>
      <w:r>
        <w:rPr>
          <w:rFonts w:hint="eastAsia" w:ascii="宋体" w:hAnsi="宋体"/>
          <w:b/>
          <w:bCs/>
          <w:color w:val="000000"/>
          <w:kern w:val="0"/>
          <w:sz w:val="24"/>
          <w:szCs w:val="24"/>
          <w:lang w:val="en-US" w:eastAsia="zh-CN"/>
        </w:rPr>
        <w:t>编制组</w:t>
      </w:r>
    </w:p>
    <w:p w14:paraId="3BE0D729">
      <w:pPr>
        <w:autoSpaceDE w:val="0"/>
        <w:autoSpaceDN w:val="0"/>
        <w:adjustRightInd w:val="0"/>
        <w:snapToGrid w:val="0"/>
        <w:spacing w:line="360" w:lineRule="auto"/>
        <w:ind w:firstLine="0" w:firstLineChars="0"/>
        <w:jc w:val="center"/>
        <w:rPr>
          <w:rFonts w:ascii="Calibri" w:hAnsi="Calibri"/>
          <w:b/>
          <w:bCs/>
          <w:color w:val="000000"/>
          <w:kern w:val="0"/>
          <w:sz w:val="24"/>
          <w:szCs w:val="24"/>
          <w:lang w:eastAsia="en-US"/>
        </w:rPr>
      </w:pPr>
      <w:r>
        <w:rPr>
          <w:rFonts w:ascii="Calibri" w:hAnsi="Calibri"/>
          <w:b/>
          <w:bCs/>
          <w:color w:val="000000"/>
          <w:kern w:val="0"/>
          <w:sz w:val="24"/>
          <w:szCs w:val="24"/>
          <w:lang w:eastAsia="en-US"/>
        </w:rPr>
        <w:t>二〇二</w:t>
      </w:r>
      <w:r>
        <w:rPr>
          <w:rFonts w:hint="eastAsia" w:ascii="Calibri" w:hAnsi="Calibri"/>
          <w:b/>
          <w:bCs/>
          <w:color w:val="000000"/>
          <w:kern w:val="0"/>
          <w:sz w:val="24"/>
          <w:szCs w:val="24"/>
          <w:lang w:val="en-US" w:eastAsia="zh-CN"/>
        </w:rPr>
        <w:t>五</w:t>
      </w:r>
      <w:r>
        <w:rPr>
          <w:rFonts w:ascii="Calibri" w:hAnsi="Calibri"/>
          <w:b/>
          <w:bCs/>
          <w:color w:val="000000"/>
          <w:kern w:val="0"/>
          <w:sz w:val="24"/>
          <w:szCs w:val="24"/>
          <w:lang w:eastAsia="en-US"/>
        </w:rPr>
        <w:t>年</w:t>
      </w:r>
      <w:r>
        <w:rPr>
          <w:rFonts w:hint="eastAsia" w:ascii="Calibri" w:hAnsi="Calibri"/>
          <w:b/>
          <w:bCs/>
          <w:color w:val="000000"/>
          <w:kern w:val="0"/>
          <w:sz w:val="24"/>
          <w:szCs w:val="24"/>
          <w:lang w:val="en-US" w:eastAsia="zh-CN"/>
        </w:rPr>
        <w:t>八</w:t>
      </w:r>
      <w:r>
        <w:rPr>
          <w:rFonts w:ascii="Calibri" w:hAnsi="Calibri"/>
          <w:b/>
          <w:bCs/>
          <w:color w:val="000000"/>
          <w:kern w:val="0"/>
          <w:sz w:val="24"/>
          <w:szCs w:val="24"/>
          <w:lang w:eastAsia="en-US"/>
        </w:rPr>
        <w:t>月</w:t>
      </w:r>
    </w:p>
    <w:p w14:paraId="53BCE910">
      <w:pPr>
        <w:adjustRightInd/>
        <w:spacing w:line="240" w:lineRule="auto"/>
        <w:ind w:firstLine="0" w:firstLineChars="0"/>
        <w:jc w:val="left"/>
        <w:rPr>
          <w:rFonts w:ascii="Calibri" w:hAnsi="Calibri"/>
          <w:color w:val="000000"/>
          <w:kern w:val="0"/>
          <w:sz w:val="22"/>
          <w:szCs w:val="22"/>
          <w:lang w:eastAsia="zh-CN"/>
        </w:rPr>
      </w:pPr>
    </w:p>
    <w:p w14:paraId="0717205A">
      <w:pPr>
        <w:adjustRightInd/>
        <w:spacing w:line="240" w:lineRule="auto"/>
        <w:ind w:firstLine="0" w:firstLineChars="0"/>
        <w:jc w:val="left"/>
        <w:rPr>
          <w:rFonts w:ascii="Calibri" w:hAnsi="Calibri"/>
          <w:color w:val="000000"/>
          <w:kern w:val="0"/>
          <w:sz w:val="22"/>
          <w:szCs w:val="22"/>
          <w:lang w:eastAsia="zh-CN"/>
        </w:rPr>
      </w:pPr>
    </w:p>
    <w:p w14:paraId="6B8C4CCE">
      <w:pPr>
        <w:rPr>
          <w:color w:val="000000"/>
          <w:lang w:eastAsia="zh-CN"/>
        </w:rPr>
        <w:sectPr>
          <w:footerReference r:id="rId8" w:type="first"/>
          <w:footerReference r:id="rId6" w:type="default"/>
          <w:headerReference r:id="rId5" w:type="even"/>
          <w:footerReference r:id="rId7" w:type="even"/>
          <w:pgSz w:w="11906" w:h="16838"/>
          <w:pgMar w:top="1440" w:right="1800" w:bottom="1440" w:left="1800" w:header="851" w:footer="992" w:gutter="0"/>
          <w:pgNumType w:fmt="upperRoman" w:start="1"/>
          <w:cols w:space="425" w:num="1"/>
          <w:titlePg/>
          <w:docGrid w:type="lines" w:linePitch="312" w:charSpace="0"/>
        </w:sectPr>
      </w:pPr>
    </w:p>
    <w:sdt>
      <w:sdtPr>
        <w:rPr>
          <w:rFonts w:ascii="宋体" w:hAnsi="宋体" w:eastAsia="宋体" w:cs="Times New Roman"/>
          <w:kern w:val="2"/>
          <w:sz w:val="21"/>
          <w:szCs w:val="21"/>
          <w:lang w:val="en-US" w:eastAsia="zh-CN" w:bidi="ar-SA"/>
        </w:rPr>
        <w:id w:val="147452654"/>
        <w15:color w:val="DBDBDB"/>
        <w:docPartObj>
          <w:docPartGallery w:val="Table of Contents"/>
          <w:docPartUnique/>
        </w:docPartObj>
      </w:sdtPr>
      <w:sdtEndPr>
        <w:rPr>
          <w:rFonts w:ascii="宋体" w:hAnsi="宋体" w:eastAsia="宋体" w:cs="Times New Roman"/>
          <w:kern w:val="2"/>
          <w:sz w:val="21"/>
          <w:szCs w:val="21"/>
          <w:lang w:val="en-US" w:eastAsia="zh-CN" w:bidi="ar-SA"/>
        </w:rPr>
      </w:sdtEndPr>
      <w:sdtContent>
        <w:p w14:paraId="666D5F05">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0" w:firstLineChars="0"/>
            <w:jc w:val="center"/>
            <w:textAlignment w:val="auto"/>
            <w:rPr>
              <w:rFonts w:hint="eastAsia" w:eastAsia="宋体"/>
              <w:b/>
              <w:bCs/>
              <w:lang w:eastAsia="zh-CN"/>
            </w:rPr>
          </w:pPr>
          <w:r>
            <w:rPr>
              <w:rFonts w:ascii="宋体" w:hAnsi="宋体" w:eastAsia="宋体"/>
              <w:b/>
              <w:bCs/>
              <w:sz w:val="36"/>
              <w:szCs w:val="36"/>
            </w:rPr>
            <w:t>目</w:t>
          </w:r>
          <w:r>
            <w:rPr>
              <w:rFonts w:hint="eastAsia" w:ascii="宋体" w:hAnsi="宋体" w:eastAsia="宋体"/>
              <w:b/>
              <w:bCs/>
              <w:sz w:val="36"/>
              <w:szCs w:val="36"/>
              <w:lang w:val="en-US" w:eastAsia="zh-CN"/>
            </w:rPr>
            <w:t xml:space="preserve"> 次</w:t>
          </w:r>
        </w:p>
        <w:p w14:paraId="22F084AA">
          <w:pPr>
            <w:pStyle w:val="8"/>
            <w:tabs>
              <w:tab w:val="right" w:leader="dot" w:pos="8306"/>
            </w:tabs>
            <w:spacing w:line="360" w:lineRule="auto"/>
            <w:rPr>
              <w:b/>
              <w:bCs/>
            </w:rPr>
          </w:pPr>
          <w:r>
            <w:rPr>
              <w:b/>
              <w:bCs/>
            </w:rPr>
            <w:fldChar w:fldCharType="begin"/>
          </w:r>
          <w:r>
            <w:rPr>
              <w:b/>
              <w:bCs/>
            </w:rPr>
            <w:instrText xml:space="preserve">TOC \o "1-1" \h \u </w:instrText>
          </w:r>
          <w:r>
            <w:rPr>
              <w:b/>
              <w:bCs/>
            </w:rPr>
            <w:fldChar w:fldCharType="separate"/>
          </w:r>
          <w:r>
            <w:rPr>
              <w:b/>
              <w:bCs/>
            </w:rPr>
            <w:fldChar w:fldCharType="begin"/>
          </w:r>
          <w:r>
            <w:rPr>
              <w:b/>
              <w:bCs/>
            </w:rPr>
            <w:instrText xml:space="preserve"> HYPERLINK \l _Toc3748 </w:instrText>
          </w:r>
          <w:r>
            <w:rPr>
              <w:b/>
              <w:bCs/>
            </w:rPr>
            <w:fldChar w:fldCharType="separate"/>
          </w:r>
          <w:r>
            <w:rPr>
              <w:rFonts w:hint="eastAsia"/>
              <w:b/>
              <w:bCs/>
            </w:rPr>
            <w:t>1 任务来源</w:t>
          </w:r>
          <w:r>
            <w:rPr>
              <w:b/>
              <w:bCs/>
            </w:rPr>
            <w:tab/>
          </w:r>
          <w:r>
            <w:rPr>
              <w:b/>
              <w:bCs/>
            </w:rPr>
            <w:fldChar w:fldCharType="begin"/>
          </w:r>
          <w:r>
            <w:rPr>
              <w:b/>
              <w:bCs/>
            </w:rPr>
            <w:instrText xml:space="preserve"> PAGEREF _Toc3748 \h </w:instrText>
          </w:r>
          <w:r>
            <w:rPr>
              <w:b/>
              <w:bCs/>
            </w:rPr>
            <w:fldChar w:fldCharType="separate"/>
          </w:r>
          <w:r>
            <w:rPr>
              <w:b/>
              <w:bCs/>
            </w:rPr>
            <w:t>1</w:t>
          </w:r>
          <w:r>
            <w:rPr>
              <w:b/>
              <w:bCs/>
            </w:rPr>
            <w:fldChar w:fldCharType="end"/>
          </w:r>
          <w:r>
            <w:rPr>
              <w:b/>
              <w:bCs/>
            </w:rPr>
            <w:fldChar w:fldCharType="end"/>
          </w:r>
        </w:p>
        <w:p w14:paraId="51D19989">
          <w:pPr>
            <w:pStyle w:val="8"/>
            <w:tabs>
              <w:tab w:val="right" w:leader="dot" w:pos="8306"/>
            </w:tabs>
            <w:spacing w:line="360" w:lineRule="auto"/>
            <w:rPr>
              <w:b/>
              <w:bCs/>
            </w:rPr>
          </w:pPr>
          <w:r>
            <w:rPr>
              <w:b/>
              <w:bCs/>
            </w:rPr>
            <w:fldChar w:fldCharType="begin"/>
          </w:r>
          <w:r>
            <w:rPr>
              <w:b/>
              <w:bCs/>
            </w:rPr>
            <w:instrText xml:space="preserve"> HYPERLINK \l _Toc11968 </w:instrText>
          </w:r>
          <w:r>
            <w:rPr>
              <w:b/>
              <w:bCs/>
            </w:rPr>
            <w:fldChar w:fldCharType="separate"/>
          </w:r>
          <w:r>
            <w:rPr>
              <w:rFonts w:hint="eastAsia"/>
              <w:b/>
              <w:bCs/>
            </w:rPr>
            <w:t>2 标准制定必要性、编制依据 、编制原则</w:t>
          </w:r>
          <w:r>
            <w:rPr>
              <w:b/>
              <w:bCs/>
            </w:rPr>
            <w:tab/>
          </w:r>
          <w:r>
            <w:rPr>
              <w:b/>
              <w:bCs/>
            </w:rPr>
            <w:fldChar w:fldCharType="begin"/>
          </w:r>
          <w:r>
            <w:rPr>
              <w:b/>
              <w:bCs/>
            </w:rPr>
            <w:instrText xml:space="preserve"> PAGEREF _Toc11968 \h </w:instrText>
          </w:r>
          <w:r>
            <w:rPr>
              <w:b/>
              <w:bCs/>
            </w:rPr>
            <w:fldChar w:fldCharType="separate"/>
          </w:r>
          <w:r>
            <w:rPr>
              <w:b/>
              <w:bCs/>
            </w:rPr>
            <w:t>1</w:t>
          </w:r>
          <w:r>
            <w:rPr>
              <w:b/>
              <w:bCs/>
            </w:rPr>
            <w:fldChar w:fldCharType="end"/>
          </w:r>
          <w:r>
            <w:rPr>
              <w:b/>
              <w:bCs/>
            </w:rPr>
            <w:fldChar w:fldCharType="end"/>
          </w:r>
        </w:p>
        <w:p w14:paraId="16463B6E">
          <w:pPr>
            <w:pStyle w:val="8"/>
            <w:tabs>
              <w:tab w:val="right" w:leader="dot" w:pos="8306"/>
            </w:tabs>
            <w:spacing w:line="360" w:lineRule="auto"/>
            <w:rPr>
              <w:b/>
              <w:bCs/>
            </w:rPr>
          </w:pPr>
          <w:r>
            <w:rPr>
              <w:b/>
              <w:bCs/>
            </w:rPr>
            <w:fldChar w:fldCharType="begin"/>
          </w:r>
          <w:r>
            <w:rPr>
              <w:b/>
              <w:bCs/>
            </w:rPr>
            <w:instrText xml:space="preserve"> HYPERLINK \l _Toc31646 </w:instrText>
          </w:r>
          <w:r>
            <w:rPr>
              <w:b/>
              <w:bCs/>
            </w:rPr>
            <w:fldChar w:fldCharType="separate"/>
          </w:r>
          <w:r>
            <w:rPr>
              <w:rFonts w:hint="eastAsia"/>
              <w:b/>
              <w:bCs/>
            </w:rPr>
            <w:t>3 技术规范编制过程</w:t>
          </w:r>
          <w:r>
            <w:rPr>
              <w:b/>
              <w:bCs/>
            </w:rPr>
            <w:tab/>
          </w:r>
          <w:r>
            <w:rPr>
              <w:b/>
              <w:bCs/>
            </w:rPr>
            <w:fldChar w:fldCharType="begin"/>
          </w:r>
          <w:r>
            <w:rPr>
              <w:b/>
              <w:bCs/>
            </w:rPr>
            <w:instrText xml:space="preserve"> PAGEREF _Toc31646 \h </w:instrText>
          </w:r>
          <w:r>
            <w:rPr>
              <w:b/>
              <w:bCs/>
            </w:rPr>
            <w:fldChar w:fldCharType="separate"/>
          </w:r>
          <w:r>
            <w:rPr>
              <w:b/>
              <w:bCs/>
            </w:rPr>
            <w:t>3</w:t>
          </w:r>
          <w:r>
            <w:rPr>
              <w:b/>
              <w:bCs/>
            </w:rPr>
            <w:fldChar w:fldCharType="end"/>
          </w:r>
          <w:r>
            <w:rPr>
              <w:b/>
              <w:bCs/>
            </w:rPr>
            <w:fldChar w:fldCharType="end"/>
          </w:r>
        </w:p>
        <w:p w14:paraId="2494ADE4">
          <w:pPr>
            <w:pStyle w:val="8"/>
            <w:tabs>
              <w:tab w:val="right" w:leader="dot" w:pos="8306"/>
            </w:tabs>
            <w:spacing w:line="360" w:lineRule="auto"/>
            <w:rPr>
              <w:b/>
              <w:bCs/>
            </w:rPr>
          </w:pPr>
          <w:r>
            <w:rPr>
              <w:b/>
              <w:bCs/>
            </w:rPr>
            <w:fldChar w:fldCharType="begin"/>
          </w:r>
          <w:r>
            <w:rPr>
              <w:b/>
              <w:bCs/>
            </w:rPr>
            <w:instrText xml:space="preserve"> HYPERLINK \l _Toc31040 </w:instrText>
          </w:r>
          <w:r>
            <w:rPr>
              <w:b/>
              <w:bCs/>
            </w:rPr>
            <w:fldChar w:fldCharType="separate"/>
          </w:r>
          <w:r>
            <w:rPr>
              <w:rFonts w:hint="eastAsia"/>
              <w:b/>
              <w:bCs/>
            </w:rPr>
            <w:t>4 国内外相关标准概况</w:t>
          </w:r>
          <w:r>
            <w:rPr>
              <w:b/>
              <w:bCs/>
            </w:rPr>
            <w:tab/>
          </w:r>
          <w:r>
            <w:rPr>
              <w:b/>
              <w:bCs/>
            </w:rPr>
            <w:fldChar w:fldCharType="begin"/>
          </w:r>
          <w:r>
            <w:rPr>
              <w:b/>
              <w:bCs/>
            </w:rPr>
            <w:instrText xml:space="preserve"> PAGEREF _Toc31040 \h </w:instrText>
          </w:r>
          <w:r>
            <w:rPr>
              <w:b/>
              <w:bCs/>
            </w:rPr>
            <w:fldChar w:fldCharType="separate"/>
          </w:r>
          <w:r>
            <w:rPr>
              <w:b/>
              <w:bCs/>
            </w:rPr>
            <w:t>3</w:t>
          </w:r>
          <w:r>
            <w:rPr>
              <w:b/>
              <w:bCs/>
            </w:rPr>
            <w:fldChar w:fldCharType="end"/>
          </w:r>
          <w:r>
            <w:rPr>
              <w:b/>
              <w:bCs/>
            </w:rPr>
            <w:fldChar w:fldCharType="end"/>
          </w:r>
        </w:p>
        <w:p w14:paraId="75DBF49D">
          <w:pPr>
            <w:pStyle w:val="8"/>
            <w:tabs>
              <w:tab w:val="right" w:leader="dot" w:pos="8306"/>
            </w:tabs>
            <w:spacing w:line="360" w:lineRule="auto"/>
            <w:rPr>
              <w:b/>
              <w:bCs/>
            </w:rPr>
          </w:pPr>
          <w:r>
            <w:rPr>
              <w:b/>
              <w:bCs/>
            </w:rPr>
            <w:fldChar w:fldCharType="begin"/>
          </w:r>
          <w:r>
            <w:rPr>
              <w:b/>
              <w:bCs/>
            </w:rPr>
            <w:instrText xml:space="preserve"> HYPERLINK \l _Toc31270 </w:instrText>
          </w:r>
          <w:r>
            <w:rPr>
              <w:b/>
              <w:bCs/>
            </w:rPr>
            <w:fldChar w:fldCharType="separate"/>
          </w:r>
          <w:r>
            <w:rPr>
              <w:rFonts w:hint="eastAsia"/>
              <w:b/>
              <w:bCs/>
              <w:lang w:val="en-US" w:eastAsia="zh-CN"/>
            </w:rPr>
            <w:t>5 标准制定的技术路线</w:t>
          </w:r>
          <w:r>
            <w:rPr>
              <w:b/>
              <w:bCs/>
            </w:rPr>
            <w:tab/>
          </w:r>
          <w:r>
            <w:rPr>
              <w:b/>
              <w:bCs/>
            </w:rPr>
            <w:fldChar w:fldCharType="begin"/>
          </w:r>
          <w:r>
            <w:rPr>
              <w:b/>
              <w:bCs/>
            </w:rPr>
            <w:instrText xml:space="preserve"> PAGEREF _Toc31270 \h </w:instrText>
          </w:r>
          <w:r>
            <w:rPr>
              <w:b/>
              <w:bCs/>
            </w:rPr>
            <w:fldChar w:fldCharType="separate"/>
          </w:r>
          <w:r>
            <w:rPr>
              <w:b/>
              <w:bCs/>
            </w:rPr>
            <w:t>4</w:t>
          </w:r>
          <w:r>
            <w:rPr>
              <w:b/>
              <w:bCs/>
            </w:rPr>
            <w:fldChar w:fldCharType="end"/>
          </w:r>
          <w:r>
            <w:rPr>
              <w:b/>
              <w:bCs/>
            </w:rPr>
            <w:fldChar w:fldCharType="end"/>
          </w:r>
        </w:p>
        <w:p w14:paraId="38E332F0">
          <w:pPr>
            <w:pStyle w:val="8"/>
            <w:tabs>
              <w:tab w:val="right" w:leader="dot" w:pos="8306"/>
            </w:tabs>
            <w:spacing w:line="360" w:lineRule="auto"/>
            <w:rPr>
              <w:b/>
              <w:bCs/>
            </w:rPr>
          </w:pPr>
          <w:r>
            <w:rPr>
              <w:b/>
              <w:bCs/>
            </w:rPr>
            <w:fldChar w:fldCharType="begin"/>
          </w:r>
          <w:r>
            <w:rPr>
              <w:b/>
              <w:bCs/>
            </w:rPr>
            <w:instrText xml:space="preserve"> HYPERLINK \l _Toc29184 </w:instrText>
          </w:r>
          <w:r>
            <w:rPr>
              <w:b/>
              <w:bCs/>
            </w:rPr>
            <w:fldChar w:fldCharType="separate"/>
          </w:r>
          <w:r>
            <w:rPr>
              <w:rFonts w:hint="eastAsia"/>
              <w:b/>
              <w:bCs/>
              <w:lang w:val="en-US" w:eastAsia="zh-CN"/>
            </w:rPr>
            <w:t>6 主要技术内容说明</w:t>
          </w:r>
          <w:r>
            <w:rPr>
              <w:b/>
              <w:bCs/>
            </w:rPr>
            <w:tab/>
          </w:r>
          <w:r>
            <w:rPr>
              <w:b/>
              <w:bCs/>
            </w:rPr>
            <w:fldChar w:fldCharType="begin"/>
          </w:r>
          <w:r>
            <w:rPr>
              <w:b/>
              <w:bCs/>
            </w:rPr>
            <w:instrText xml:space="preserve"> PAGEREF _Toc29184 \h </w:instrText>
          </w:r>
          <w:r>
            <w:rPr>
              <w:b/>
              <w:bCs/>
            </w:rPr>
            <w:fldChar w:fldCharType="separate"/>
          </w:r>
          <w:r>
            <w:rPr>
              <w:b/>
              <w:bCs/>
            </w:rPr>
            <w:t>4</w:t>
          </w:r>
          <w:r>
            <w:rPr>
              <w:b/>
              <w:bCs/>
            </w:rPr>
            <w:fldChar w:fldCharType="end"/>
          </w:r>
          <w:r>
            <w:rPr>
              <w:b/>
              <w:bCs/>
            </w:rPr>
            <w:fldChar w:fldCharType="end"/>
          </w:r>
        </w:p>
        <w:p w14:paraId="71F77C77">
          <w:pPr>
            <w:pStyle w:val="8"/>
            <w:tabs>
              <w:tab w:val="right" w:leader="dot" w:pos="8306"/>
            </w:tabs>
            <w:spacing w:line="360" w:lineRule="auto"/>
            <w:rPr>
              <w:b/>
              <w:bCs/>
            </w:rPr>
          </w:pPr>
          <w:r>
            <w:rPr>
              <w:b/>
              <w:bCs/>
            </w:rPr>
            <w:fldChar w:fldCharType="begin"/>
          </w:r>
          <w:r>
            <w:rPr>
              <w:b/>
              <w:bCs/>
            </w:rPr>
            <w:instrText xml:space="preserve"> HYPERLINK \l _Toc14464 </w:instrText>
          </w:r>
          <w:r>
            <w:rPr>
              <w:b/>
              <w:bCs/>
            </w:rPr>
            <w:fldChar w:fldCharType="separate"/>
          </w:r>
          <w:r>
            <w:rPr>
              <w:rFonts w:hint="default" w:ascii="Times New Roman" w:hAnsi="Times New Roman" w:cs="Times New Roman"/>
              <w:b/>
              <w:bCs/>
              <w:spacing w:val="100"/>
            </w:rPr>
            <w:t xml:space="preserve">附录A </w:t>
          </w:r>
          <w:r>
            <w:rPr>
              <w:b/>
              <w:bCs/>
            </w:rPr>
            <w:tab/>
          </w:r>
          <w:r>
            <w:rPr>
              <w:b/>
              <w:bCs/>
            </w:rPr>
            <w:fldChar w:fldCharType="begin"/>
          </w:r>
          <w:r>
            <w:rPr>
              <w:b/>
              <w:bCs/>
            </w:rPr>
            <w:instrText xml:space="preserve"> PAGEREF _Toc14464 \h </w:instrText>
          </w:r>
          <w:r>
            <w:rPr>
              <w:b/>
              <w:bCs/>
            </w:rPr>
            <w:fldChar w:fldCharType="separate"/>
          </w:r>
          <w:r>
            <w:rPr>
              <w:b/>
              <w:bCs/>
            </w:rPr>
            <w:t>10</w:t>
          </w:r>
          <w:r>
            <w:rPr>
              <w:b/>
              <w:bCs/>
            </w:rPr>
            <w:fldChar w:fldCharType="end"/>
          </w:r>
          <w:r>
            <w:rPr>
              <w:b/>
              <w:bCs/>
            </w:rPr>
            <w:fldChar w:fldCharType="end"/>
          </w:r>
        </w:p>
        <w:p w14:paraId="6389A317">
          <w:pPr>
            <w:pStyle w:val="8"/>
            <w:tabs>
              <w:tab w:val="right" w:leader="dot" w:pos="8306"/>
            </w:tabs>
            <w:spacing w:line="360" w:lineRule="auto"/>
            <w:rPr>
              <w:b/>
              <w:bCs/>
            </w:rPr>
          </w:pPr>
          <w:r>
            <w:rPr>
              <w:b/>
              <w:bCs/>
            </w:rPr>
            <w:fldChar w:fldCharType="begin"/>
          </w:r>
          <w:r>
            <w:rPr>
              <w:b/>
              <w:bCs/>
            </w:rPr>
            <w:instrText xml:space="preserve"> HYPERLINK \l _Toc16842 </w:instrText>
          </w:r>
          <w:r>
            <w:rPr>
              <w:b/>
              <w:bCs/>
            </w:rPr>
            <w:fldChar w:fldCharType="separate"/>
          </w:r>
          <w:r>
            <w:rPr>
              <w:rFonts w:hint="default" w:ascii="Times New Roman" w:hAnsi="Times New Roman" w:cs="Times New Roman"/>
              <w:b/>
              <w:bCs/>
              <w:spacing w:val="100"/>
            </w:rPr>
            <w:t xml:space="preserve">附录B </w:t>
          </w:r>
          <w:r>
            <w:rPr>
              <w:b/>
              <w:bCs/>
            </w:rPr>
            <w:tab/>
          </w:r>
          <w:r>
            <w:rPr>
              <w:b/>
              <w:bCs/>
            </w:rPr>
            <w:fldChar w:fldCharType="begin"/>
          </w:r>
          <w:r>
            <w:rPr>
              <w:b/>
              <w:bCs/>
            </w:rPr>
            <w:instrText xml:space="preserve"> PAGEREF _Toc16842 \h </w:instrText>
          </w:r>
          <w:r>
            <w:rPr>
              <w:b/>
              <w:bCs/>
            </w:rPr>
            <w:fldChar w:fldCharType="separate"/>
          </w:r>
          <w:r>
            <w:rPr>
              <w:b/>
              <w:bCs/>
            </w:rPr>
            <w:t>11</w:t>
          </w:r>
          <w:r>
            <w:rPr>
              <w:b/>
              <w:bCs/>
            </w:rPr>
            <w:fldChar w:fldCharType="end"/>
          </w:r>
          <w:r>
            <w:rPr>
              <w:b/>
              <w:bCs/>
            </w:rPr>
            <w:fldChar w:fldCharType="end"/>
          </w:r>
        </w:p>
        <w:p w14:paraId="353E2607">
          <w:pPr>
            <w:pStyle w:val="8"/>
            <w:tabs>
              <w:tab w:val="right" w:leader="dot" w:pos="8306"/>
            </w:tabs>
            <w:spacing w:line="360" w:lineRule="auto"/>
            <w:rPr>
              <w:b/>
              <w:bCs/>
            </w:rPr>
          </w:pPr>
          <w:r>
            <w:rPr>
              <w:b/>
              <w:bCs/>
            </w:rPr>
            <w:fldChar w:fldCharType="begin"/>
          </w:r>
          <w:r>
            <w:rPr>
              <w:b/>
              <w:bCs/>
            </w:rPr>
            <w:instrText xml:space="preserve"> HYPERLINK \l _Toc6848 </w:instrText>
          </w:r>
          <w:r>
            <w:rPr>
              <w:b/>
              <w:bCs/>
            </w:rPr>
            <w:fldChar w:fldCharType="separate"/>
          </w:r>
          <w:r>
            <w:rPr>
              <w:rFonts w:hint="default" w:ascii="Times New Roman" w:hAnsi="Times New Roman" w:cs="Times New Roman"/>
              <w:b/>
              <w:bCs/>
              <w:spacing w:val="100"/>
            </w:rPr>
            <w:t xml:space="preserve">附录C </w:t>
          </w:r>
          <w:r>
            <w:rPr>
              <w:b/>
              <w:bCs/>
            </w:rPr>
            <w:tab/>
          </w:r>
          <w:r>
            <w:rPr>
              <w:b/>
              <w:bCs/>
            </w:rPr>
            <w:fldChar w:fldCharType="begin"/>
          </w:r>
          <w:r>
            <w:rPr>
              <w:b/>
              <w:bCs/>
            </w:rPr>
            <w:instrText xml:space="preserve"> PAGEREF _Toc6848 \h </w:instrText>
          </w:r>
          <w:r>
            <w:rPr>
              <w:b/>
              <w:bCs/>
            </w:rPr>
            <w:fldChar w:fldCharType="separate"/>
          </w:r>
          <w:r>
            <w:rPr>
              <w:b/>
              <w:bCs/>
            </w:rPr>
            <w:t>13</w:t>
          </w:r>
          <w:r>
            <w:rPr>
              <w:b/>
              <w:bCs/>
            </w:rPr>
            <w:fldChar w:fldCharType="end"/>
          </w:r>
          <w:r>
            <w:rPr>
              <w:b/>
              <w:bCs/>
            </w:rPr>
            <w:fldChar w:fldCharType="end"/>
          </w:r>
        </w:p>
        <w:p w14:paraId="27D6FEDA">
          <w:pPr>
            <w:pStyle w:val="8"/>
            <w:tabs>
              <w:tab w:val="right" w:leader="dot" w:pos="8306"/>
            </w:tabs>
            <w:spacing w:line="360" w:lineRule="auto"/>
            <w:rPr>
              <w:b/>
              <w:bCs/>
            </w:rPr>
          </w:pPr>
          <w:r>
            <w:rPr>
              <w:b/>
              <w:bCs/>
            </w:rPr>
            <w:fldChar w:fldCharType="begin"/>
          </w:r>
          <w:r>
            <w:rPr>
              <w:b/>
              <w:bCs/>
            </w:rPr>
            <w:instrText xml:space="preserve"> HYPERLINK \l _Toc20430 </w:instrText>
          </w:r>
          <w:r>
            <w:rPr>
              <w:b/>
              <w:bCs/>
            </w:rPr>
            <w:fldChar w:fldCharType="separate"/>
          </w:r>
          <w:r>
            <w:rPr>
              <w:rFonts w:hint="eastAsia" w:hAnsi="黑体" w:cs="黑体"/>
              <w:b/>
              <w:bCs/>
            </w:rPr>
            <w:t>参 考 文 献</w:t>
          </w:r>
          <w:r>
            <w:rPr>
              <w:b/>
              <w:bCs/>
            </w:rPr>
            <w:tab/>
          </w:r>
          <w:r>
            <w:rPr>
              <w:b/>
              <w:bCs/>
            </w:rPr>
            <w:fldChar w:fldCharType="begin"/>
          </w:r>
          <w:r>
            <w:rPr>
              <w:b/>
              <w:bCs/>
            </w:rPr>
            <w:instrText xml:space="preserve"> PAGEREF _Toc20430 \h </w:instrText>
          </w:r>
          <w:r>
            <w:rPr>
              <w:b/>
              <w:bCs/>
            </w:rPr>
            <w:fldChar w:fldCharType="separate"/>
          </w:r>
          <w:r>
            <w:rPr>
              <w:b/>
              <w:bCs/>
            </w:rPr>
            <w:t>15</w:t>
          </w:r>
          <w:r>
            <w:rPr>
              <w:b/>
              <w:bCs/>
            </w:rPr>
            <w:fldChar w:fldCharType="end"/>
          </w:r>
          <w:r>
            <w:rPr>
              <w:b/>
              <w:bCs/>
            </w:rPr>
            <w:fldChar w:fldCharType="end"/>
          </w:r>
        </w:p>
        <w:p w14:paraId="5E8072FD">
          <w:pPr>
            <w:spacing w:line="360" w:lineRule="auto"/>
          </w:pPr>
          <w:r>
            <w:rPr>
              <w:b/>
              <w:bCs/>
            </w:rPr>
            <w:fldChar w:fldCharType="end"/>
          </w:r>
        </w:p>
      </w:sdtContent>
    </w:sdt>
    <w:p w14:paraId="693AC562"/>
    <w:p w14:paraId="69744EEB">
      <w:pPr>
        <w:ind w:left="0" w:leftChars="0" w:firstLine="0" w:firstLineChars="0"/>
        <w:jc w:val="center"/>
        <w:rPr>
          <w:rFonts w:hint="eastAsia" w:ascii="仿宋" w:hAnsi="仿宋" w:eastAsia="仿宋" w:cs="仿宋"/>
          <w:b/>
          <w:bCs/>
          <w:sz w:val="32"/>
          <w:szCs w:val="32"/>
        </w:rPr>
        <w:sectPr>
          <w:footerReference r:id="rId9" w:type="default"/>
          <w:pgSz w:w="11906" w:h="16838"/>
          <w:pgMar w:top="1440" w:right="1800" w:bottom="1440" w:left="1800" w:header="851" w:footer="992" w:gutter="0"/>
          <w:pgNumType w:fmt="upperRoman"/>
          <w:cols w:space="425" w:num="1"/>
          <w:docGrid w:type="lines" w:linePitch="312" w:charSpace="0"/>
        </w:sectPr>
      </w:pPr>
    </w:p>
    <w:p w14:paraId="4BB9037C">
      <w:pPr>
        <w:ind w:left="0" w:lef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规模化生猪养殖臭气污染防治技术规范</w:t>
      </w:r>
      <w:r>
        <w:rPr>
          <w:rFonts w:hint="eastAsia" w:ascii="仿宋" w:hAnsi="仿宋" w:eastAsia="仿宋" w:cs="仿宋"/>
          <w:b/>
          <w:bCs/>
          <w:sz w:val="32"/>
          <w:szCs w:val="32"/>
        </w:rPr>
        <w:t>》编制说明</w:t>
      </w:r>
    </w:p>
    <w:p w14:paraId="2C160938">
      <w:pPr>
        <w:pStyle w:val="2"/>
        <w:bidi w:val="0"/>
        <w:rPr>
          <w:rFonts w:hint="eastAsia"/>
        </w:rPr>
      </w:pPr>
      <w:bookmarkStart w:id="0" w:name="_Toc179536932"/>
      <w:bookmarkStart w:id="1" w:name="_Toc19909"/>
      <w:bookmarkStart w:id="2" w:name="_Toc4014"/>
      <w:bookmarkStart w:id="3" w:name="_Toc3748"/>
      <w:r>
        <w:rPr>
          <w:rFonts w:hint="eastAsia"/>
        </w:rPr>
        <w:t>1 任务来源</w:t>
      </w:r>
      <w:bookmarkEnd w:id="0"/>
      <w:bookmarkEnd w:id="1"/>
      <w:bookmarkEnd w:id="2"/>
      <w:bookmarkEnd w:id="3"/>
    </w:p>
    <w:p w14:paraId="646C6210">
      <w:pPr>
        <w:widowControl/>
        <w:adjustRightInd w:val="0"/>
        <w:snapToGrid w:val="0"/>
        <w:spacing w:line="360" w:lineRule="auto"/>
        <w:ind w:firstLine="420" w:firstLineChars="200"/>
        <w:rPr>
          <w:rFonts w:ascii="Times New Roman" w:hAnsi="Times New Roman" w:eastAsia="宋体" w:cs="Times New Roman"/>
          <w:sz w:val="21"/>
          <w:szCs w:val="24"/>
        </w:rPr>
      </w:pPr>
      <w:bookmarkStart w:id="4" w:name="_Toc28448"/>
      <w:bookmarkStart w:id="5" w:name="_Toc30437"/>
      <w:r>
        <w:rPr>
          <w:rFonts w:ascii="Times New Roman" w:hAnsi="Times New Roman" w:eastAsia="宋体" w:cs="Times New Roman"/>
          <w:sz w:val="21"/>
          <w:szCs w:val="24"/>
        </w:rPr>
        <w:t>2022年，</w:t>
      </w:r>
      <w:r>
        <w:rPr>
          <w:rFonts w:ascii="Times New Roman" w:hAnsi="Times New Roman" w:cs="Times New Roman"/>
          <w:sz w:val="21"/>
          <w:szCs w:val="18"/>
        </w:rPr>
        <w:t>国家</w:t>
      </w:r>
      <w:r>
        <w:rPr>
          <w:rFonts w:ascii="Times New Roman" w:hAnsi="Times New Roman" w:eastAsia="宋体" w:cs="Times New Roman"/>
          <w:sz w:val="21"/>
          <w:szCs w:val="24"/>
        </w:rPr>
        <w:t>重点研发计划课题“非点源异味和低浓度VOCs 污染溯源与治理关键技术研发及示范”</w:t>
      </w:r>
      <w:r>
        <w:rPr>
          <w:rFonts w:hint="eastAsia" w:ascii="Times New Roman" w:hAnsi="Times New Roman" w:eastAsia="宋体" w:cs="Times New Roman"/>
          <w:sz w:val="21"/>
          <w:szCs w:val="24"/>
        </w:rPr>
        <w:t>立项（编号：</w:t>
      </w:r>
      <w:r>
        <w:rPr>
          <w:rFonts w:ascii="Times New Roman" w:hAnsi="Times New Roman" w:eastAsia="宋体" w:cs="Times New Roman"/>
          <w:sz w:val="21"/>
          <w:szCs w:val="24"/>
        </w:rPr>
        <w:t>2022YFC3702</w:t>
      </w:r>
      <w:r>
        <w:rPr>
          <w:rFonts w:hint="eastAsia" w:ascii="Times New Roman" w:hAnsi="Times New Roman" w:eastAsia="宋体" w:cs="Times New Roman"/>
          <w:sz w:val="21"/>
          <w:szCs w:val="24"/>
        </w:rPr>
        <w:t>），设置五个课题，其中课题五“非点源异味和低浓度 VOCs 治理技术工程示范”（编号：</w:t>
      </w:r>
      <w:r>
        <w:rPr>
          <w:rFonts w:ascii="Times New Roman" w:hAnsi="Times New Roman" w:eastAsia="宋体" w:cs="Times New Roman"/>
          <w:sz w:val="21"/>
          <w:szCs w:val="24"/>
        </w:rPr>
        <w:t>2022YFC3702</w:t>
      </w:r>
      <w:r>
        <w:rPr>
          <w:rFonts w:hint="eastAsia" w:ascii="Times New Roman" w:hAnsi="Times New Roman" w:eastAsia="宋体" w:cs="Times New Roman"/>
          <w:sz w:val="21"/>
          <w:szCs w:val="24"/>
        </w:rPr>
        <w:t>005）提出，以畜禽养殖区为研究对象，开展工程示范，构建臭气收集输配系统，建立多单元集成的废气处理工程装置，编制《</w:t>
      </w:r>
      <w:r>
        <w:rPr>
          <w:rFonts w:hint="eastAsia" w:ascii="Times New Roman" w:hAnsi="Times New Roman" w:cs="Times New Roman"/>
          <w:sz w:val="21"/>
          <w:szCs w:val="24"/>
          <w:lang w:val="en-US" w:eastAsia="zh-CN"/>
        </w:rPr>
        <w:t>规模化生猪养殖</w:t>
      </w:r>
      <w:r>
        <w:rPr>
          <w:rFonts w:hint="eastAsia" w:ascii="Times New Roman" w:hAnsi="Times New Roman" w:eastAsia="宋体" w:cs="Times New Roman"/>
          <w:sz w:val="21"/>
          <w:szCs w:val="24"/>
        </w:rPr>
        <w:t>臭气污染防治技术规范》。</w:t>
      </w:r>
      <w:bookmarkEnd w:id="4"/>
      <w:bookmarkEnd w:id="5"/>
    </w:p>
    <w:p w14:paraId="2CFAECE9">
      <w:pPr>
        <w:widowControl/>
        <w:adjustRightInd w:val="0"/>
        <w:snapToGrid w:val="0"/>
        <w:spacing w:line="360" w:lineRule="auto"/>
        <w:ind w:firstLine="420" w:firstLineChars="200"/>
        <w:rPr>
          <w:rFonts w:hint="eastAsia" w:ascii="黑体" w:hAnsi="黑体" w:eastAsia="黑体" w:cs="黑体"/>
          <w:sz w:val="21"/>
          <w:szCs w:val="24"/>
        </w:rPr>
      </w:pPr>
      <w:bookmarkStart w:id="6" w:name="_Toc24272"/>
      <w:bookmarkStart w:id="7" w:name="_Toc13180"/>
      <w:r>
        <w:rPr>
          <w:rFonts w:hint="eastAsia" w:ascii="Times New Roman" w:hAnsi="Times New Roman" w:eastAsia="宋体" w:cs="Times New Roman"/>
          <w:sz w:val="21"/>
          <w:szCs w:val="24"/>
        </w:rPr>
        <w:t>浙江工业大学是项目的牵头单位，也是课题五的承担单位，执行期限为2022年10至2025年09月，牵头承担该技术规范的编制工作。中华环保联合会</w:t>
      </w:r>
      <w:r>
        <w:rPr>
          <w:rFonts w:hint="eastAsia" w:cs="Times New Roman"/>
          <w:sz w:val="21"/>
          <w:szCs w:val="24"/>
          <w:lang w:val="en-US" w:eastAsia="zh-CN"/>
        </w:rPr>
        <w:t>恶臭异味</w:t>
      </w:r>
      <w:r>
        <w:rPr>
          <w:rFonts w:hint="eastAsia" w:ascii="Times New Roman" w:hAnsi="Times New Roman" w:eastAsia="宋体" w:cs="Times New Roman"/>
          <w:sz w:val="21"/>
          <w:szCs w:val="24"/>
        </w:rPr>
        <w:t>污染防治</w:t>
      </w:r>
      <w:r>
        <w:rPr>
          <w:rFonts w:hint="eastAsia" w:cs="Times New Roman"/>
          <w:sz w:val="21"/>
          <w:szCs w:val="24"/>
          <w:lang w:val="en-US" w:eastAsia="zh-CN"/>
        </w:rPr>
        <w:t>专业委员会</w:t>
      </w:r>
      <w:r>
        <w:rPr>
          <w:rFonts w:hint="eastAsia" w:ascii="Times New Roman" w:hAnsi="Times New Roman" w:eastAsia="宋体" w:cs="Times New Roman"/>
          <w:sz w:val="21"/>
          <w:szCs w:val="24"/>
        </w:rPr>
        <w:t>作为行业性的社团组织，对该项技术规范进行团体标准立项管理，组织文稿内容评审工作。课题参与单位</w:t>
      </w:r>
      <w:r>
        <w:rPr>
          <w:rFonts w:hint="eastAsia" w:ascii="Times New Roman" w:hAnsi="Times New Roman" w:cs="Times New Roman"/>
          <w:sz w:val="21"/>
          <w:szCs w:val="24"/>
          <w:lang w:val="en-US" w:eastAsia="zh-CN"/>
        </w:rPr>
        <w:t>有浙江天蓝环保技术股份有限公司</w:t>
      </w:r>
      <w:r>
        <w:rPr>
          <w:rFonts w:hint="eastAsia" w:ascii="Times New Roman" w:hAnsi="Times New Roman" w:eastAsia="宋体" w:cs="Times New Roman"/>
          <w:sz w:val="21"/>
          <w:szCs w:val="24"/>
        </w:rPr>
        <w:t>、浙江大学、浙江海洋大学、山东新希望六和集团有限公司</w:t>
      </w:r>
      <w:r>
        <w:rPr>
          <w:rFonts w:hint="eastAsia" w:cs="Times New Roman"/>
          <w:sz w:val="21"/>
          <w:szCs w:val="24"/>
          <w:lang w:eastAsia="zh-CN"/>
        </w:rPr>
        <w:t>、</w:t>
      </w:r>
      <w:r>
        <w:rPr>
          <w:rFonts w:hint="eastAsia" w:ascii="Times New Roman" w:hAnsi="Times New Roman" w:eastAsia="宋体" w:cs="Times New Roman"/>
          <w:sz w:val="21"/>
          <w:szCs w:val="24"/>
        </w:rPr>
        <w:t>北京国环汇智环境科技有限公司等单位，作为主要起草单位，共同参与《</w:t>
      </w:r>
      <w:r>
        <w:rPr>
          <w:rFonts w:hint="eastAsia" w:ascii="Times New Roman" w:hAnsi="Times New Roman" w:cs="Times New Roman"/>
          <w:sz w:val="21"/>
          <w:szCs w:val="24"/>
          <w:lang w:val="en-US" w:eastAsia="zh-CN"/>
        </w:rPr>
        <w:t>规模化生猪</w:t>
      </w:r>
      <w:r>
        <w:rPr>
          <w:rFonts w:hint="eastAsia" w:ascii="Times New Roman" w:hAnsi="Times New Roman" w:eastAsia="宋体" w:cs="Times New Roman"/>
          <w:sz w:val="21"/>
          <w:szCs w:val="24"/>
        </w:rPr>
        <w:t>养殖臭气污染防治技术规范》文本的编写工作。</w:t>
      </w:r>
      <w:bookmarkEnd w:id="6"/>
      <w:bookmarkEnd w:id="7"/>
    </w:p>
    <w:p w14:paraId="315F6C1B">
      <w:pPr>
        <w:pStyle w:val="2"/>
        <w:bidi w:val="0"/>
        <w:rPr>
          <w:rFonts w:hint="eastAsia"/>
        </w:rPr>
      </w:pPr>
      <w:bookmarkStart w:id="8" w:name="_Toc179536933"/>
      <w:bookmarkStart w:id="9" w:name="_Toc11968"/>
      <w:bookmarkStart w:id="10" w:name="_Toc15004"/>
      <w:bookmarkStart w:id="11" w:name="_Toc4889"/>
      <w:r>
        <w:rPr>
          <w:rFonts w:hint="eastAsia"/>
        </w:rPr>
        <w:t>2 标准制定必要性、编制依据 、编制原则</w:t>
      </w:r>
      <w:bookmarkEnd w:id="8"/>
      <w:bookmarkEnd w:id="9"/>
      <w:bookmarkEnd w:id="10"/>
      <w:bookmarkEnd w:id="11"/>
    </w:p>
    <w:p w14:paraId="34C309E5">
      <w:pPr>
        <w:pStyle w:val="3"/>
        <w:bidi w:val="0"/>
        <w:rPr>
          <w:rFonts w:hint="eastAsia"/>
        </w:rPr>
      </w:pPr>
      <w:r>
        <w:rPr>
          <w:rFonts w:hint="eastAsia"/>
        </w:rPr>
        <w:t>2.1 标准制定的必要性</w:t>
      </w:r>
    </w:p>
    <w:p w14:paraId="74794FE0">
      <w:pPr>
        <w:widowControl/>
        <w:adjustRightInd w:val="0"/>
        <w:snapToGrid w:val="0"/>
        <w:spacing w:line="360" w:lineRule="auto"/>
        <w:ind w:firstLine="420" w:firstLineChars="200"/>
        <w:rPr>
          <w:rFonts w:hint="default" w:ascii="Times New Roman" w:hAnsi="Times New Roman" w:eastAsia="宋体" w:cs="Times New Roman"/>
          <w:bCs/>
          <w:color w:val="000000"/>
          <w:sz w:val="21"/>
          <w:szCs w:val="21"/>
        </w:rPr>
      </w:pPr>
      <w:r>
        <w:rPr>
          <w:rFonts w:hint="eastAsia" w:ascii="宋体" w:hAnsi="宋体" w:eastAsia="宋体" w:cs="宋体"/>
          <w:bCs/>
          <w:color w:val="000000"/>
          <w:sz w:val="21"/>
          <w:szCs w:val="21"/>
        </w:rPr>
        <w:t>为</w:t>
      </w:r>
      <w:r>
        <w:rPr>
          <w:rFonts w:hint="default" w:ascii="Times New Roman" w:hAnsi="Times New Roman" w:eastAsia="宋体" w:cs="Times New Roman"/>
          <w:bCs/>
          <w:color w:val="000000"/>
          <w:sz w:val="21"/>
          <w:szCs w:val="21"/>
        </w:rPr>
        <w:t>贯彻落实《畜禽规模养殖污染防治条例》及国务院办公厅</w:t>
      </w:r>
      <w:r>
        <w:rPr>
          <w:rFonts w:hint="default" w:ascii="Times New Roman" w:hAnsi="Times New Roman" w:cs="Times New Roman"/>
          <w:sz w:val="21"/>
          <w:szCs w:val="21"/>
        </w:rPr>
        <w:t>《关于加快推进畜禽养殖废弃物资源化利用的实施意见》</w:t>
      </w:r>
      <w:r>
        <w:rPr>
          <w:rFonts w:hint="default" w:ascii="Times New Roman" w:hAnsi="Times New Roman" w:eastAsia="宋体" w:cs="Times New Roman"/>
          <w:bCs/>
          <w:color w:val="000000"/>
          <w:sz w:val="21"/>
          <w:szCs w:val="21"/>
        </w:rPr>
        <w:t>（国办发[2017]48号）等有关重要文件精神，依据生态环境部2009年颁布的《畜禽养殖业污染治理工程技术规范》（HJ 497</w:t>
      </w:r>
      <w:r>
        <w:rPr>
          <w:rFonts w:hint="eastAsia" w:cs="Times New Roman"/>
          <w:bCs/>
          <w:color w:val="000000"/>
          <w:sz w:val="21"/>
          <w:szCs w:val="21"/>
          <w:lang w:val="en-US" w:eastAsia="zh-CN"/>
        </w:rPr>
        <w:t>-</w:t>
      </w:r>
      <w:r>
        <w:rPr>
          <w:rFonts w:hint="default" w:ascii="Times New Roman" w:hAnsi="Times New Roman" w:eastAsia="宋体" w:cs="Times New Roman"/>
          <w:bCs/>
          <w:color w:val="000000"/>
          <w:sz w:val="21"/>
          <w:szCs w:val="21"/>
        </w:rPr>
        <w:t>2009）内容，推进畜禽养殖业绿色发展，解决畜禽养殖过程的环境污染，特别是臭气扰民问题，需要对臭气污染防治进行技术规范。</w:t>
      </w:r>
    </w:p>
    <w:p w14:paraId="29471E3F">
      <w:pPr>
        <w:widowControl/>
        <w:adjustRightInd w:val="0"/>
        <w:snapToGrid w:val="0"/>
        <w:spacing w:line="360" w:lineRule="auto"/>
        <w:ind w:firstLine="420" w:firstLineChars="200"/>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近年来，规模化、集约化养殖场发展迅速，其中规模化养猪场发展最为迅速。据统计，2024年的中国生猪养殖规模化率，已经高达70%左右。到2024年，生猪出栏数到7.03亿头，同比下降3.3%，猪肉产品产量也基本维持在每年5000万吨的水平。全世界（2023 年）养猪规模已达 12.96 亿头，中国生猪产量占比超过50%。中国生猪养殖业的发展有力保障全国甚至世界畜产品有效供应和安全。</w:t>
      </w:r>
    </w:p>
    <w:p w14:paraId="16F7FC0A">
      <w:pPr>
        <w:widowControl/>
        <w:adjustRightInd w:val="0"/>
        <w:snapToGrid w:val="0"/>
        <w:spacing w:line="360" w:lineRule="auto"/>
        <w:ind w:firstLine="420" w:firstLineChars="200"/>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但与此同时，生猪养殖粪污产生量大，</w:t>
      </w:r>
      <w:r>
        <w:rPr>
          <w:rFonts w:hint="eastAsia" w:cs="Times New Roman"/>
          <w:bCs/>
          <w:color w:val="000000"/>
          <w:sz w:val="21"/>
          <w:szCs w:val="21"/>
          <w:lang w:val="en-US" w:eastAsia="zh-CN"/>
        </w:rPr>
        <w:t>每头</w:t>
      </w:r>
      <w:r>
        <w:rPr>
          <w:rFonts w:hint="default" w:ascii="Times New Roman" w:hAnsi="Times New Roman" w:eastAsia="宋体" w:cs="Times New Roman"/>
          <w:bCs/>
          <w:color w:val="000000"/>
          <w:sz w:val="21"/>
          <w:szCs w:val="21"/>
        </w:rPr>
        <w:t>生猪</w:t>
      </w:r>
      <w:r>
        <w:rPr>
          <w:rFonts w:hint="eastAsia" w:cs="Times New Roman"/>
          <w:bCs/>
          <w:color w:val="000000"/>
          <w:sz w:val="21"/>
          <w:szCs w:val="21"/>
          <w:lang w:val="en-US" w:eastAsia="zh-CN"/>
        </w:rPr>
        <w:t>每天</w:t>
      </w:r>
      <w:r>
        <w:rPr>
          <w:rFonts w:hint="default" w:ascii="Times New Roman" w:hAnsi="Times New Roman" w:eastAsia="宋体" w:cs="Times New Roman"/>
          <w:bCs/>
          <w:color w:val="000000"/>
          <w:sz w:val="21"/>
          <w:szCs w:val="21"/>
        </w:rPr>
        <w:t>产粪污</w:t>
      </w:r>
      <w:r>
        <w:rPr>
          <w:rFonts w:hint="eastAsia" w:cs="Times New Roman"/>
          <w:bCs/>
          <w:color w:val="000000"/>
          <w:sz w:val="21"/>
          <w:szCs w:val="21"/>
          <w:lang w:val="en-US" w:eastAsia="zh-CN"/>
        </w:rPr>
        <w:t>平均</w:t>
      </w:r>
      <w:r>
        <w:rPr>
          <w:rFonts w:hint="default" w:ascii="Times New Roman" w:hAnsi="Times New Roman" w:eastAsia="宋体" w:cs="Times New Roman"/>
          <w:bCs/>
          <w:color w:val="000000"/>
          <w:sz w:val="21"/>
          <w:szCs w:val="21"/>
        </w:rPr>
        <w:t>为 2~5 kg</w:t>
      </w:r>
      <w:r>
        <w:rPr>
          <w:rFonts w:hint="eastAsia" w:cs="Times New Roman"/>
          <w:bCs/>
          <w:color w:val="000000"/>
          <w:sz w:val="21"/>
          <w:szCs w:val="21"/>
          <w:lang w:eastAsia="zh-CN"/>
        </w:rPr>
        <w:t>，</w:t>
      </w:r>
      <w:r>
        <w:rPr>
          <w:rFonts w:hint="default" w:ascii="Times New Roman" w:hAnsi="Times New Roman" w:eastAsia="宋体" w:cs="Times New Roman"/>
          <w:bCs/>
          <w:color w:val="000000"/>
          <w:sz w:val="21"/>
          <w:szCs w:val="21"/>
        </w:rPr>
        <w:t>我国每年猪粪产量可达 40亿吨</w:t>
      </w:r>
      <w:r>
        <w:rPr>
          <w:rFonts w:hint="eastAsia" w:cs="Times New Roman"/>
          <w:bCs/>
          <w:color w:val="000000"/>
          <w:sz w:val="21"/>
          <w:szCs w:val="21"/>
          <w:lang w:eastAsia="zh-CN"/>
        </w:rPr>
        <w:t>，</w:t>
      </w:r>
      <w:r>
        <w:rPr>
          <w:rFonts w:hint="default" w:ascii="Times New Roman" w:hAnsi="Times New Roman" w:eastAsia="宋体" w:cs="Times New Roman"/>
          <w:bCs/>
          <w:color w:val="000000"/>
          <w:sz w:val="21"/>
          <w:szCs w:val="21"/>
        </w:rPr>
        <w:t>粪污排放的恶臭气体对养猪场周围农户生活及环境带来了一定的不良影响。特别是</w:t>
      </w:r>
      <w:r>
        <w:rPr>
          <w:rFonts w:hint="eastAsia" w:cs="Times New Roman"/>
          <w:bCs/>
          <w:color w:val="000000"/>
          <w:sz w:val="21"/>
          <w:szCs w:val="21"/>
          <w:lang w:val="en-US" w:eastAsia="zh-CN"/>
        </w:rPr>
        <w:t>生猪</w:t>
      </w:r>
      <w:r>
        <w:rPr>
          <w:rFonts w:hint="default" w:ascii="Times New Roman" w:hAnsi="Times New Roman" w:eastAsia="宋体" w:cs="Times New Roman"/>
          <w:bCs/>
          <w:color w:val="000000"/>
          <w:sz w:val="21"/>
          <w:szCs w:val="21"/>
        </w:rPr>
        <w:t>养殖过程，</w:t>
      </w:r>
      <w:r>
        <w:rPr>
          <w:rFonts w:hint="eastAsia" w:cs="Times New Roman"/>
          <w:bCs/>
          <w:color w:val="000000"/>
          <w:sz w:val="21"/>
          <w:szCs w:val="21"/>
          <w:lang w:val="en-US" w:eastAsia="zh-CN"/>
        </w:rPr>
        <w:t>生猪</w:t>
      </w:r>
      <w:r>
        <w:rPr>
          <w:rFonts w:hint="default" w:ascii="Times New Roman" w:hAnsi="Times New Roman" w:eastAsia="宋体" w:cs="Times New Roman"/>
          <w:bCs/>
          <w:color w:val="000000"/>
          <w:sz w:val="21"/>
          <w:szCs w:val="21"/>
        </w:rPr>
        <w:t>粪便污染物进入水体，造成区域水质恶化，产生的 NH</w:t>
      </w:r>
      <w:r>
        <w:rPr>
          <w:rFonts w:hint="default" w:ascii="Times New Roman" w:hAnsi="Times New Roman" w:eastAsia="宋体" w:cs="Times New Roman"/>
          <w:bCs/>
          <w:color w:val="000000"/>
          <w:sz w:val="21"/>
          <w:szCs w:val="21"/>
          <w:vertAlign w:val="subscript"/>
        </w:rPr>
        <w:t>3</w:t>
      </w:r>
      <w:r>
        <w:rPr>
          <w:rFonts w:hint="default" w:ascii="Times New Roman" w:hAnsi="Times New Roman" w:eastAsia="宋体" w:cs="Times New Roman"/>
          <w:bCs/>
          <w:color w:val="000000"/>
          <w:sz w:val="21"/>
          <w:szCs w:val="21"/>
        </w:rPr>
        <w:t>、H</w:t>
      </w:r>
      <w:r>
        <w:rPr>
          <w:rFonts w:hint="default" w:ascii="Times New Roman" w:hAnsi="Times New Roman" w:eastAsia="宋体" w:cs="Times New Roman"/>
          <w:bCs/>
          <w:color w:val="000000"/>
          <w:sz w:val="21"/>
          <w:szCs w:val="21"/>
          <w:vertAlign w:val="subscript"/>
        </w:rPr>
        <w:t>2</w:t>
      </w:r>
      <w:r>
        <w:rPr>
          <w:rFonts w:hint="default" w:ascii="Times New Roman" w:hAnsi="Times New Roman" w:eastAsia="宋体" w:cs="Times New Roman"/>
          <w:bCs/>
          <w:color w:val="000000"/>
          <w:sz w:val="21"/>
          <w:szCs w:val="21"/>
        </w:rPr>
        <w:t>S、粪臭素等有害气体，不仅会影响动物生长，还会严重影响人类健康和周围环境。</w:t>
      </w:r>
      <w:r>
        <w:rPr>
          <w:rFonts w:hint="eastAsia" w:cs="Times New Roman"/>
          <w:bCs/>
          <w:color w:val="000000"/>
          <w:sz w:val="21"/>
          <w:szCs w:val="21"/>
          <w:lang w:val="en-US" w:eastAsia="zh-CN"/>
        </w:rPr>
        <w:t>生猪</w:t>
      </w:r>
      <w:r>
        <w:rPr>
          <w:rFonts w:hint="default" w:ascii="Times New Roman" w:hAnsi="Times New Roman" w:eastAsia="宋体" w:cs="Times New Roman"/>
          <w:bCs/>
          <w:color w:val="000000"/>
          <w:sz w:val="21"/>
          <w:szCs w:val="21"/>
        </w:rPr>
        <w:t>养殖场周围居民对于恶臭污染投诉的案例也在不断增加</w:t>
      </w:r>
      <w:r>
        <w:rPr>
          <w:rFonts w:hint="eastAsia" w:cs="Times New Roman"/>
          <w:bCs/>
          <w:color w:val="000000"/>
          <w:sz w:val="21"/>
          <w:szCs w:val="21"/>
          <w:lang w:eastAsia="zh-CN"/>
        </w:rPr>
        <w:t>。</w:t>
      </w:r>
      <w:r>
        <w:rPr>
          <w:rFonts w:hint="eastAsia" w:cs="Times New Roman"/>
          <w:bCs/>
          <w:color w:val="000000"/>
          <w:sz w:val="21"/>
          <w:szCs w:val="21"/>
          <w:lang w:val="en-US" w:eastAsia="zh-CN"/>
        </w:rPr>
        <w:t>因此，</w:t>
      </w:r>
      <w:r>
        <w:rPr>
          <w:rFonts w:hint="default" w:ascii="Times New Roman" w:hAnsi="Times New Roman" w:eastAsia="宋体" w:cs="Times New Roman"/>
          <w:bCs/>
          <w:color w:val="000000"/>
          <w:sz w:val="21"/>
          <w:szCs w:val="21"/>
        </w:rPr>
        <w:t>养猪场臭气治理问题成为民生关注的焦点。</w:t>
      </w:r>
    </w:p>
    <w:p w14:paraId="510AD569">
      <w:pPr>
        <w:widowControl/>
        <w:adjustRightInd w:val="0"/>
        <w:snapToGrid w:val="0"/>
        <w:spacing w:line="360" w:lineRule="auto"/>
        <w:ind w:firstLine="420" w:firstLineChars="200"/>
        <w:rPr>
          <w:rFonts w:hint="default" w:ascii="Times New Roman" w:hAnsi="Times New Roman" w:eastAsia="宋体" w:cs="Times New Roman"/>
          <w:bCs/>
          <w:color w:val="000000"/>
          <w:sz w:val="21"/>
          <w:szCs w:val="21"/>
        </w:rPr>
      </w:pPr>
      <w:r>
        <w:rPr>
          <w:rFonts w:hint="eastAsia" w:cs="Times New Roman"/>
          <w:bCs/>
          <w:color w:val="000000"/>
          <w:sz w:val="21"/>
          <w:szCs w:val="21"/>
          <w:lang w:val="en-US" w:eastAsia="zh-CN"/>
        </w:rPr>
        <w:t>生猪</w:t>
      </w:r>
      <w:r>
        <w:rPr>
          <w:rFonts w:hint="default" w:ascii="Times New Roman" w:hAnsi="Times New Roman" w:eastAsia="宋体" w:cs="Times New Roman"/>
          <w:bCs/>
          <w:color w:val="000000"/>
          <w:sz w:val="21"/>
          <w:szCs w:val="21"/>
        </w:rPr>
        <w:t>饲养过程臭气具有成分复杂、产排污环节多、无组织排放</w:t>
      </w:r>
      <w:r>
        <w:rPr>
          <w:rFonts w:hint="eastAsia" w:cs="Times New Roman"/>
          <w:bCs/>
          <w:color w:val="000000"/>
          <w:sz w:val="21"/>
          <w:szCs w:val="21"/>
          <w:lang w:val="en-US" w:eastAsia="zh-CN"/>
        </w:rPr>
        <w:t>以及浓度波动大等</w:t>
      </w:r>
      <w:r>
        <w:rPr>
          <w:rFonts w:hint="default" w:ascii="Times New Roman" w:hAnsi="Times New Roman" w:eastAsia="宋体" w:cs="Times New Roman"/>
          <w:bCs/>
          <w:color w:val="000000"/>
          <w:sz w:val="21"/>
          <w:szCs w:val="21"/>
        </w:rPr>
        <w:t>明显的特点。目前，很多养</w:t>
      </w:r>
      <w:r>
        <w:rPr>
          <w:rFonts w:hint="eastAsia" w:cs="Times New Roman"/>
          <w:bCs/>
          <w:color w:val="000000"/>
          <w:sz w:val="21"/>
          <w:szCs w:val="21"/>
          <w:lang w:val="en-US" w:eastAsia="zh-CN"/>
        </w:rPr>
        <w:t>猪</w:t>
      </w:r>
      <w:r>
        <w:rPr>
          <w:rFonts w:hint="default" w:ascii="Times New Roman" w:hAnsi="Times New Roman" w:eastAsia="宋体" w:cs="Times New Roman"/>
          <w:bCs/>
          <w:color w:val="000000"/>
          <w:sz w:val="21"/>
          <w:szCs w:val="21"/>
        </w:rPr>
        <w:t>场</w:t>
      </w:r>
      <w:r>
        <w:rPr>
          <w:rFonts w:hint="default" w:ascii="Times New Roman" w:hAnsi="Times New Roman" w:cs="Times New Roman"/>
          <w:sz w:val="21"/>
          <w:szCs w:val="21"/>
        </w:rPr>
        <w:t>采用</w:t>
      </w:r>
      <w:r>
        <w:rPr>
          <w:rFonts w:hint="default" w:ascii="Times New Roman" w:hAnsi="Times New Roman" w:eastAsia="宋体" w:cs="Times New Roman"/>
          <w:bCs/>
          <w:color w:val="000000"/>
          <w:sz w:val="21"/>
          <w:szCs w:val="21"/>
        </w:rPr>
        <w:t>风机系统对养殖区域进行通风处理，也有用水帘做降温处理，但限于处理成本、处理工艺等因素，这些臭气有效处理率和处理稳定性一直处于较低水平，处理技术不规范，对周围的空气造成污染。此外，有些工程运行效果比较好，但存在处理规模大、总体投资高等问题，一定程度上限制了处理技术的推广和运用，造成我国</w:t>
      </w:r>
      <w:r>
        <w:rPr>
          <w:rFonts w:hint="eastAsia" w:cs="Times New Roman"/>
          <w:bCs/>
          <w:color w:val="000000"/>
          <w:sz w:val="21"/>
          <w:szCs w:val="21"/>
          <w:lang w:val="en-US" w:eastAsia="zh-CN"/>
        </w:rPr>
        <w:t>生猪</w:t>
      </w:r>
      <w:r>
        <w:rPr>
          <w:rFonts w:hint="default" w:ascii="Times New Roman" w:hAnsi="Times New Roman" w:eastAsia="宋体" w:cs="Times New Roman"/>
          <w:bCs/>
          <w:color w:val="000000"/>
          <w:sz w:val="21"/>
          <w:szCs w:val="21"/>
        </w:rPr>
        <w:t>养殖业的污染问题最终未能得到有效的根本解决。目前，国内外对于</w:t>
      </w:r>
      <w:r>
        <w:rPr>
          <w:rFonts w:hint="eastAsia" w:cs="Times New Roman"/>
          <w:bCs/>
          <w:color w:val="000000"/>
          <w:sz w:val="21"/>
          <w:szCs w:val="21"/>
          <w:lang w:val="en-US" w:eastAsia="zh-CN"/>
        </w:rPr>
        <w:t>生猪</w:t>
      </w:r>
      <w:r>
        <w:rPr>
          <w:rFonts w:hint="default" w:ascii="Times New Roman" w:hAnsi="Times New Roman" w:eastAsia="宋体" w:cs="Times New Roman"/>
          <w:bCs/>
          <w:color w:val="000000"/>
          <w:sz w:val="21"/>
          <w:szCs w:val="21"/>
        </w:rPr>
        <w:t>养殖业臭气排放及处理技术，均开展了大量的实践，积累了一些经验基础。</w:t>
      </w:r>
    </w:p>
    <w:p w14:paraId="395F77F9">
      <w:pPr>
        <w:widowControl/>
        <w:adjustRightInd w:val="0"/>
        <w:snapToGrid w:val="0"/>
        <w:spacing w:line="360" w:lineRule="auto"/>
        <w:ind w:firstLine="420" w:firstLineChars="200"/>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因此，鉴于以上</w:t>
      </w:r>
      <w:r>
        <w:rPr>
          <w:rFonts w:hint="default" w:ascii="Times New Roman" w:hAnsi="Times New Roman" w:cs="Times New Roman"/>
          <w:sz w:val="21"/>
          <w:szCs w:val="21"/>
        </w:rPr>
        <w:t>诸多</w:t>
      </w:r>
      <w:r>
        <w:rPr>
          <w:rFonts w:hint="default" w:ascii="Times New Roman" w:hAnsi="Times New Roman" w:eastAsia="宋体" w:cs="Times New Roman"/>
          <w:bCs/>
          <w:color w:val="000000"/>
          <w:sz w:val="21"/>
          <w:szCs w:val="21"/>
        </w:rPr>
        <w:t>原因，将各种实用的、低成本的、处理效果好的</w:t>
      </w:r>
      <w:r>
        <w:rPr>
          <w:rFonts w:hint="eastAsia" w:cs="Times New Roman"/>
          <w:bCs/>
          <w:color w:val="000000"/>
          <w:sz w:val="21"/>
          <w:szCs w:val="21"/>
          <w:lang w:val="en-US" w:eastAsia="zh-CN"/>
        </w:rPr>
        <w:t>生猪</w:t>
      </w:r>
      <w:r>
        <w:rPr>
          <w:rFonts w:hint="default" w:ascii="Times New Roman" w:hAnsi="Times New Roman" w:eastAsia="宋体" w:cs="Times New Roman"/>
          <w:bCs/>
          <w:color w:val="000000"/>
          <w:sz w:val="21"/>
          <w:szCs w:val="21"/>
        </w:rPr>
        <w:t>养殖臭气污染防治技术纳入规范体系，使</w:t>
      </w:r>
      <w:r>
        <w:rPr>
          <w:rFonts w:hint="eastAsia" w:cs="Times New Roman"/>
          <w:bCs/>
          <w:color w:val="000000"/>
          <w:sz w:val="21"/>
          <w:szCs w:val="21"/>
          <w:lang w:val="en-US" w:eastAsia="zh-CN"/>
        </w:rPr>
        <w:t>生猪</w:t>
      </w:r>
      <w:r>
        <w:rPr>
          <w:rFonts w:hint="default" w:ascii="Times New Roman" w:hAnsi="Times New Roman" w:eastAsia="宋体" w:cs="Times New Roman"/>
          <w:bCs/>
          <w:color w:val="000000"/>
          <w:sz w:val="21"/>
          <w:szCs w:val="21"/>
        </w:rPr>
        <w:t>养殖臭气治理设计、运行等有章可循，是非常必要的。</w:t>
      </w:r>
    </w:p>
    <w:p w14:paraId="1E8A66DF">
      <w:pPr>
        <w:pStyle w:val="3"/>
        <w:bidi w:val="0"/>
        <w:rPr>
          <w:rFonts w:hint="eastAsia"/>
        </w:rPr>
      </w:pPr>
      <w:r>
        <w:rPr>
          <w:rFonts w:hint="eastAsia"/>
        </w:rPr>
        <w:t>2.2 编制依据</w:t>
      </w:r>
    </w:p>
    <w:p w14:paraId="3E994391">
      <w:pPr>
        <w:widowControl/>
        <w:adjustRightInd w:val="0"/>
        <w:snapToGrid w:val="0"/>
        <w:spacing w:line="360" w:lineRule="auto"/>
        <w:ind w:firstLine="420" w:firstLineChars="200"/>
        <w:rPr>
          <w:rFonts w:hint="eastAsia" w:ascii="宋体" w:hAnsi="宋体" w:eastAsia="宋体" w:cs="宋体"/>
          <w:bCs/>
          <w:color w:val="000000"/>
          <w:sz w:val="21"/>
          <w:szCs w:val="18"/>
        </w:rPr>
      </w:pPr>
      <w:bookmarkStart w:id="12" w:name="_Toc12369"/>
      <w:bookmarkStart w:id="13" w:name="_Toc32296"/>
      <w:bookmarkStart w:id="14" w:name="_Toc21568"/>
      <w:bookmarkStart w:id="15" w:name="_Toc7233"/>
      <w:r>
        <w:rPr>
          <w:rFonts w:hint="eastAsia" w:ascii="宋体" w:hAnsi="宋体" w:eastAsia="宋体" w:cs="宋体"/>
          <w:bCs/>
          <w:color w:val="000000"/>
          <w:sz w:val="21"/>
          <w:szCs w:val="18"/>
        </w:rPr>
        <w:t>（</w:t>
      </w:r>
      <w:r>
        <w:rPr>
          <w:rFonts w:ascii="Times New Roman" w:hAnsi="Times New Roman" w:eastAsia="宋体" w:cs="Times New Roman"/>
          <w:bCs/>
          <w:color w:val="000000"/>
          <w:sz w:val="21"/>
          <w:szCs w:val="18"/>
        </w:rPr>
        <w:t>1</w:t>
      </w:r>
      <w:r>
        <w:rPr>
          <w:rFonts w:hint="eastAsia" w:ascii="宋体" w:hAnsi="宋体" w:eastAsia="宋体" w:cs="宋体"/>
          <w:bCs/>
          <w:color w:val="000000"/>
          <w:sz w:val="21"/>
          <w:szCs w:val="18"/>
        </w:rPr>
        <w:t>）</w:t>
      </w:r>
      <w:r>
        <w:rPr>
          <w:rFonts w:hint="default" w:ascii="Times New Roman" w:hAnsi="Times New Roman" w:eastAsia="宋体" w:cs="Times New Roman"/>
          <w:bCs/>
          <w:color w:val="000000"/>
          <w:sz w:val="21"/>
          <w:szCs w:val="18"/>
        </w:rPr>
        <w:t>国家</w:t>
      </w:r>
      <w:r>
        <w:rPr>
          <w:rFonts w:hint="eastAsia" w:ascii="Times New Roman" w:hAnsi="Times New Roman" w:cs="Times New Roman"/>
          <w:bCs/>
          <w:color w:val="000000"/>
          <w:sz w:val="21"/>
          <w:szCs w:val="18"/>
          <w:lang w:val="en-US" w:eastAsia="zh-CN"/>
        </w:rPr>
        <w:t>颁布</w:t>
      </w:r>
      <w:r>
        <w:rPr>
          <w:rFonts w:hint="default" w:ascii="Times New Roman" w:hAnsi="Times New Roman" w:eastAsia="宋体" w:cs="Times New Roman"/>
          <w:bCs/>
          <w:color w:val="000000"/>
          <w:sz w:val="21"/>
          <w:szCs w:val="18"/>
        </w:rPr>
        <w:t>的相关法律、法规：《中华人民共和国环境保护法》、《中华人民共和国大气污染防治法》、《畜禽养殖污染防治管理办法》（第9号令）</w:t>
      </w:r>
      <w:r>
        <w:rPr>
          <w:rFonts w:hint="default" w:ascii="Times New Roman" w:hAnsi="Times New Roman" w:cs="Times New Roman"/>
          <w:bCs/>
          <w:color w:val="000000"/>
          <w:sz w:val="21"/>
          <w:szCs w:val="18"/>
          <w:lang w:eastAsia="zh-CN"/>
        </w:rPr>
        <w:t>、《畜禽规模养殖污染防治条例》（国务院令第643号）、《畜禽养殖业污染防治技术政策》（环发[2010] 151号）</w:t>
      </w:r>
      <w:r>
        <w:rPr>
          <w:rFonts w:hint="default" w:ascii="Times New Roman" w:hAnsi="Times New Roman" w:eastAsia="宋体" w:cs="Times New Roman"/>
          <w:bCs/>
          <w:color w:val="000000"/>
          <w:sz w:val="21"/>
          <w:szCs w:val="18"/>
        </w:rPr>
        <w:t>等。</w:t>
      </w:r>
      <w:bookmarkEnd w:id="12"/>
      <w:bookmarkEnd w:id="13"/>
      <w:bookmarkEnd w:id="14"/>
      <w:bookmarkEnd w:id="15"/>
    </w:p>
    <w:p w14:paraId="529AACBC">
      <w:pPr>
        <w:adjustRightInd/>
        <w:spacing w:line="360" w:lineRule="auto"/>
        <w:ind w:firstLine="420" w:firstLineChars="200"/>
        <w:jc w:val="left"/>
        <w:rPr>
          <w:rFonts w:ascii="Times New Roman" w:hAnsi="Times New Roman" w:eastAsia="宋体" w:cs="Times New Roman"/>
          <w:bCs/>
          <w:color w:val="000000"/>
          <w:sz w:val="21"/>
          <w:szCs w:val="18"/>
        </w:rPr>
      </w:pPr>
      <w:bookmarkStart w:id="16" w:name="_Toc920"/>
      <w:bookmarkStart w:id="17" w:name="_Toc31888"/>
      <w:bookmarkStart w:id="18" w:name="_Toc28641"/>
      <w:bookmarkStart w:id="19" w:name="_Toc26514"/>
      <w:r>
        <w:rPr>
          <w:rFonts w:ascii="Times New Roman" w:hAnsi="Times New Roman" w:eastAsia="宋体" w:cs="Times New Roman"/>
          <w:bCs/>
          <w:color w:val="000000"/>
          <w:sz w:val="21"/>
          <w:szCs w:val="18"/>
        </w:rPr>
        <w:t>（2）</w:t>
      </w:r>
      <w:r>
        <w:rPr>
          <w:rFonts w:hint="eastAsia" w:cs="Times New Roman"/>
          <w:bCs/>
          <w:color w:val="000000"/>
          <w:sz w:val="21"/>
          <w:szCs w:val="18"/>
          <w:lang w:val="en-US" w:eastAsia="zh-CN"/>
        </w:rPr>
        <w:t>臭气污染物相关排放标准</w:t>
      </w:r>
      <w:r>
        <w:rPr>
          <w:rFonts w:ascii="Times New Roman" w:hAnsi="Times New Roman" w:eastAsia="宋体" w:cs="Times New Roman"/>
          <w:bCs/>
          <w:color w:val="000000"/>
          <w:sz w:val="21"/>
          <w:szCs w:val="18"/>
        </w:rPr>
        <w:t>：</w:t>
      </w:r>
      <w:bookmarkEnd w:id="16"/>
      <w:bookmarkEnd w:id="17"/>
      <w:bookmarkEnd w:id="18"/>
      <w:bookmarkEnd w:id="19"/>
      <w:r>
        <w:rPr>
          <w:rFonts w:ascii="Times New Roman" w:hAnsi="Times New Roman" w:eastAsia="宋体" w:cs="Times New Roman"/>
          <w:bCs/>
          <w:color w:val="000000"/>
          <w:szCs w:val="21"/>
        </w:rPr>
        <w:t>《畜禽养殖业污染物排放标准》（GB 18596-2001）</w:t>
      </w:r>
      <w:r>
        <w:rPr>
          <w:rFonts w:hint="eastAsia" w:cs="Times New Roman"/>
          <w:bCs/>
          <w:color w:val="000000"/>
          <w:szCs w:val="21"/>
          <w:lang w:eastAsia="zh-CN"/>
        </w:rPr>
        <w:t>、</w:t>
      </w:r>
      <w:r>
        <w:rPr>
          <w:rFonts w:hint="eastAsia" w:ascii="宋体" w:hAnsi="宋体" w:eastAsia="宋体" w:cs="宋体"/>
          <w:bCs/>
          <w:color w:val="000000"/>
          <w:szCs w:val="21"/>
        </w:rPr>
        <w:t>《恶臭污染物排放标准》</w:t>
      </w:r>
      <w:r>
        <w:rPr>
          <w:rFonts w:ascii="Times New Roman" w:hAnsi="Times New Roman" w:eastAsia="宋体" w:cs="Times New Roman"/>
          <w:bCs/>
          <w:color w:val="000000"/>
          <w:szCs w:val="21"/>
        </w:rPr>
        <w:t>（GB14554</w:t>
      </w:r>
      <w:r>
        <w:rPr>
          <w:rFonts w:hint="eastAsia" w:ascii="Times New Roman" w:hAnsi="Times New Roman" w:eastAsia="宋体" w:cs="Times New Roman"/>
          <w:bCs/>
          <w:color w:val="000000"/>
          <w:szCs w:val="21"/>
          <w:lang w:val="en-US" w:eastAsia="zh-CN"/>
        </w:rPr>
        <w:t>-</w:t>
      </w:r>
      <w:r>
        <w:rPr>
          <w:rFonts w:ascii="Times New Roman" w:hAnsi="Times New Roman" w:eastAsia="宋体" w:cs="Times New Roman"/>
          <w:bCs/>
          <w:color w:val="000000"/>
          <w:szCs w:val="21"/>
        </w:rPr>
        <w:t>1993）</w:t>
      </w:r>
      <w:r>
        <w:rPr>
          <w:rFonts w:hint="eastAsia" w:cs="Times New Roman"/>
          <w:bCs/>
          <w:color w:val="000000"/>
          <w:szCs w:val="21"/>
          <w:lang w:eastAsia="zh-CN"/>
        </w:rPr>
        <w:t>、</w:t>
      </w:r>
      <w:r>
        <w:rPr>
          <w:rFonts w:hint="eastAsia" w:ascii="宋体" w:hAnsi="宋体" w:eastAsia="宋体" w:cs="宋体"/>
          <w:bCs/>
          <w:color w:val="000000"/>
          <w:szCs w:val="21"/>
        </w:rPr>
        <w:t>《恶臭污染物排放标准》</w:t>
      </w:r>
      <w:r>
        <w:rPr>
          <w:rFonts w:ascii="Times New Roman" w:hAnsi="Times New Roman" w:eastAsia="宋体" w:cs="Times New Roman"/>
          <w:bCs/>
          <w:color w:val="000000"/>
          <w:szCs w:val="21"/>
        </w:rPr>
        <w:t>（GB14554</w:t>
      </w:r>
      <w:r>
        <w:rPr>
          <w:rFonts w:hint="eastAsia" w:ascii="Times New Roman" w:hAnsi="Times New Roman" w:eastAsia="宋体" w:cs="Times New Roman"/>
          <w:bCs/>
          <w:color w:val="000000"/>
          <w:szCs w:val="21"/>
          <w:lang w:val="en-US" w:eastAsia="zh-CN"/>
        </w:rPr>
        <w:t>-2018</w:t>
      </w:r>
      <w:r>
        <w:rPr>
          <w:rFonts w:ascii="Times New Roman" w:hAnsi="Times New Roman" w:eastAsia="宋体" w:cs="Times New Roman"/>
          <w:bCs/>
          <w:color w:val="000000"/>
          <w:szCs w:val="21"/>
        </w:rPr>
        <w:t>）</w:t>
      </w:r>
      <w:r>
        <w:rPr>
          <w:rFonts w:hint="eastAsia" w:cs="Times New Roman"/>
          <w:bCs/>
          <w:color w:val="000000"/>
          <w:szCs w:val="21"/>
          <w:lang w:eastAsia="zh-CN"/>
        </w:rPr>
        <w:t>、</w:t>
      </w:r>
      <w:r>
        <w:rPr>
          <w:rFonts w:hint="eastAsia" w:ascii="Times New Roman" w:hAnsi="Times New Roman" w:eastAsia="宋体" w:cs="Times New Roman"/>
          <w:bCs/>
          <w:color w:val="000000"/>
          <w:szCs w:val="21"/>
          <w:lang w:eastAsia="zh-CN"/>
        </w:rPr>
        <w:t>《</w:t>
      </w:r>
      <w:r>
        <w:rPr>
          <w:rFonts w:hint="eastAsia" w:ascii="Times New Roman" w:hAnsi="Times New Roman" w:eastAsia="宋体" w:cs="Times New Roman"/>
          <w:bCs/>
          <w:color w:val="000000"/>
          <w:szCs w:val="21"/>
          <w:lang w:val="en-US" w:eastAsia="zh-CN"/>
        </w:rPr>
        <w:t>恶臭（异味）污染物排放标准</w:t>
      </w:r>
      <w:r>
        <w:rPr>
          <w:rFonts w:hint="eastAsia" w:ascii="Times New Roman" w:hAnsi="Times New Roman" w:eastAsia="宋体" w:cs="Times New Roman"/>
          <w:bCs/>
          <w:color w:val="000000"/>
          <w:szCs w:val="21"/>
          <w:lang w:eastAsia="zh-CN"/>
        </w:rPr>
        <w:t>》（</w:t>
      </w:r>
      <w:r>
        <w:rPr>
          <w:rFonts w:hint="eastAsia" w:ascii="Times New Roman" w:hAnsi="Times New Roman" w:eastAsia="宋体" w:cs="Times New Roman"/>
          <w:bCs/>
          <w:color w:val="000000"/>
          <w:szCs w:val="21"/>
          <w:lang w:val="en-US" w:eastAsia="zh-CN"/>
        </w:rPr>
        <w:t>DB31/1025-2016</w:t>
      </w:r>
      <w:r>
        <w:rPr>
          <w:rFonts w:hint="eastAsia" w:ascii="Times New Roman" w:hAnsi="Times New Roman" w:eastAsia="宋体" w:cs="Times New Roman"/>
          <w:bCs/>
          <w:color w:val="000000"/>
          <w:szCs w:val="21"/>
          <w:lang w:eastAsia="zh-CN"/>
        </w:rPr>
        <w:t>）</w:t>
      </w:r>
      <w:r>
        <w:rPr>
          <w:rFonts w:hint="eastAsia" w:cs="Times New Roman"/>
          <w:bCs/>
          <w:color w:val="000000"/>
          <w:szCs w:val="21"/>
          <w:lang w:eastAsia="zh-CN"/>
        </w:rPr>
        <w:t>、</w:t>
      </w:r>
      <w:r>
        <w:rPr>
          <w:rFonts w:hint="eastAsia" w:ascii="Times New Roman" w:hAnsi="Times New Roman" w:eastAsia="宋体" w:cs="Times New Roman"/>
          <w:bCs/>
          <w:color w:val="000000"/>
          <w:szCs w:val="21"/>
          <w:lang w:eastAsia="zh-CN"/>
        </w:rPr>
        <w:t>《恶臭控制法》</w:t>
      </w:r>
      <w:r>
        <w:rPr>
          <w:rFonts w:hint="eastAsia" w:cs="Times New Roman"/>
          <w:bCs/>
          <w:color w:val="000000"/>
          <w:szCs w:val="21"/>
          <w:lang w:eastAsia="zh-CN"/>
        </w:rPr>
        <w:t>、</w:t>
      </w:r>
      <w:r>
        <w:rPr>
          <w:rFonts w:hint="eastAsia" w:ascii="Times New Roman" w:hAnsi="Times New Roman" w:eastAsia="宋体" w:cs="Times New Roman"/>
          <w:bCs/>
          <w:color w:val="000000"/>
          <w:szCs w:val="21"/>
          <w:lang w:eastAsia="zh-CN"/>
        </w:rPr>
        <w:t>《Odor emission</w:t>
      </w:r>
      <w:r>
        <w:rPr>
          <w:rFonts w:hint="eastAsia" w:ascii="宋体" w:hAnsi="宋体" w:eastAsia="宋体" w:cs="宋体"/>
          <w:bCs/>
          <w:color w:val="000000"/>
          <w:szCs w:val="21"/>
          <w:lang w:eastAsia="zh-CN"/>
        </w:rPr>
        <w:t>,</w:t>
      </w:r>
      <w:r>
        <w:rPr>
          <w:rFonts w:hint="eastAsia" w:ascii="Times New Roman" w:hAnsi="Times New Roman" w:eastAsia="宋体" w:cs="Times New Roman"/>
          <w:bCs/>
          <w:color w:val="000000"/>
          <w:szCs w:val="21"/>
          <w:lang w:eastAsia="zh-CN"/>
        </w:rPr>
        <w:t>（5 CCR 1001</w:t>
      </w:r>
      <w:r>
        <w:rPr>
          <w:rFonts w:hint="eastAsia" w:cs="Times New Roman"/>
          <w:bCs/>
          <w:color w:val="000000"/>
          <w:szCs w:val="21"/>
          <w:lang w:val="en-US" w:eastAsia="zh-CN"/>
        </w:rPr>
        <w:t>-</w:t>
      </w:r>
      <w:r>
        <w:rPr>
          <w:rFonts w:hint="eastAsia" w:ascii="Times New Roman" w:hAnsi="Times New Roman" w:eastAsia="宋体" w:cs="Times New Roman"/>
          <w:bCs/>
          <w:color w:val="000000"/>
          <w:szCs w:val="21"/>
          <w:lang w:eastAsia="zh-CN"/>
        </w:rPr>
        <w:t>4）》</w:t>
      </w:r>
      <w:r>
        <w:rPr>
          <w:rFonts w:hint="eastAsia" w:cs="Times New Roman"/>
          <w:bCs/>
          <w:color w:val="000000"/>
          <w:szCs w:val="21"/>
          <w:lang w:eastAsia="zh-CN"/>
        </w:rPr>
        <w:t>。</w:t>
      </w:r>
    </w:p>
    <w:p w14:paraId="1BAAA4E8">
      <w:pPr>
        <w:numPr>
          <w:ilvl w:val="0"/>
          <w:numId w:val="3"/>
        </w:numPr>
        <w:spacing w:line="360" w:lineRule="auto"/>
        <w:ind w:firstLine="420" w:firstLineChars="200"/>
        <w:jc w:val="left"/>
        <w:rPr>
          <w:rFonts w:hint="eastAsia" w:ascii="Times New Roman" w:hAnsi="Times New Roman" w:eastAsia="宋体" w:cs="Times New Roman"/>
          <w:bCs/>
          <w:color w:val="000000"/>
          <w:szCs w:val="21"/>
        </w:rPr>
      </w:pPr>
      <w:bookmarkStart w:id="20" w:name="_Toc31292"/>
      <w:bookmarkStart w:id="21" w:name="_Toc12437"/>
      <w:bookmarkStart w:id="22" w:name="_Toc5700"/>
      <w:bookmarkStart w:id="23" w:name="_Toc3080"/>
      <w:r>
        <w:rPr>
          <w:rFonts w:hint="eastAsia" w:ascii="Times New Roman" w:hAnsi="Times New Roman" w:eastAsia="宋体" w:cs="Times New Roman"/>
          <w:bCs/>
          <w:color w:val="000000"/>
          <w:sz w:val="21"/>
          <w:szCs w:val="18"/>
        </w:rPr>
        <w:t>气态污染物相关检测标准：</w:t>
      </w:r>
      <w:bookmarkEnd w:id="20"/>
      <w:bookmarkEnd w:id="21"/>
      <w:bookmarkEnd w:id="22"/>
      <w:bookmarkEnd w:id="23"/>
      <w:r>
        <w:rPr>
          <w:rFonts w:hint="eastAsia" w:ascii="Times New Roman" w:hAnsi="Times New Roman" w:eastAsia="宋体" w:cs="Times New Roman"/>
          <w:bCs/>
          <w:color w:val="000000"/>
          <w:szCs w:val="21"/>
          <w:lang w:eastAsia="zh-CN"/>
        </w:rPr>
        <w:t>《环境空气和废气 臭气的测定 三点比较式臭袋法》（HJ 1262</w:t>
      </w:r>
      <w:r>
        <w:rPr>
          <w:rFonts w:hint="eastAsia" w:ascii="Times New Roman" w:hAnsi="Times New Roman" w:eastAsia="宋体" w:cs="Times New Roman"/>
          <w:bCs/>
          <w:color w:val="000000"/>
          <w:szCs w:val="21"/>
          <w:lang w:val="en-US" w:eastAsia="zh-CN"/>
        </w:rPr>
        <w:t>-2022</w:t>
      </w:r>
      <w:r>
        <w:rPr>
          <w:rFonts w:hint="eastAsia" w:ascii="Times New Roman" w:hAnsi="Times New Roman" w:eastAsia="宋体" w:cs="Times New Roman"/>
          <w:bCs/>
          <w:color w:val="000000"/>
          <w:szCs w:val="21"/>
          <w:lang w:eastAsia="zh-CN"/>
        </w:rPr>
        <w:t>）、</w:t>
      </w:r>
      <w:r>
        <w:rPr>
          <w:rFonts w:hint="eastAsia" w:ascii="Times New Roman" w:hAnsi="Times New Roman" w:eastAsia="宋体" w:cs="Times New Roman"/>
          <w:bCs/>
          <w:color w:val="000000"/>
          <w:szCs w:val="21"/>
        </w:rPr>
        <w:t>《环境空气 氨的测定 次氯酸钠-水杨酸分光光度法》（HJ 534</w:t>
      </w:r>
      <w:r>
        <w:rPr>
          <w:rFonts w:hint="eastAsia" w:ascii="Times New Roman" w:hAnsi="Times New Roman" w:eastAsia="宋体" w:cs="Times New Roman"/>
          <w:bCs/>
          <w:color w:val="000000"/>
          <w:szCs w:val="21"/>
          <w:lang w:val="en-US" w:eastAsia="zh-CN"/>
        </w:rPr>
        <w:t>-2009</w:t>
      </w:r>
      <w:r>
        <w:rPr>
          <w:rFonts w:hint="eastAsia" w:ascii="Times New Roman" w:hAnsi="Times New Roman" w:eastAsia="宋体" w:cs="Times New Roman"/>
          <w:bCs/>
          <w:color w:val="000000"/>
          <w:szCs w:val="21"/>
        </w:rPr>
        <w:t>）、《环境空气 挥发性有机物的测定 罐采样/气相色谱-质谱法》（HJ 759</w:t>
      </w:r>
      <w:r>
        <w:rPr>
          <w:rFonts w:hint="eastAsia" w:ascii="Times New Roman" w:hAnsi="Times New Roman" w:eastAsia="宋体" w:cs="Times New Roman"/>
          <w:bCs/>
          <w:color w:val="000000"/>
          <w:szCs w:val="21"/>
          <w:lang w:val="en-US" w:eastAsia="zh-CN"/>
        </w:rPr>
        <w:t>-2015</w:t>
      </w:r>
      <w:r>
        <w:rPr>
          <w:rFonts w:hint="eastAsia" w:ascii="Times New Roman" w:hAnsi="Times New Roman" w:eastAsia="宋体" w:cs="Times New Roman"/>
          <w:bCs/>
          <w:color w:val="000000"/>
          <w:szCs w:val="21"/>
        </w:rPr>
        <w:t>）等。</w:t>
      </w:r>
    </w:p>
    <w:p w14:paraId="50EC5A12">
      <w:pPr>
        <w:numPr>
          <w:ilvl w:val="0"/>
          <w:numId w:val="3"/>
        </w:numPr>
        <w:spacing w:line="360" w:lineRule="auto"/>
        <w:ind w:firstLine="420" w:firstLineChars="200"/>
        <w:jc w:val="left"/>
        <w:rPr>
          <w:rFonts w:hint="eastAsia" w:ascii="Times New Roman" w:hAnsi="Times New Roman" w:eastAsia="宋体" w:cs="Times New Roman"/>
          <w:bCs/>
          <w:color w:val="000000"/>
          <w:szCs w:val="21"/>
        </w:rPr>
      </w:pPr>
      <w:r>
        <w:rPr>
          <w:rFonts w:hint="eastAsia" w:cs="Times New Roman"/>
          <w:bCs/>
          <w:color w:val="000000"/>
          <w:szCs w:val="21"/>
          <w:lang w:val="en-US" w:eastAsia="zh-CN"/>
        </w:rPr>
        <w:t>臭气污染物相关治理标准：《畜禽养殖业污染防治技术规范》（HJ/T 81-2001）、《畜禽养殖业污染治理工程技术规范》（HJ 497-2009）、《畜禽养殖业污染防治技术规范》（DB34/T-2024）、《规模猪场臭气治理技术规范》（DB5114/T XX-2023）、《规模化养猪场臭气防治技术规范》（DB41/T2642-2024）、《规模猪场综合减臭技术规范》（DB33/T 1377-2024）、《Best Available Techniques (BAT) Reference Document for the Intensive Rearing of Poultry or Pigs》（Industrial Emissions Directive 2010/75/EU）等。</w:t>
      </w:r>
    </w:p>
    <w:p w14:paraId="5BEB0966">
      <w:pPr>
        <w:pStyle w:val="3"/>
        <w:bidi w:val="0"/>
        <w:rPr>
          <w:rFonts w:hint="eastAsia"/>
        </w:rPr>
      </w:pPr>
      <w:r>
        <w:rPr>
          <w:rFonts w:hint="eastAsia"/>
        </w:rPr>
        <w:t>2.3 编制原则</w:t>
      </w:r>
      <w:bookmarkStart w:id="24" w:name="_Toc1154"/>
      <w:bookmarkStart w:id="25" w:name="_Toc25021"/>
    </w:p>
    <w:p w14:paraId="62D46FE9">
      <w:pPr>
        <w:widowControl/>
        <w:adjustRightInd w:val="0"/>
        <w:snapToGrid w:val="0"/>
        <w:spacing w:line="360" w:lineRule="auto"/>
        <w:ind w:firstLine="420" w:firstLineChars="200"/>
        <w:rPr>
          <w:rFonts w:hint="eastAsia" w:ascii="宋体" w:hAnsi="宋体" w:eastAsia="宋体" w:cs="宋体"/>
          <w:bCs/>
          <w:color w:val="000000"/>
          <w:sz w:val="21"/>
          <w:szCs w:val="18"/>
        </w:rPr>
      </w:pPr>
      <w:r>
        <w:rPr>
          <w:rFonts w:hint="eastAsia" w:ascii="宋体" w:hAnsi="宋体" w:eastAsia="宋体" w:cs="宋体"/>
          <w:bCs/>
          <w:color w:val="000000"/>
          <w:sz w:val="21"/>
          <w:szCs w:val="18"/>
        </w:rPr>
        <w:t>（</w:t>
      </w:r>
      <w:r>
        <w:rPr>
          <w:rFonts w:ascii="Times New Roman" w:hAnsi="Times New Roman" w:eastAsia="黑体" w:cs="Times New Roman"/>
          <w:bCs/>
          <w:color w:val="000000"/>
          <w:sz w:val="21"/>
          <w:szCs w:val="18"/>
        </w:rPr>
        <w:t>1</w:t>
      </w:r>
      <w:r>
        <w:rPr>
          <w:rFonts w:hint="eastAsia" w:ascii="宋体" w:hAnsi="宋体" w:eastAsia="宋体" w:cs="宋体"/>
          <w:bCs/>
          <w:color w:val="000000"/>
          <w:sz w:val="21"/>
          <w:szCs w:val="18"/>
        </w:rPr>
        <w:t>）立足我国实际，与国际接轨。充分借鉴发达国家（如美国、欧盟等）</w:t>
      </w:r>
      <w:r>
        <w:rPr>
          <w:rFonts w:hint="eastAsia" w:ascii="宋体" w:hAnsi="宋体" w:cs="宋体"/>
          <w:bCs/>
          <w:color w:val="000000"/>
          <w:sz w:val="21"/>
          <w:szCs w:val="18"/>
          <w:lang w:val="en-US" w:eastAsia="zh-CN"/>
        </w:rPr>
        <w:t>畜禽</w:t>
      </w:r>
      <w:r>
        <w:rPr>
          <w:rFonts w:hint="eastAsia" w:ascii="宋体" w:hAnsi="宋体" w:eastAsia="宋体" w:cs="宋体"/>
          <w:bCs/>
          <w:color w:val="000000"/>
          <w:sz w:val="21"/>
          <w:szCs w:val="18"/>
        </w:rPr>
        <w:t>养殖臭气污染防治的成功经验，并结合我国实际情况，编制适合我国国情的</w:t>
      </w:r>
      <w:r>
        <w:rPr>
          <w:rFonts w:hint="eastAsia" w:ascii="宋体" w:hAnsi="宋体" w:cs="宋体"/>
          <w:bCs/>
          <w:color w:val="000000"/>
          <w:sz w:val="21"/>
          <w:szCs w:val="18"/>
          <w:lang w:val="en-US" w:eastAsia="zh-CN"/>
        </w:rPr>
        <w:t>规模化生猪</w:t>
      </w:r>
      <w:r>
        <w:rPr>
          <w:rFonts w:hint="eastAsia" w:ascii="宋体" w:hAnsi="宋体" w:eastAsia="宋体" w:cs="宋体"/>
          <w:bCs/>
          <w:color w:val="000000"/>
          <w:sz w:val="21"/>
          <w:szCs w:val="18"/>
        </w:rPr>
        <w:t>养殖臭气污染防治技术规范。</w:t>
      </w:r>
      <w:bookmarkEnd w:id="24"/>
      <w:bookmarkEnd w:id="25"/>
    </w:p>
    <w:p w14:paraId="0AD62007">
      <w:pPr>
        <w:widowControl/>
        <w:adjustRightInd w:val="0"/>
        <w:snapToGrid w:val="0"/>
        <w:spacing w:line="360" w:lineRule="auto"/>
        <w:ind w:firstLine="420" w:firstLineChars="200"/>
        <w:rPr>
          <w:rFonts w:hint="eastAsia" w:ascii="宋体" w:hAnsi="宋体" w:eastAsia="宋体" w:cs="宋体"/>
          <w:bCs/>
          <w:color w:val="000000"/>
          <w:sz w:val="21"/>
          <w:szCs w:val="18"/>
        </w:rPr>
      </w:pPr>
      <w:bookmarkStart w:id="26" w:name="_Toc18996"/>
      <w:bookmarkStart w:id="27" w:name="_Toc9957"/>
      <w:bookmarkStart w:id="28" w:name="_Toc31908"/>
      <w:bookmarkStart w:id="29" w:name="_Toc3647"/>
      <w:r>
        <w:rPr>
          <w:rFonts w:hint="eastAsia" w:ascii="宋体" w:hAnsi="宋体" w:eastAsia="宋体" w:cs="宋体"/>
          <w:bCs/>
          <w:color w:val="000000"/>
          <w:sz w:val="21"/>
          <w:szCs w:val="18"/>
        </w:rPr>
        <w:t>（</w:t>
      </w:r>
      <w:r>
        <w:rPr>
          <w:rFonts w:hint="default" w:ascii="Times New Roman" w:hAnsi="Times New Roman" w:eastAsia="宋体" w:cs="Times New Roman"/>
          <w:bCs/>
          <w:color w:val="000000"/>
          <w:sz w:val="21"/>
          <w:szCs w:val="18"/>
        </w:rPr>
        <w:t>2</w:t>
      </w:r>
      <w:r>
        <w:rPr>
          <w:rFonts w:hint="eastAsia" w:ascii="宋体" w:hAnsi="宋体" w:eastAsia="宋体" w:cs="宋体"/>
          <w:bCs/>
          <w:color w:val="000000"/>
          <w:sz w:val="21"/>
          <w:szCs w:val="18"/>
        </w:rPr>
        <w:t>）以国家、行业的技术规范、指南为依据。在</w:t>
      </w:r>
      <w:r>
        <w:rPr>
          <w:rFonts w:hint="eastAsia" w:ascii="宋体" w:hAnsi="宋体" w:cs="宋体"/>
          <w:bCs/>
          <w:color w:val="000000"/>
          <w:sz w:val="21"/>
          <w:szCs w:val="18"/>
          <w:lang w:val="en-US" w:eastAsia="zh-CN"/>
        </w:rPr>
        <w:t>臭气</w:t>
      </w:r>
      <w:r>
        <w:rPr>
          <w:rFonts w:hint="eastAsia" w:ascii="宋体" w:hAnsi="宋体" w:eastAsia="宋体" w:cs="宋体"/>
          <w:bCs/>
          <w:color w:val="000000"/>
          <w:sz w:val="21"/>
          <w:szCs w:val="18"/>
        </w:rPr>
        <w:t>污染物</w:t>
      </w:r>
      <w:r>
        <w:rPr>
          <w:rFonts w:hint="eastAsia" w:ascii="宋体" w:hAnsi="宋体" w:cs="宋体"/>
          <w:bCs/>
          <w:color w:val="000000"/>
          <w:sz w:val="21"/>
          <w:szCs w:val="18"/>
          <w:lang w:val="en-US" w:eastAsia="zh-CN"/>
        </w:rPr>
        <w:t>源头减排</w:t>
      </w:r>
      <w:r>
        <w:rPr>
          <w:rFonts w:hint="eastAsia" w:ascii="宋体" w:hAnsi="宋体" w:eastAsia="宋体" w:cs="宋体"/>
          <w:bCs/>
          <w:color w:val="000000"/>
          <w:sz w:val="21"/>
          <w:szCs w:val="18"/>
        </w:rPr>
        <w:t>、</w:t>
      </w:r>
      <w:r>
        <w:rPr>
          <w:rFonts w:hint="eastAsia" w:ascii="宋体" w:hAnsi="宋体" w:cs="宋体"/>
          <w:bCs/>
          <w:color w:val="000000"/>
          <w:sz w:val="21"/>
          <w:szCs w:val="18"/>
          <w:lang w:val="en-US" w:eastAsia="zh-CN"/>
        </w:rPr>
        <w:t>通风</w:t>
      </w:r>
      <w:r>
        <w:rPr>
          <w:rFonts w:hint="eastAsia" w:ascii="宋体" w:hAnsi="宋体" w:eastAsia="宋体" w:cs="宋体"/>
          <w:bCs/>
          <w:color w:val="000000"/>
          <w:sz w:val="21"/>
          <w:szCs w:val="18"/>
        </w:rPr>
        <w:t>收集和末端治理过程中，</w:t>
      </w:r>
      <w:r>
        <w:rPr>
          <w:rFonts w:hint="eastAsia" w:ascii="Times New Roman" w:hAnsi="Times New Roman" w:cs="Times New Roman"/>
          <w:sz w:val="21"/>
          <w:szCs w:val="18"/>
        </w:rPr>
        <w:t>国家</w:t>
      </w:r>
      <w:r>
        <w:rPr>
          <w:rFonts w:hint="eastAsia" w:ascii="宋体" w:hAnsi="宋体" w:eastAsia="宋体" w:cs="宋体"/>
          <w:bCs/>
          <w:color w:val="000000"/>
          <w:sz w:val="21"/>
          <w:szCs w:val="18"/>
        </w:rPr>
        <w:t>制定了一系列技术政策，编制污染防治技术规范应以这些技术政策为依据。</w:t>
      </w:r>
      <w:bookmarkEnd w:id="26"/>
      <w:bookmarkEnd w:id="27"/>
      <w:bookmarkEnd w:id="28"/>
      <w:bookmarkEnd w:id="29"/>
    </w:p>
    <w:p w14:paraId="539772FA">
      <w:pPr>
        <w:widowControl/>
        <w:adjustRightInd w:val="0"/>
        <w:snapToGrid w:val="0"/>
        <w:spacing w:line="360" w:lineRule="auto"/>
        <w:ind w:firstLine="420" w:firstLineChars="200"/>
        <w:rPr>
          <w:rFonts w:hint="eastAsia" w:ascii="宋体" w:hAnsi="宋体" w:eastAsia="宋体" w:cs="宋体"/>
          <w:bCs/>
          <w:color w:val="000000"/>
          <w:sz w:val="21"/>
          <w:szCs w:val="18"/>
        </w:rPr>
      </w:pPr>
      <w:bookmarkStart w:id="30" w:name="_Toc16928"/>
      <w:bookmarkStart w:id="31" w:name="_Toc26697"/>
      <w:bookmarkStart w:id="32" w:name="_Toc20850"/>
      <w:bookmarkStart w:id="33" w:name="_Toc10827"/>
      <w:r>
        <w:rPr>
          <w:rFonts w:hint="eastAsia" w:ascii="宋体" w:hAnsi="宋体" w:eastAsia="宋体" w:cs="宋体"/>
          <w:bCs/>
          <w:color w:val="000000"/>
          <w:sz w:val="21"/>
          <w:szCs w:val="18"/>
        </w:rPr>
        <w:t>（</w:t>
      </w:r>
      <w:r>
        <w:rPr>
          <w:rFonts w:hint="default" w:ascii="Times New Roman" w:hAnsi="Times New Roman" w:eastAsia="宋体" w:cs="Times New Roman"/>
          <w:bCs/>
          <w:color w:val="000000"/>
          <w:sz w:val="21"/>
          <w:szCs w:val="18"/>
        </w:rPr>
        <w:t>3</w:t>
      </w:r>
      <w:r>
        <w:rPr>
          <w:rFonts w:hint="eastAsia" w:ascii="宋体" w:hAnsi="宋体" w:eastAsia="宋体" w:cs="宋体"/>
          <w:bCs/>
          <w:color w:val="000000"/>
          <w:sz w:val="21"/>
          <w:szCs w:val="18"/>
        </w:rPr>
        <w:t>）确保污染物排放标准达标。采用污染防治技术规范的目的是为了</w:t>
      </w:r>
      <w:r>
        <w:rPr>
          <w:rFonts w:hint="eastAsia" w:ascii="宋体" w:hAnsi="宋体" w:cs="宋体"/>
          <w:bCs/>
          <w:color w:val="000000"/>
          <w:sz w:val="21"/>
          <w:szCs w:val="18"/>
          <w:lang w:val="en-US" w:eastAsia="zh-CN"/>
        </w:rPr>
        <w:t>生猪</w:t>
      </w:r>
      <w:r>
        <w:rPr>
          <w:rFonts w:hint="eastAsia" w:ascii="宋体" w:hAnsi="宋体" w:eastAsia="宋体" w:cs="宋体"/>
          <w:bCs/>
          <w:color w:val="000000"/>
          <w:sz w:val="21"/>
          <w:szCs w:val="18"/>
        </w:rPr>
        <w:t>养殖排放恶臭污染物能排放达标，所以污染防治技术规范的设定、筛选和评估应满足这个标准的要求。</w:t>
      </w:r>
      <w:bookmarkEnd w:id="30"/>
      <w:bookmarkEnd w:id="31"/>
      <w:bookmarkEnd w:id="32"/>
      <w:bookmarkEnd w:id="33"/>
    </w:p>
    <w:p w14:paraId="7422B0C4">
      <w:pPr>
        <w:pStyle w:val="2"/>
        <w:bidi w:val="0"/>
        <w:rPr>
          <w:rFonts w:hint="eastAsia"/>
        </w:rPr>
      </w:pPr>
      <w:bookmarkStart w:id="34" w:name="_Toc179536934"/>
      <w:bookmarkStart w:id="35" w:name="_Toc31646"/>
      <w:bookmarkStart w:id="36" w:name="_Toc9565"/>
      <w:bookmarkStart w:id="37" w:name="_Toc19869"/>
      <w:r>
        <w:rPr>
          <w:rFonts w:hint="eastAsia"/>
        </w:rPr>
        <w:t>3 技术规范编制过程</w:t>
      </w:r>
      <w:bookmarkEnd w:id="34"/>
      <w:bookmarkEnd w:id="35"/>
      <w:bookmarkEnd w:id="36"/>
      <w:bookmarkEnd w:id="37"/>
    </w:p>
    <w:p w14:paraId="71E44822">
      <w:pPr>
        <w:widowControl/>
        <w:adjustRightInd w:val="0"/>
        <w:snapToGrid w:val="0"/>
        <w:spacing w:line="360" w:lineRule="auto"/>
        <w:ind w:firstLine="420" w:firstLineChars="200"/>
        <w:rPr>
          <w:rFonts w:hint="default" w:ascii="Times New Roman" w:hAnsi="Times New Roman" w:eastAsia="宋体" w:cs="Times New Roman"/>
          <w:bCs/>
          <w:color w:val="000000"/>
          <w:sz w:val="21"/>
          <w:szCs w:val="21"/>
          <w:lang w:val="en-US" w:eastAsia="zh-CN"/>
        </w:rPr>
      </w:pPr>
      <w:bookmarkStart w:id="38" w:name="_Toc865"/>
      <w:bookmarkStart w:id="39" w:name="_Toc29115"/>
      <w:r>
        <w:rPr>
          <w:rFonts w:hint="default" w:ascii="Times New Roman" w:hAnsi="Times New Roman" w:eastAsia="宋体" w:cs="Times New Roman"/>
          <w:bCs/>
          <w:color w:val="000000"/>
          <w:sz w:val="21"/>
          <w:szCs w:val="21"/>
        </w:rPr>
        <w:t>2024年5月，开始国内外相关标准和文献资料调研，重点结合国内已经发布实施的有关畜禽养殖臭气污染防治技术的行业标准，调研规模化养</w:t>
      </w:r>
      <w:r>
        <w:rPr>
          <w:rFonts w:hint="eastAsia" w:cs="Times New Roman"/>
          <w:bCs/>
          <w:color w:val="000000"/>
          <w:sz w:val="21"/>
          <w:szCs w:val="21"/>
          <w:lang w:val="en-US" w:eastAsia="zh-CN"/>
        </w:rPr>
        <w:t>猪</w:t>
      </w:r>
      <w:r>
        <w:rPr>
          <w:rFonts w:hint="default" w:ascii="Times New Roman" w:hAnsi="Times New Roman" w:eastAsia="宋体" w:cs="Times New Roman"/>
          <w:bCs/>
          <w:color w:val="000000"/>
          <w:sz w:val="21"/>
          <w:szCs w:val="21"/>
        </w:rPr>
        <w:t>场的生产工艺状况</w:t>
      </w:r>
      <w:r>
        <w:rPr>
          <w:rFonts w:hint="eastAsia" w:cs="Times New Roman"/>
          <w:bCs/>
          <w:color w:val="000000"/>
          <w:sz w:val="21"/>
          <w:szCs w:val="21"/>
          <w:lang w:eastAsia="zh-CN"/>
        </w:rPr>
        <w:t>、</w:t>
      </w:r>
      <w:r>
        <w:rPr>
          <w:rFonts w:hint="default" w:ascii="Times New Roman" w:hAnsi="Times New Roman" w:eastAsia="宋体" w:cs="Times New Roman"/>
          <w:bCs/>
          <w:color w:val="000000"/>
          <w:sz w:val="21"/>
          <w:szCs w:val="21"/>
        </w:rPr>
        <w:t>臭气排放特征和处理技术。</w:t>
      </w:r>
      <w:bookmarkEnd w:id="38"/>
      <w:bookmarkEnd w:id="39"/>
    </w:p>
    <w:p w14:paraId="19588FE0">
      <w:pPr>
        <w:widowControl/>
        <w:adjustRightInd w:val="0"/>
        <w:snapToGrid w:val="0"/>
        <w:spacing w:line="360" w:lineRule="auto"/>
        <w:ind w:firstLine="420" w:firstLineChars="200"/>
        <w:rPr>
          <w:rFonts w:hint="default" w:ascii="Times New Roman" w:hAnsi="Times New Roman" w:eastAsia="宋体" w:cs="Times New Roman"/>
          <w:bCs/>
          <w:color w:val="000000"/>
          <w:sz w:val="21"/>
          <w:szCs w:val="21"/>
        </w:rPr>
      </w:pPr>
      <w:bookmarkStart w:id="40" w:name="_Toc31976"/>
      <w:bookmarkStart w:id="41" w:name="_Toc15826"/>
      <w:r>
        <w:rPr>
          <w:rFonts w:hint="default" w:ascii="Times New Roman" w:hAnsi="Times New Roman" w:eastAsia="宋体" w:cs="Times New Roman"/>
          <w:bCs/>
          <w:color w:val="000000"/>
          <w:sz w:val="21"/>
          <w:szCs w:val="21"/>
        </w:rPr>
        <w:t>2024年9月，完成团体标准编写立项申请，形成《</w:t>
      </w:r>
      <w:r>
        <w:rPr>
          <w:rFonts w:hint="eastAsia" w:ascii="Times New Roman" w:hAnsi="Times New Roman" w:cs="Times New Roman"/>
          <w:bCs/>
          <w:color w:val="000000"/>
          <w:sz w:val="21"/>
          <w:szCs w:val="21"/>
          <w:lang w:val="en-US" w:eastAsia="zh-CN"/>
        </w:rPr>
        <w:t>规模化生猪养殖</w:t>
      </w:r>
      <w:r>
        <w:rPr>
          <w:rFonts w:hint="default" w:ascii="Times New Roman" w:hAnsi="Times New Roman" w:eastAsia="宋体" w:cs="Times New Roman"/>
          <w:bCs/>
          <w:color w:val="000000"/>
          <w:sz w:val="21"/>
          <w:szCs w:val="21"/>
        </w:rPr>
        <w:t>臭气污染防治技术规范》初稿。</w:t>
      </w:r>
      <w:bookmarkEnd w:id="40"/>
      <w:bookmarkEnd w:id="41"/>
    </w:p>
    <w:p w14:paraId="3257C850">
      <w:pPr>
        <w:widowControl/>
        <w:adjustRightInd w:val="0"/>
        <w:snapToGrid w:val="0"/>
        <w:spacing w:line="360" w:lineRule="auto"/>
        <w:ind w:firstLine="420" w:firstLineChars="200"/>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2024年10月12日，中华环保联合会在杭州召开《</w:t>
      </w:r>
      <w:r>
        <w:rPr>
          <w:rFonts w:hint="eastAsia" w:cs="Times New Roman"/>
          <w:bCs/>
          <w:color w:val="000000"/>
          <w:sz w:val="21"/>
          <w:szCs w:val="21"/>
          <w:lang w:val="en-US" w:eastAsia="zh-CN"/>
        </w:rPr>
        <w:t>规模化生猪养殖</w:t>
      </w:r>
      <w:r>
        <w:rPr>
          <w:rFonts w:hint="default" w:ascii="Times New Roman" w:hAnsi="Times New Roman" w:eastAsia="宋体" w:cs="Times New Roman"/>
          <w:bCs/>
          <w:color w:val="000000"/>
          <w:sz w:val="21"/>
          <w:szCs w:val="21"/>
        </w:rPr>
        <w:t>臭气污染防治技术规范》团体标准的开题报告会及第一次标准内容的评审会议。与会专家对标准文稿的后续修改、完善提出了建议。</w:t>
      </w:r>
    </w:p>
    <w:p w14:paraId="2E4C9B97">
      <w:pPr>
        <w:widowControl/>
        <w:adjustRightInd w:val="0"/>
        <w:snapToGrid w:val="0"/>
        <w:spacing w:line="360" w:lineRule="auto"/>
        <w:ind w:firstLine="420" w:firstLineChars="200"/>
        <w:rPr>
          <w:rFonts w:hint="default" w:ascii="Times New Roman" w:hAnsi="Times New Roman" w:eastAsia="宋体" w:cs="Times New Roman"/>
          <w:bCs/>
          <w:color w:val="000000"/>
          <w:sz w:val="21"/>
          <w:szCs w:val="21"/>
          <w:lang w:val="en-US" w:eastAsia="zh-CN"/>
        </w:rPr>
      </w:pPr>
      <w:r>
        <w:rPr>
          <w:rFonts w:hint="eastAsia" w:cs="Times New Roman"/>
          <w:bCs/>
          <w:color w:val="000000"/>
          <w:sz w:val="21"/>
          <w:szCs w:val="21"/>
          <w:lang w:val="en-US" w:eastAsia="zh-CN"/>
        </w:rPr>
        <w:t>2025年5月14日，中华环保联合会召开了《规模化生猪养殖臭气污染防治技术规范》团体标准技术审查会，各位与会专家就提供的技术规范文本提出修改建议。</w:t>
      </w:r>
    </w:p>
    <w:p w14:paraId="4EA64DF4">
      <w:pPr>
        <w:pStyle w:val="2"/>
        <w:bidi w:val="0"/>
        <w:rPr>
          <w:rFonts w:hint="eastAsia"/>
        </w:rPr>
      </w:pPr>
      <w:bookmarkStart w:id="42" w:name="_Toc179536935"/>
      <w:bookmarkStart w:id="43" w:name="_Toc16423"/>
      <w:bookmarkStart w:id="44" w:name="_Toc31040"/>
      <w:bookmarkStart w:id="45" w:name="_Toc19373"/>
      <w:r>
        <w:rPr>
          <w:rFonts w:hint="eastAsia"/>
        </w:rPr>
        <w:t>4 国内外相关标准概况</w:t>
      </w:r>
      <w:bookmarkEnd w:id="42"/>
      <w:bookmarkEnd w:id="43"/>
      <w:bookmarkEnd w:id="44"/>
      <w:bookmarkEnd w:id="45"/>
    </w:p>
    <w:p w14:paraId="4A996A1B">
      <w:pPr>
        <w:keepNext w:val="0"/>
        <w:keepLines w:val="0"/>
        <w:pageBreakBefore w:val="0"/>
        <w:widowControl/>
        <w:kinsoku/>
        <w:wordWrap w:val="0"/>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Cs/>
          <w:color w:val="000000"/>
          <w:sz w:val="21"/>
          <w:szCs w:val="21"/>
        </w:rPr>
      </w:pPr>
      <w:bookmarkStart w:id="46" w:name="_Toc8433"/>
      <w:bookmarkStart w:id="47" w:name="_Toc8492"/>
      <w:bookmarkStart w:id="48" w:name="_Toc25895"/>
      <w:bookmarkStart w:id="49" w:name="_Toc391"/>
      <w:r>
        <w:rPr>
          <w:rFonts w:hint="eastAsia" w:cs="Times New Roman"/>
          <w:bCs/>
          <w:color w:val="000000"/>
          <w:sz w:val="21"/>
          <w:szCs w:val="21"/>
          <w:lang w:val="en-US" w:eastAsia="zh-CN"/>
        </w:rPr>
        <w:t>为了限制</w:t>
      </w:r>
      <w:r>
        <w:rPr>
          <w:rFonts w:hint="default" w:ascii="Times New Roman" w:hAnsi="Times New Roman" w:eastAsia="宋体" w:cs="Times New Roman"/>
          <w:bCs/>
          <w:color w:val="000000"/>
          <w:sz w:val="21"/>
          <w:szCs w:val="21"/>
        </w:rPr>
        <w:t>畜禽养殖场臭气污染物的排放，国家出台了</w:t>
      </w:r>
      <w:r>
        <w:rPr>
          <w:rFonts w:ascii="Times New Roman" w:hAnsi="Times New Roman" w:eastAsia="宋体" w:cs="Times New Roman"/>
          <w:bCs/>
          <w:color w:val="000000"/>
          <w:szCs w:val="21"/>
        </w:rPr>
        <w:t>《畜禽养殖业污染物排放标准》（GB 18596-2001）</w:t>
      </w:r>
      <w:r>
        <w:rPr>
          <w:rFonts w:hint="eastAsia" w:cs="Times New Roman"/>
          <w:bCs/>
          <w:color w:val="000000"/>
          <w:szCs w:val="21"/>
          <w:lang w:eastAsia="zh-CN"/>
        </w:rPr>
        <w:t>、</w:t>
      </w:r>
      <w:r>
        <w:rPr>
          <w:rFonts w:hint="eastAsia" w:ascii="宋体" w:hAnsi="宋体" w:eastAsia="宋体" w:cs="宋体"/>
          <w:bCs/>
          <w:color w:val="000000"/>
          <w:szCs w:val="21"/>
        </w:rPr>
        <w:t>《恶臭污染物排放标准》</w:t>
      </w:r>
      <w:r>
        <w:rPr>
          <w:rFonts w:ascii="Times New Roman" w:hAnsi="Times New Roman" w:eastAsia="宋体" w:cs="Times New Roman"/>
          <w:bCs/>
          <w:color w:val="000000"/>
          <w:szCs w:val="21"/>
        </w:rPr>
        <w:t>（GB14554</w:t>
      </w:r>
      <w:r>
        <w:rPr>
          <w:rFonts w:hint="eastAsia" w:ascii="Times New Roman" w:hAnsi="Times New Roman" w:eastAsia="宋体" w:cs="Times New Roman"/>
          <w:bCs/>
          <w:color w:val="000000"/>
          <w:szCs w:val="21"/>
          <w:lang w:val="en-US" w:eastAsia="zh-CN"/>
        </w:rPr>
        <w:t>-</w:t>
      </w:r>
      <w:r>
        <w:rPr>
          <w:rFonts w:ascii="Times New Roman" w:hAnsi="Times New Roman" w:eastAsia="宋体" w:cs="Times New Roman"/>
          <w:bCs/>
          <w:color w:val="000000"/>
          <w:szCs w:val="21"/>
        </w:rPr>
        <w:t>1993）</w:t>
      </w:r>
      <w:r>
        <w:rPr>
          <w:rFonts w:hint="eastAsia" w:cs="Times New Roman"/>
          <w:bCs/>
          <w:color w:val="000000"/>
          <w:szCs w:val="21"/>
          <w:lang w:eastAsia="zh-CN"/>
        </w:rPr>
        <w:t>、</w:t>
      </w:r>
      <w:r>
        <w:rPr>
          <w:rFonts w:hint="eastAsia" w:ascii="宋体" w:hAnsi="宋体" w:eastAsia="宋体" w:cs="宋体"/>
          <w:bCs/>
          <w:color w:val="000000"/>
          <w:szCs w:val="21"/>
        </w:rPr>
        <w:t>《恶臭污染物排放标准》</w:t>
      </w:r>
      <w:r>
        <w:rPr>
          <w:rFonts w:ascii="Times New Roman" w:hAnsi="Times New Roman" w:eastAsia="宋体" w:cs="Times New Roman"/>
          <w:bCs/>
          <w:color w:val="000000"/>
          <w:szCs w:val="21"/>
        </w:rPr>
        <w:t>（GB14554</w:t>
      </w:r>
      <w:r>
        <w:rPr>
          <w:rFonts w:hint="eastAsia" w:ascii="Times New Roman" w:hAnsi="Times New Roman" w:eastAsia="宋体" w:cs="Times New Roman"/>
          <w:bCs/>
          <w:color w:val="000000"/>
          <w:szCs w:val="21"/>
          <w:lang w:val="en-US" w:eastAsia="zh-CN"/>
        </w:rPr>
        <w:t>-2018</w:t>
      </w:r>
      <w:r>
        <w:rPr>
          <w:rFonts w:ascii="Times New Roman" w:hAnsi="Times New Roman" w:eastAsia="宋体" w:cs="Times New Roman"/>
          <w:bCs/>
          <w:color w:val="000000"/>
          <w:szCs w:val="21"/>
        </w:rPr>
        <w:t>）</w:t>
      </w:r>
      <w:r>
        <w:rPr>
          <w:rFonts w:hint="default" w:ascii="Times New Roman" w:hAnsi="Times New Roman" w:eastAsia="宋体" w:cs="Times New Roman"/>
          <w:bCs/>
          <w:color w:val="000000"/>
          <w:sz w:val="21"/>
          <w:szCs w:val="21"/>
        </w:rPr>
        <w:t>等</w:t>
      </w:r>
      <w:r>
        <w:rPr>
          <w:rFonts w:hint="eastAsia" w:cs="Times New Roman"/>
          <w:bCs/>
          <w:color w:val="000000"/>
          <w:sz w:val="21"/>
          <w:szCs w:val="21"/>
          <w:lang w:val="en-US" w:eastAsia="zh-CN"/>
        </w:rPr>
        <w:t>排放</w:t>
      </w:r>
      <w:r>
        <w:rPr>
          <w:rFonts w:hint="default" w:ascii="Times New Roman" w:hAnsi="Times New Roman" w:eastAsia="宋体" w:cs="Times New Roman"/>
          <w:bCs/>
          <w:color w:val="000000"/>
          <w:sz w:val="21"/>
          <w:szCs w:val="21"/>
        </w:rPr>
        <w:t>标准。</w:t>
      </w:r>
      <w:r>
        <w:rPr>
          <w:rFonts w:hint="eastAsia" w:cs="Times New Roman"/>
          <w:bCs/>
          <w:color w:val="000000"/>
          <w:sz w:val="21"/>
          <w:szCs w:val="21"/>
          <w:lang w:val="en-US" w:eastAsia="zh-CN"/>
        </w:rPr>
        <w:t>同时，地方（上海市）也出台了排放标准《恶臭（异味）污染物排放标准》（DB31/1025-2016）。</w:t>
      </w:r>
      <w:r>
        <w:rPr>
          <w:rFonts w:hint="default" w:ascii="Times New Roman" w:hAnsi="Times New Roman" w:eastAsia="宋体" w:cs="Times New Roman"/>
          <w:bCs/>
          <w:color w:val="000000"/>
          <w:sz w:val="21"/>
          <w:szCs w:val="21"/>
        </w:rPr>
        <w:t>针对畜禽养殖场臭气治理技术，国家颁布了《畜禽养殖业污染治理工程技术规范》（HJ 497</w:t>
      </w:r>
      <w:r>
        <w:rPr>
          <w:rFonts w:hint="eastAsia" w:cs="Times New Roman"/>
          <w:bCs/>
          <w:color w:val="000000"/>
          <w:sz w:val="21"/>
          <w:szCs w:val="21"/>
          <w:lang w:val="en-US" w:eastAsia="zh-CN"/>
        </w:rPr>
        <w:t>-</w:t>
      </w:r>
      <w:r>
        <w:rPr>
          <w:rFonts w:hint="default" w:ascii="Times New Roman" w:hAnsi="Times New Roman" w:eastAsia="宋体" w:cs="Times New Roman"/>
          <w:bCs/>
          <w:color w:val="000000"/>
          <w:sz w:val="21"/>
          <w:szCs w:val="21"/>
        </w:rPr>
        <w:t>2009）</w:t>
      </w:r>
      <w:r>
        <w:rPr>
          <w:rFonts w:hint="eastAsia" w:cs="Times New Roman"/>
          <w:bCs/>
          <w:color w:val="000000"/>
          <w:sz w:val="21"/>
          <w:szCs w:val="21"/>
          <w:lang w:eastAsia="zh-CN"/>
        </w:rPr>
        <w:t>、</w:t>
      </w:r>
      <w:r>
        <w:rPr>
          <w:rFonts w:hint="default" w:ascii="Times New Roman" w:hAnsi="Times New Roman" w:eastAsia="宋体" w:cs="Times New Roman"/>
          <w:bCs/>
          <w:color w:val="000000"/>
          <w:sz w:val="21"/>
          <w:szCs w:val="21"/>
        </w:rPr>
        <w:t>《畜禽养殖业污染防治技术规范》</w:t>
      </w:r>
      <w:bookmarkStart w:id="50" w:name="_Hlk179532147"/>
      <w:r>
        <w:rPr>
          <w:rFonts w:hint="default" w:ascii="Times New Roman" w:hAnsi="Times New Roman" w:eastAsia="宋体" w:cs="Times New Roman"/>
          <w:bCs/>
          <w:color w:val="000000"/>
          <w:sz w:val="21"/>
          <w:szCs w:val="21"/>
        </w:rPr>
        <w:t>（HJ/T 81</w:t>
      </w:r>
      <w:r>
        <w:rPr>
          <w:rFonts w:hint="eastAsia" w:cs="Times New Roman"/>
          <w:bCs/>
          <w:color w:val="000000"/>
          <w:sz w:val="21"/>
          <w:szCs w:val="21"/>
          <w:lang w:val="en-US" w:eastAsia="zh-CN"/>
        </w:rPr>
        <w:t>-</w:t>
      </w:r>
      <w:r>
        <w:rPr>
          <w:rFonts w:hint="default" w:ascii="Times New Roman" w:hAnsi="Times New Roman" w:eastAsia="宋体" w:cs="Times New Roman"/>
          <w:bCs/>
          <w:color w:val="000000"/>
          <w:sz w:val="21"/>
          <w:szCs w:val="21"/>
        </w:rPr>
        <w:t>2001）</w:t>
      </w:r>
      <w:bookmarkEnd w:id="50"/>
      <w:r>
        <w:rPr>
          <w:rFonts w:hint="eastAsia" w:cs="Times New Roman"/>
          <w:bCs/>
          <w:color w:val="000000"/>
          <w:sz w:val="21"/>
          <w:szCs w:val="21"/>
          <w:lang w:val="en-US" w:eastAsia="zh-CN"/>
        </w:rPr>
        <w:t>等技术规范</w:t>
      </w:r>
      <w:r>
        <w:rPr>
          <w:rFonts w:hint="default" w:ascii="Times New Roman" w:hAnsi="Times New Roman" w:eastAsia="宋体" w:cs="Times New Roman"/>
          <w:bCs/>
          <w:color w:val="000000"/>
          <w:sz w:val="21"/>
          <w:szCs w:val="21"/>
        </w:rPr>
        <w:t>。</w:t>
      </w:r>
      <w:r>
        <w:rPr>
          <w:rFonts w:hint="eastAsia" w:cs="Times New Roman"/>
          <w:bCs/>
          <w:color w:val="000000"/>
          <w:sz w:val="21"/>
          <w:szCs w:val="21"/>
          <w:lang w:val="en-US" w:eastAsia="zh-CN"/>
        </w:rPr>
        <w:t>同时，</w:t>
      </w:r>
      <w:r>
        <w:rPr>
          <w:rFonts w:hint="default" w:ascii="Times New Roman" w:hAnsi="Times New Roman" w:eastAsia="宋体" w:cs="Times New Roman"/>
          <w:bCs/>
          <w:color w:val="000000"/>
          <w:sz w:val="21"/>
          <w:szCs w:val="21"/>
        </w:rPr>
        <w:t>地方也出台了技术规范</w:t>
      </w:r>
      <w:r>
        <w:rPr>
          <w:rFonts w:hint="eastAsia" w:cs="Times New Roman"/>
          <w:bCs/>
          <w:color w:val="000000"/>
          <w:sz w:val="21"/>
          <w:szCs w:val="21"/>
          <w:lang w:eastAsia="zh-CN"/>
        </w:rPr>
        <w:t>，</w:t>
      </w:r>
      <w:r>
        <w:rPr>
          <w:rFonts w:hint="default" w:ascii="Times New Roman" w:hAnsi="Times New Roman" w:eastAsia="宋体" w:cs="Times New Roman"/>
          <w:bCs/>
          <w:color w:val="000000"/>
          <w:sz w:val="21"/>
          <w:szCs w:val="21"/>
        </w:rPr>
        <w:t>如（河南省</w:t>
      </w:r>
      <w:r>
        <w:rPr>
          <w:rFonts w:hint="eastAsia" w:cs="Times New Roman"/>
          <w:bCs/>
          <w:color w:val="000000"/>
          <w:sz w:val="21"/>
          <w:szCs w:val="21"/>
          <w:lang w:eastAsia="zh-CN"/>
        </w:rPr>
        <w:t>）</w:t>
      </w:r>
      <w:r>
        <w:rPr>
          <w:rFonts w:hint="default" w:ascii="Times New Roman" w:hAnsi="Times New Roman" w:eastAsia="宋体" w:cs="Times New Roman"/>
          <w:bCs/>
          <w:color w:val="000000"/>
          <w:sz w:val="21"/>
          <w:szCs w:val="21"/>
        </w:rPr>
        <w:t>《规模化养猪场臭气防治技术规范》（DB41/T</w:t>
      </w:r>
      <w:r>
        <w:rPr>
          <w:rFonts w:hint="eastAsia" w:cs="Times New Roman"/>
          <w:bCs/>
          <w:color w:val="000000"/>
          <w:sz w:val="21"/>
          <w:szCs w:val="21"/>
          <w:lang w:val="en-US" w:eastAsia="zh-CN"/>
        </w:rPr>
        <w:t xml:space="preserve"> </w:t>
      </w:r>
      <w:r>
        <w:rPr>
          <w:rFonts w:hint="default" w:ascii="Times New Roman" w:hAnsi="Times New Roman" w:eastAsia="宋体" w:cs="Times New Roman"/>
          <w:bCs/>
          <w:color w:val="000000"/>
          <w:sz w:val="21"/>
          <w:szCs w:val="21"/>
        </w:rPr>
        <w:t>2642</w:t>
      </w:r>
      <w:r>
        <w:rPr>
          <w:rFonts w:hint="eastAsia" w:cs="Times New Roman"/>
          <w:bCs/>
          <w:color w:val="000000"/>
          <w:sz w:val="21"/>
          <w:szCs w:val="21"/>
          <w:lang w:val="en-US" w:eastAsia="zh-CN"/>
        </w:rPr>
        <w:t>-</w:t>
      </w:r>
      <w:r>
        <w:rPr>
          <w:rFonts w:hint="default" w:ascii="Times New Roman" w:hAnsi="Times New Roman" w:eastAsia="宋体" w:cs="Times New Roman"/>
          <w:bCs/>
          <w:color w:val="000000"/>
          <w:sz w:val="21"/>
          <w:szCs w:val="21"/>
        </w:rPr>
        <w:t>2024）</w:t>
      </w:r>
      <w:r>
        <w:rPr>
          <w:rFonts w:hint="eastAsia" w:cs="Times New Roman"/>
          <w:bCs/>
          <w:color w:val="000000"/>
          <w:sz w:val="21"/>
          <w:szCs w:val="21"/>
          <w:lang w:eastAsia="zh-CN"/>
        </w:rPr>
        <w:t>、（</w:t>
      </w:r>
      <w:r>
        <w:rPr>
          <w:rFonts w:hint="eastAsia" w:cs="Times New Roman"/>
          <w:bCs/>
          <w:color w:val="000000"/>
          <w:sz w:val="21"/>
          <w:szCs w:val="21"/>
          <w:lang w:val="en-US" w:eastAsia="zh-CN"/>
        </w:rPr>
        <w:t>四川省眉山市</w:t>
      </w:r>
      <w:r>
        <w:rPr>
          <w:rFonts w:hint="eastAsia" w:cs="Times New Roman"/>
          <w:bCs/>
          <w:color w:val="000000"/>
          <w:sz w:val="21"/>
          <w:szCs w:val="21"/>
          <w:lang w:eastAsia="zh-CN"/>
        </w:rPr>
        <w:t>）</w:t>
      </w:r>
      <w:r>
        <w:rPr>
          <w:rFonts w:hint="eastAsia" w:ascii="Times New Roman" w:hAnsi="Times New Roman" w:eastAsia="宋体" w:cs="Times New Roman"/>
          <w:bCs/>
          <w:color w:val="000000"/>
          <w:szCs w:val="21"/>
        </w:rPr>
        <w:t>《规模猪场臭气治理技术规范》（DB5114/T XX</w:t>
      </w:r>
      <w:r>
        <w:rPr>
          <w:rFonts w:hint="eastAsia" w:ascii="Times New Roman" w:hAnsi="Times New Roman" w:eastAsia="宋体" w:cs="Times New Roman"/>
          <w:bCs/>
          <w:color w:val="000000"/>
          <w:szCs w:val="21"/>
          <w:lang w:val="en-US" w:eastAsia="zh-CN"/>
        </w:rPr>
        <w:t>-</w:t>
      </w:r>
      <w:r>
        <w:rPr>
          <w:rFonts w:hint="eastAsia" w:ascii="Times New Roman" w:hAnsi="Times New Roman" w:eastAsia="宋体" w:cs="Times New Roman"/>
          <w:bCs/>
          <w:color w:val="000000"/>
          <w:szCs w:val="21"/>
        </w:rPr>
        <w:t>2023）</w:t>
      </w:r>
      <w:r>
        <w:rPr>
          <w:rFonts w:hint="eastAsia" w:cs="Times New Roman"/>
          <w:bCs/>
          <w:color w:val="000000"/>
          <w:szCs w:val="21"/>
          <w:lang w:eastAsia="zh-CN"/>
        </w:rPr>
        <w:t>、（</w:t>
      </w:r>
      <w:r>
        <w:rPr>
          <w:rFonts w:hint="eastAsia" w:cs="Times New Roman"/>
          <w:bCs/>
          <w:color w:val="000000"/>
          <w:szCs w:val="21"/>
          <w:lang w:val="en-US" w:eastAsia="zh-CN"/>
        </w:rPr>
        <w:t>浙江省</w:t>
      </w:r>
      <w:r>
        <w:rPr>
          <w:rFonts w:hint="eastAsia" w:cs="Times New Roman"/>
          <w:bCs/>
          <w:color w:val="000000"/>
          <w:szCs w:val="21"/>
          <w:lang w:eastAsia="zh-CN"/>
        </w:rPr>
        <w:t>）</w:t>
      </w:r>
      <w:r>
        <w:rPr>
          <w:rFonts w:hint="eastAsia" w:ascii="Times New Roman" w:hAnsi="Times New Roman" w:eastAsia="宋体" w:cs="Times New Roman"/>
          <w:bCs/>
          <w:color w:val="000000"/>
          <w:szCs w:val="21"/>
        </w:rPr>
        <w:t>《规模猪场综合减臭技术规范》（DB33/T 1377</w:t>
      </w:r>
      <w:r>
        <w:rPr>
          <w:rFonts w:hint="eastAsia" w:ascii="Times New Roman" w:hAnsi="Times New Roman" w:eastAsia="宋体" w:cs="Times New Roman"/>
          <w:bCs/>
          <w:color w:val="000000"/>
          <w:szCs w:val="21"/>
          <w:lang w:val="en-US" w:eastAsia="zh-CN"/>
        </w:rPr>
        <w:t>-</w:t>
      </w:r>
      <w:r>
        <w:rPr>
          <w:rFonts w:hint="eastAsia" w:ascii="Times New Roman" w:hAnsi="Times New Roman" w:eastAsia="宋体" w:cs="Times New Roman"/>
          <w:bCs/>
          <w:color w:val="000000"/>
          <w:szCs w:val="21"/>
        </w:rPr>
        <w:t>2024）</w:t>
      </w:r>
      <w:r>
        <w:rPr>
          <w:rFonts w:hint="default" w:ascii="Times New Roman" w:hAnsi="Times New Roman" w:eastAsia="宋体" w:cs="Times New Roman"/>
          <w:bCs/>
          <w:color w:val="000000"/>
          <w:sz w:val="21"/>
          <w:szCs w:val="21"/>
        </w:rPr>
        <w:t>。但是，至今仍</w:t>
      </w:r>
      <w:r>
        <w:rPr>
          <w:rFonts w:hint="eastAsia" w:cs="Times New Roman"/>
          <w:bCs/>
          <w:color w:val="000000"/>
          <w:sz w:val="21"/>
          <w:szCs w:val="21"/>
          <w:lang w:val="en-US" w:eastAsia="zh-CN"/>
        </w:rPr>
        <w:t>缺乏</w:t>
      </w:r>
      <w:r>
        <w:rPr>
          <w:rFonts w:hint="default" w:ascii="Times New Roman" w:hAnsi="Times New Roman" w:eastAsia="宋体" w:cs="Times New Roman"/>
          <w:bCs/>
          <w:color w:val="000000"/>
          <w:sz w:val="21"/>
          <w:szCs w:val="21"/>
        </w:rPr>
        <w:t>系统</w:t>
      </w:r>
      <w:r>
        <w:rPr>
          <w:rFonts w:hint="eastAsia" w:cs="Times New Roman"/>
          <w:bCs/>
          <w:color w:val="000000"/>
          <w:sz w:val="21"/>
          <w:szCs w:val="21"/>
          <w:lang w:eastAsia="zh-CN"/>
        </w:rPr>
        <w:t>、</w:t>
      </w:r>
      <w:r>
        <w:rPr>
          <w:rFonts w:hint="eastAsia" w:cs="Times New Roman"/>
          <w:bCs/>
          <w:color w:val="000000"/>
          <w:sz w:val="21"/>
          <w:szCs w:val="21"/>
          <w:lang w:val="en-US" w:eastAsia="zh-CN"/>
        </w:rPr>
        <w:t>完整的规模化生猪</w:t>
      </w:r>
      <w:r>
        <w:rPr>
          <w:rFonts w:hint="default" w:ascii="Times New Roman" w:hAnsi="Times New Roman" w:eastAsia="宋体" w:cs="Times New Roman"/>
          <w:bCs/>
          <w:color w:val="000000"/>
          <w:sz w:val="21"/>
          <w:szCs w:val="21"/>
        </w:rPr>
        <w:t>养殖臭气污染防治技术。</w:t>
      </w:r>
      <w:bookmarkEnd w:id="46"/>
      <w:bookmarkEnd w:id="47"/>
      <w:bookmarkEnd w:id="48"/>
      <w:bookmarkEnd w:id="49"/>
    </w:p>
    <w:p w14:paraId="5BFA73BF">
      <w:pPr>
        <w:widowControl/>
        <w:adjustRightInd w:val="0"/>
        <w:snapToGrid w:val="0"/>
        <w:spacing w:line="360" w:lineRule="auto"/>
        <w:ind w:firstLine="420" w:firstLineChars="200"/>
        <w:rPr>
          <w:rFonts w:hint="default" w:ascii="Times New Roman" w:hAnsi="Times New Roman" w:eastAsia="宋体" w:cs="Times New Roman"/>
          <w:bCs/>
          <w:color w:val="000000"/>
          <w:sz w:val="21"/>
          <w:szCs w:val="21"/>
        </w:rPr>
      </w:pPr>
      <w:bookmarkStart w:id="51" w:name="_Toc25344"/>
      <w:bookmarkStart w:id="52" w:name="_Toc5150"/>
      <w:bookmarkStart w:id="53" w:name="_Toc14700"/>
      <w:bookmarkStart w:id="54" w:name="_Toc22533"/>
      <w:r>
        <w:rPr>
          <w:rFonts w:hint="default" w:ascii="Times New Roman" w:hAnsi="Times New Roman" w:eastAsia="宋体" w:cs="Times New Roman"/>
          <w:bCs/>
          <w:color w:val="000000"/>
          <w:sz w:val="21"/>
          <w:szCs w:val="21"/>
        </w:rPr>
        <w:t>欧盟根据《Best Available Techniques (BAT) Reference Document for the Intensive Rearing of Poultry or Pigs》（Industrial Emissions Directive 2010/75/EU）确立了</w:t>
      </w:r>
      <w:r>
        <w:rPr>
          <w:rFonts w:hint="default" w:ascii="Times New Roman" w:hAnsi="Times New Roman" w:cs="Times New Roman"/>
          <w:sz w:val="21"/>
          <w:szCs w:val="21"/>
        </w:rPr>
        <w:t>集约化</w:t>
      </w:r>
      <w:r>
        <w:rPr>
          <w:rFonts w:hint="default" w:ascii="Times New Roman" w:hAnsi="Times New Roman" w:eastAsia="宋体" w:cs="Times New Roman"/>
          <w:bCs/>
          <w:color w:val="000000"/>
          <w:sz w:val="21"/>
          <w:szCs w:val="21"/>
        </w:rPr>
        <w:t>畜禽养殖臭气治理的最佳可行性技术指南；美国科罗拉多州在《Odor emission,（5 CCR 1001</w:t>
      </w:r>
      <w:r>
        <w:rPr>
          <w:rFonts w:hint="eastAsia" w:cs="Times New Roman"/>
          <w:bCs/>
          <w:color w:val="000000"/>
          <w:sz w:val="21"/>
          <w:szCs w:val="21"/>
          <w:lang w:val="en-US" w:eastAsia="zh-CN"/>
        </w:rPr>
        <w:t>-</w:t>
      </w:r>
      <w:r>
        <w:rPr>
          <w:rFonts w:hint="default" w:ascii="Times New Roman" w:hAnsi="Times New Roman" w:eastAsia="宋体" w:cs="Times New Roman"/>
          <w:bCs/>
          <w:color w:val="000000"/>
          <w:sz w:val="21"/>
          <w:szCs w:val="21"/>
        </w:rPr>
        <w:t>4）》中规定了畜禽养殖场（区）恶臭气体的排放标准为2-15D/T</w:t>
      </w:r>
      <w:r>
        <w:rPr>
          <w:rFonts w:hint="eastAsia" w:cs="Times New Roman"/>
          <w:bCs/>
          <w:color w:val="000000"/>
          <w:sz w:val="21"/>
          <w:szCs w:val="21"/>
          <w:lang w:eastAsia="zh-CN"/>
        </w:rPr>
        <w:t>，</w:t>
      </w:r>
      <w:r>
        <w:rPr>
          <w:rFonts w:hint="eastAsia" w:cs="Times New Roman"/>
          <w:bCs/>
          <w:color w:val="000000"/>
          <w:sz w:val="21"/>
          <w:szCs w:val="21"/>
          <w:lang w:val="en-US" w:eastAsia="zh-CN"/>
        </w:rPr>
        <w:t>美国环境保护局（EPA）出台的</w:t>
      </w:r>
      <w:r>
        <w:rPr>
          <w:rFonts w:hint="eastAsia" w:cs="Times New Roman"/>
          <w:bCs/>
          <w:color w:val="000000"/>
          <w:sz w:val="21"/>
          <w:szCs w:val="21"/>
          <w:lang w:eastAsia="zh-CN"/>
        </w:rPr>
        <w:t>《Agricultural Air Quality Conservation Measures</w:t>
      </w:r>
      <w:r>
        <w:rPr>
          <w:rFonts w:hint="eastAsia" w:cs="Times New Roman"/>
          <w:bCs/>
          <w:color w:val="000000"/>
          <w:sz w:val="21"/>
          <w:szCs w:val="21"/>
          <w:lang w:val="en-US" w:eastAsia="zh-CN"/>
        </w:rPr>
        <w:t xml:space="preserve">  </w:t>
      </w:r>
      <w:r>
        <w:rPr>
          <w:rFonts w:hint="eastAsia" w:cs="Times New Roman"/>
          <w:bCs/>
          <w:color w:val="000000"/>
          <w:sz w:val="21"/>
          <w:szCs w:val="21"/>
          <w:lang w:eastAsia="zh-CN"/>
        </w:rPr>
        <w:t>Reference Guide for Poultry and Livestock Production Systems》</w:t>
      </w:r>
      <w:r>
        <w:rPr>
          <w:rFonts w:hint="eastAsia" w:cs="Times New Roman"/>
          <w:bCs/>
          <w:color w:val="000000"/>
          <w:sz w:val="21"/>
          <w:szCs w:val="21"/>
          <w:lang w:val="en-US" w:eastAsia="zh-CN"/>
        </w:rPr>
        <w:t>针对畜禽养殖场废气治理技术做了论述</w:t>
      </w:r>
      <w:r>
        <w:rPr>
          <w:rFonts w:hint="default" w:ascii="Times New Roman" w:hAnsi="Times New Roman" w:eastAsia="宋体" w:cs="Times New Roman"/>
          <w:bCs/>
          <w:color w:val="000000"/>
          <w:sz w:val="21"/>
          <w:szCs w:val="21"/>
        </w:rPr>
        <w:t>；日本在《恶臭控制法》中规定了畜禽养殖场（区）各臭气组分的排放标准。</w:t>
      </w:r>
      <w:bookmarkEnd w:id="51"/>
      <w:bookmarkEnd w:id="52"/>
      <w:bookmarkEnd w:id="53"/>
      <w:bookmarkEnd w:id="54"/>
    </w:p>
    <w:p w14:paraId="67825BF8">
      <w:pPr>
        <w:keepNext w:val="0"/>
        <w:keepLines w:val="0"/>
        <w:pageBreakBefore w:val="0"/>
        <w:widowControl/>
        <w:kinsoku/>
        <w:wordWrap w:val="0"/>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bCs/>
          <w:color w:val="000000"/>
          <w:sz w:val="21"/>
          <w:szCs w:val="21"/>
          <w:lang w:val="en-US" w:eastAsia="zh-CN"/>
        </w:rPr>
      </w:pPr>
      <w:r>
        <w:rPr>
          <w:rFonts w:hint="eastAsia" w:cs="Times New Roman"/>
          <w:bCs/>
          <w:color w:val="000000"/>
          <w:sz w:val="21"/>
          <w:szCs w:val="21"/>
          <w:lang w:val="en-US" w:eastAsia="zh-CN"/>
        </w:rPr>
        <w:t>国内外制定和颁布的排放标准和技术规范对养猪场臭气的排放限制、检测技术、治理技术等，均作了详细的说明、规定，以此指导规模化生猪养殖臭气污染防治技术的实施。</w:t>
      </w:r>
    </w:p>
    <w:p w14:paraId="2E116C52">
      <w:pPr>
        <w:widowControl/>
        <w:adjustRightInd w:val="0"/>
        <w:snapToGrid w:val="0"/>
        <w:spacing w:line="360" w:lineRule="auto"/>
        <w:ind w:firstLine="420" w:firstLineChars="200"/>
        <w:rPr>
          <w:rFonts w:hint="default" w:ascii="Times New Roman" w:hAnsi="Times New Roman" w:eastAsia="宋体" w:cs="Times New Roman"/>
          <w:bCs/>
          <w:color w:val="000000"/>
          <w:sz w:val="21"/>
          <w:szCs w:val="21"/>
        </w:rPr>
      </w:pPr>
      <w:bookmarkStart w:id="55" w:name="_Toc28000"/>
      <w:bookmarkStart w:id="56" w:name="_Toc28543"/>
      <w:bookmarkStart w:id="57" w:name="_Toc21757"/>
      <w:bookmarkStart w:id="58" w:name="_Toc14825"/>
      <w:r>
        <w:rPr>
          <w:rFonts w:hint="default" w:ascii="Times New Roman" w:hAnsi="Times New Roman" w:eastAsia="宋体" w:cs="Times New Roman"/>
          <w:bCs/>
          <w:color w:val="000000"/>
          <w:sz w:val="21"/>
          <w:szCs w:val="21"/>
        </w:rPr>
        <w:t>已有的技术规范颁布时间太久、不够全面，不能满足新出现的问题。我国2001年底颁布的《畜禽养殖业污染防治技术规范》（HJ/T 81</w:t>
      </w:r>
      <w:r>
        <w:rPr>
          <w:rFonts w:hint="eastAsia" w:cs="Times New Roman"/>
          <w:bCs/>
          <w:color w:val="000000"/>
          <w:sz w:val="21"/>
          <w:szCs w:val="21"/>
          <w:lang w:val="en-US" w:eastAsia="zh-CN"/>
        </w:rPr>
        <w:t>-</w:t>
      </w:r>
      <w:r>
        <w:rPr>
          <w:rFonts w:hint="default" w:ascii="Times New Roman" w:hAnsi="Times New Roman" w:eastAsia="宋体" w:cs="Times New Roman"/>
          <w:bCs/>
          <w:color w:val="000000"/>
          <w:sz w:val="21"/>
          <w:szCs w:val="21"/>
        </w:rPr>
        <w:t>2001），主要针对畜禽粪便、污水处理、饲料饲养以及病死畜禽尸体处理方面作了技术规范，未涉及臭气污染防治技术。</w:t>
      </w:r>
      <w:r>
        <w:rPr>
          <w:rFonts w:hint="eastAsia" w:cs="Times New Roman"/>
          <w:bCs/>
          <w:color w:val="000000"/>
          <w:sz w:val="21"/>
          <w:szCs w:val="21"/>
          <w:lang w:val="en-US" w:eastAsia="zh-CN"/>
        </w:rPr>
        <w:t>生猪</w:t>
      </w:r>
      <w:r>
        <w:rPr>
          <w:rFonts w:hint="default" w:ascii="Times New Roman" w:hAnsi="Times New Roman" w:eastAsia="宋体" w:cs="Times New Roman"/>
          <w:bCs/>
          <w:color w:val="000000"/>
          <w:sz w:val="21"/>
          <w:szCs w:val="21"/>
        </w:rPr>
        <w:t>养殖业排放的臭气成分复杂，臭气浓度</w:t>
      </w:r>
      <w:r>
        <w:rPr>
          <w:rFonts w:hint="eastAsia" w:cs="Times New Roman"/>
          <w:bCs/>
          <w:color w:val="000000"/>
          <w:sz w:val="21"/>
          <w:szCs w:val="21"/>
          <w:lang w:val="en-US" w:eastAsia="zh-CN"/>
        </w:rPr>
        <w:t>波动</w:t>
      </w:r>
      <w:r>
        <w:rPr>
          <w:rFonts w:hint="default" w:ascii="Times New Roman" w:hAnsi="Times New Roman" w:eastAsia="宋体" w:cs="Times New Roman"/>
          <w:bCs/>
          <w:color w:val="000000"/>
          <w:sz w:val="21"/>
          <w:szCs w:val="21"/>
        </w:rPr>
        <w:t>和气流量往往波动较大。河南今年颁布的地方标准《规模化养猪场臭气防治技术规范》（DB41/T2642</w:t>
      </w:r>
      <w:r>
        <w:rPr>
          <w:rFonts w:hint="eastAsia" w:cs="Times New Roman"/>
          <w:bCs/>
          <w:color w:val="000000"/>
          <w:sz w:val="21"/>
          <w:szCs w:val="21"/>
          <w:lang w:val="en-US" w:eastAsia="zh-CN"/>
        </w:rPr>
        <w:t>-</w:t>
      </w:r>
      <w:r>
        <w:rPr>
          <w:rFonts w:hint="default" w:ascii="Times New Roman" w:hAnsi="Times New Roman" w:eastAsia="宋体" w:cs="Times New Roman"/>
          <w:bCs/>
          <w:color w:val="000000"/>
          <w:sz w:val="21"/>
          <w:szCs w:val="21"/>
        </w:rPr>
        <w:t>2024），仅涉及臭气治理，未考虑</w:t>
      </w:r>
      <w:r>
        <w:rPr>
          <w:rFonts w:hint="eastAsia" w:cs="Times New Roman"/>
          <w:bCs/>
          <w:color w:val="000000"/>
          <w:sz w:val="21"/>
          <w:szCs w:val="21"/>
          <w:lang w:val="en-US" w:eastAsia="zh-CN"/>
        </w:rPr>
        <w:t>生猪</w:t>
      </w:r>
      <w:r>
        <w:rPr>
          <w:rFonts w:hint="default" w:ascii="Times New Roman" w:hAnsi="Times New Roman" w:eastAsia="宋体" w:cs="Times New Roman"/>
          <w:bCs/>
          <w:color w:val="000000"/>
          <w:sz w:val="21"/>
          <w:szCs w:val="21"/>
        </w:rPr>
        <w:t>养殖区通风和臭气收集等内容，而这些是</w:t>
      </w:r>
      <w:r>
        <w:rPr>
          <w:rFonts w:hint="eastAsia" w:cs="Times New Roman"/>
          <w:bCs/>
          <w:color w:val="000000"/>
          <w:sz w:val="21"/>
          <w:szCs w:val="21"/>
          <w:lang w:val="en-US" w:eastAsia="zh-CN"/>
        </w:rPr>
        <w:t>生猪</w:t>
      </w:r>
      <w:r>
        <w:rPr>
          <w:rFonts w:hint="default" w:ascii="Times New Roman" w:hAnsi="Times New Roman" w:eastAsia="宋体" w:cs="Times New Roman"/>
          <w:bCs/>
          <w:color w:val="000000"/>
          <w:sz w:val="21"/>
          <w:szCs w:val="21"/>
        </w:rPr>
        <w:t>养殖臭气污染防治非常重要的内容。因此，编制最新的完整的技术规范很有必</w:t>
      </w:r>
      <w:bookmarkEnd w:id="55"/>
      <w:bookmarkEnd w:id="56"/>
      <w:r>
        <w:rPr>
          <w:rFonts w:hint="default" w:ascii="Times New Roman" w:hAnsi="Times New Roman" w:eastAsia="宋体" w:cs="Times New Roman"/>
          <w:bCs/>
          <w:color w:val="000000"/>
          <w:sz w:val="21"/>
          <w:szCs w:val="21"/>
        </w:rPr>
        <w:t>要。</w:t>
      </w:r>
      <w:bookmarkEnd w:id="57"/>
      <w:bookmarkEnd w:id="58"/>
    </w:p>
    <w:p w14:paraId="1C9358C6">
      <w:pPr>
        <w:pStyle w:val="2"/>
        <w:keepNext/>
        <w:keepLines/>
        <w:pageBreakBefore w:val="0"/>
        <w:widowControl w:val="0"/>
        <w:kinsoku/>
        <w:wordWrap/>
        <w:overflowPunct/>
        <w:topLinePunct w:val="0"/>
        <w:autoSpaceDE/>
        <w:autoSpaceDN/>
        <w:bidi w:val="0"/>
        <w:adjustRightInd w:val="0"/>
        <w:snapToGrid/>
        <w:textAlignment w:val="auto"/>
        <w:rPr>
          <w:rFonts w:hint="eastAsia"/>
          <w:lang w:val="en-US" w:eastAsia="zh-CN"/>
        </w:rPr>
      </w:pPr>
      <w:bookmarkStart w:id="59" w:name="_Toc31270"/>
      <w:r>
        <w:rPr>
          <w:rFonts w:hint="eastAsia"/>
          <w:lang w:val="en-US" w:eastAsia="zh-CN"/>
        </w:rPr>
        <w:t>5 标准制定的技术路线</w:t>
      </w:r>
      <w:bookmarkEnd w:id="59"/>
    </w:p>
    <w:p w14:paraId="4113DFF1">
      <w:pPr>
        <w:jc w:val="center"/>
      </w:pPr>
      <w:r>
        <w:drawing>
          <wp:inline distT="0" distB="0" distL="114300" distR="114300">
            <wp:extent cx="3439795" cy="4391660"/>
            <wp:effectExtent l="0" t="0" r="8255" b="889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2"/>
                    <a:stretch>
                      <a:fillRect/>
                    </a:stretch>
                  </pic:blipFill>
                  <pic:spPr>
                    <a:xfrm>
                      <a:off x="0" y="0"/>
                      <a:ext cx="3439795" cy="4391660"/>
                    </a:xfrm>
                    <a:prstGeom prst="rect">
                      <a:avLst/>
                    </a:prstGeom>
                  </pic:spPr>
                </pic:pic>
              </a:graphicData>
            </a:graphic>
          </wp:inline>
        </w:drawing>
      </w:r>
    </w:p>
    <w:p w14:paraId="6F854149">
      <w:pPr>
        <w:jc w:val="center"/>
        <w:rPr>
          <w:rFonts w:hint="eastAsia"/>
          <w:lang w:val="en-US" w:eastAsia="zh-CN"/>
        </w:rPr>
      </w:pPr>
      <w:r>
        <w:rPr>
          <w:rFonts w:hint="eastAsia"/>
          <w:lang w:val="en-US" w:eastAsia="zh-CN"/>
        </w:rPr>
        <w:t>图1 技术路线图</w:t>
      </w:r>
    </w:p>
    <w:p w14:paraId="3337A75C">
      <w:pPr>
        <w:pStyle w:val="2"/>
        <w:bidi w:val="0"/>
        <w:rPr>
          <w:rFonts w:hint="default"/>
          <w:lang w:val="en-US" w:eastAsia="zh-CN"/>
        </w:rPr>
      </w:pPr>
      <w:bookmarkStart w:id="60" w:name="_Toc29184"/>
      <w:r>
        <w:rPr>
          <w:rFonts w:hint="eastAsia"/>
          <w:lang w:val="en-US" w:eastAsia="zh-CN"/>
        </w:rPr>
        <w:t>6 主要技术内容说明</w:t>
      </w:r>
      <w:bookmarkEnd w:id="60"/>
    </w:p>
    <w:p w14:paraId="7C619178">
      <w:pPr>
        <w:pStyle w:val="3"/>
        <w:bidi w:val="0"/>
        <w:rPr>
          <w:rFonts w:hint="default"/>
          <w:lang w:val="en-US" w:eastAsia="zh-CN"/>
        </w:rPr>
      </w:pPr>
      <w:r>
        <w:rPr>
          <w:rFonts w:hint="eastAsia"/>
          <w:lang w:val="en-US" w:eastAsia="zh-CN"/>
        </w:rPr>
        <w:t>6.</w:t>
      </w:r>
      <w:r>
        <w:rPr>
          <w:rFonts w:hint="default"/>
          <w:lang w:val="en-US" w:eastAsia="zh-CN"/>
        </w:rPr>
        <w:t>1</w:t>
      </w:r>
      <w:r>
        <w:rPr>
          <w:rFonts w:hint="eastAsia"/>
          <w:lang w:val="en-US" w:eastAsia="zh-CN"/>
        </w:rPr>
        <w:t xml:space="preserve"> 标准适用</w:t>
      </w:r>
      <w:r>
        <w:rPr>
          <w:rFonts w:hint="default"/>
          <w:lang w:val="en-US" w:eastAsia="zh-CN"/>
        </w:rPr>
        <w:t>范围</w:t>
      </w:r>
    </w:p>
    <w:p w14:paraId="1552C1BE">
      <w:pPr>
        <w:spacing w:line="360" w:lineRule="auto"/>
        <w:ind w:left="0" w:leftChars="0" w:firstLine="420" w:firstLineChars="200"/>
        <w:jc w:val="left"/>
        <w:rPr>
          <w:rFonts w:hint="default"/>
          <w:lang w:val="en-US" w:eastAsia="zh-CN"/>
        </w:rPr>
      </w:pPr>
      <w:r>
        <w:rPr>
          <w:rFonts w:hint="default"/>
          <w:lang w:val="en-US" w:eastAsia="zh-CN"/>
        </w:rPr>
        <w:t>本文件规定了规模化生猪养殖臭气污染防治技术要求，其他产生臭气排放的养殖行业企业可参照执行。</w:t>
      </w:r>
    </w:p>
    <w:p w14:paraId="4D587D1A">
      <w:pPr>
        <w:spacing w:line="360" w:lineRule="auto"/>
        <w:ind w:left="0" w:leftChars="0" w:firstLine="420" w:firstLineChars="200"/>
        <w:jc w:val="left"/>
        <w:rPr>
          <w:rFonts w:hint="default"/>
          <w:lang w:val="en-US" w:eastAsia="zh-CN"/>
        </w:rPr>
      </w:pPr>
      <w:r>
        <w:rPr>
          <w:rFonts w:hint="default"/>
          <w:lang w:val="en-US" w:eastAsia="zh-CN"/>
        </w:rPr>
        <w:t>本文件适用于规模化生猪养殖臭气污染防治工程，可作为建设项目环境影响评价、环境保护设施设计与施工、建设项目竣工环境保护验收及建成后运行与管理的技术依据。</w:t>
      </w:r>
    </w:p>
    <w:p w14:paraId="7C9D27A2">
      <w:pPr>
        <w:pStyle w:val="3"/>
        <w:bidi w:val="0"/>
        <w:rPr>
          <w:rFonts w:hint="default"/>
          <w:lang w:val="en-US" w:eastAsia="zh-CN"/>
        </w:rPr>
      </w:pPr>
      <w:r>
        <w:rPr>
          <w:rFonts w:hint="eastAsia"/>
          <w:lang w:val="en-US" w:eastAsia="zh-CN"/>
        </w:rPr>
        <w:t>6.</w:t>
      </w:r>
      <w:r>
        <w:rPr>
          <w:rFonts w:hint="default"/>
          <w:lang w:val="en-US" w:eastAsia="zh-CN"/>
        </w:rPr>
        <w:t>2</w:t>
      </w:r>
      <w:r>
        <w:rPr>
          <w:rFonts w:hint="eastAsia"/>
          <w:lang w:val="en-US" w:eastAsia="zh-CN"/>
        </w:rPr>
        <w:t xml:space="preserve"> </w:t>
      </w:r>
      <w:r>
        <w:rPr>
          <w:rFonts w:hint="default"/>
          <w:lang w:val="en-US" w:eastAsia="zh-CN"/>
        </w:rPr>
        <w:t>规范性引用文件</w:t>
      </w:r>
    </w:p>
    <w:p w14:paraId="135D1659">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left"/>
        <w:textAlignment w:val="auto"/>
        <w:rPr>
          <w:rFonts w:hint="default"/>
          <w:lang w:val="en-US" w:eastAsia="zh-CN"/>
        </w:rPr>
      </w:pPr>
      <w:r>
        <w:rPr>
          <w:rFonts w:hint="default"/>
          <w:lang w:val="en-US" w:eastAsia="zh-CN"/>
        </w:rPr>
        <w:t>制定本技术要求依据的是现行的国家法律法规、大气环境治理工程技术标准等。对于</w:t>
      </w:r>
      <w:r>
        <w:rPr>
          <w:rFonts w:hint="eastAsia"/>
          <w:lang w:val="en-US" w:eastAsia="zh-CN"/>
        </w:rPr>
        <w:t>规模化养猪场臭气污染</w:t>
      </w:r>
      <w:r>
        <w:rPr>
          <w:rFonts w:hint="default"/>
          <w:lang w:val="en-US" w:eastAsia="zh-CN"/>
        </w:rPr>
        <w:t>的</w:t>
      </w:r>
      <w:r>
        <w:rPr>
          <w:rFonts w:hint="eastAsia"/>
          <w:lang w:val="en-US" w:eastAsia="zh-CN"/>
        </w:rPr>
        <w:t>排放限度、臭气检测、监测和治理技术</w:t>
      </w:r>
      <w:r>
        <w:rPr>
          <w:rFonts w:hint="default"/>
          <w:lang w:val="en-US" w:eastAsia="zh-CN"/>
        </w:rPr>
        <w:t>等方面的规定，均引用现行的国家标准及行业标准。</w:t>
      </w:r>
    </w:p>
    <w:p w14:paraId="56D19D14">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jc w:val="left"/>
        <w:textAlignment w:val="auto"/>
        <w:rPr>
          <w:rFonts w:hint="default"/>
          <w:lang w:val="en-US" w:eastAsia="zh-CN"/>
        </w:rPr>
      </w:pPr>
      <w:r>
        <w:rPr>
          <w:rFonts w:hint="default"/>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1E7FCE2">
      <w:pPr>
        <w:pStyle w:val="3"/>
        <w:bidi w:val="0"/>
        <w:rPr>
          <w:rFonts w:hint="default"/>
          <w:lang w:val="en-US" w:eastAsia="zh-CN"/>
        </w:rPr>
      </w:pPr>
      <w:r>
        <w:rPr>
          <w:rFonts w:hint="eastAsia"/>
          <w:lang w:val="en-US" w:eastAsia="zh-CN"/>
        </w:rPr>
        <w:t>6.</w:t>
      </w:r>
      <w:r>
        <w:rPr>
          <w:rFonts w:hint="default"/>
          <w:lang w:val="en-US" w:eastAsia="zh-CN"/>
        </w:rPr>
        <w:t>3</w:t>
      </w:r>
      <w:r>
        <w:rPr>
          <w:rFonts w:hint="eastAsia"/>
          <w:lang w:val="en-US" w:eastAsia="zh-CN"/>
        </w:rPr>
        <w:t xml:space="preserve"> </w:t>
      </w:r>
      <w:r>
        <w:rPr>
          <w:rFonts w:hint="default"/>
          <w:lang w:val="en-US" w:eastAsia="zh-CN"/>
        </w:rPr>
        <w:t>术语和定义</w:t>
      </w:r>
    </w:p>
    <w:p w14:paraId="17D158A8">
      <w:pPr>
        <w:spacing w:line="360" w:lineRule="auto"/>
        <w:ind w:left="0" w:leftChars="0" w:firstLine="420" w:firstLineChars="200"/>
        <w:jc w:val="left"/>
        <w:rPr>
          <w:rFonts w:ascii="Times New Roman" w:hAnsi="Times New Roman" w:eastAsia="宋体"/>
          <w:color w:val="000000"/>
          <w:kern w:val="2"/>
          <w:sz w:val="21"/>
          <w:szCs w:val="21"/>
          <w:lang w:eastAsia="zh-CN"/>
        </w:rPr>
      </w:pPr>
      <w:r>
        <w:rPr>
          <w:rFonts w:ascii="Times New Roman" w:hAnsi="Times New Roman" w:eastAsia="宋体"/>
          <w:color w:val="000000"/>
          <w:kern w:val="2"/>
          <w:sz w:val="21"/>
          <w:szCs w:val="21"/>
          <w:lang w:eastAsia="zh-CN"/>
        </w:rPr>
        <w:t>为了便于对标准条文的理解，对本标准中涉及的技术名词予以定义。对在其他法律、法规和技术规范上已经定义的术语如果适用于本标准的，在本标准中不再重新进行定义。对于有关标准和规范上没有标准定义而本标准中需要解释的则给予命名和规范。对于本标准中涉及的一些最为核心的名词，虽然在其它标准中已有定义，在本标准中也重新进行解释。一些在其它标准中已经定义，但没有完全统一的名词在本标准中重新进行了定义与说明。</w:t>
      </w:r>
    </w:p>
    <w:p w14:paraId="7B6DD488">
      <w:pPr>
        <w:pStyle w:val="3"/>
        <w:bidi w:val="0"/>
        <w:rPr>
          <w:rFonts w:hint="default"/>
          <w:lang w:val="en-US" w:eastAsia="zh-CN"/>
        </w:rPr>
      </w:pPr>
      <w:r>
        <w:rPr>
          <w:rFonts w:hint="eastAsia"/>
          <w:lang w:val="en-US" w:eastAsia="zh-CN"/>
        </w:rPr>
        <w:t>6.</w:t>
      </w:r>
      <w:r>
        <w:rPr>
          <w:rFonts w:hint="default"/>
          <w:lang w:val="en-US" w:eastAsia="zh-CN"/>
        </w:rPr>
        <w:t>4 总体要求</w:t>
      </w:r>
    </w:p>
    <w:p w14:paraId="62DD2FA0">
      <w:pPr>
        <w:pStyle w:val="3"/>
        <w:bidi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（1）规模化生猪养殖臭气污染防治排放要求应符合《恶臭污染物排放标准》（GB 14554）国家文件要求，不同地区污染防治技术方案要遵循《规模猪场综合减臭技术规范》（DB33/T 1377）、《规模化养猪场臭气防治技术规范》（DB41/T 2642）、《规模猪场臭气减控技术规范》（DB5114/T 58）等地方文件原则，满足臭气浓度＜70（无量纲），避免对周边区域大气环境质量产生不良影响。</w:t>
      </w:r>
    </w:p>
    <w:p w14:paraId="743C04E9">
      <w:pPr>
        <w:pStyle w:val="3"/>
        <w:bidi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（2）规模化生猪养殖业应大力推行清洁生产及节能减排技术，提升规模养殖水平，原位减少臭气产生。</w:t>
      </w:r>
    </w:p>
    <w:p w14:paraId="0C8EC367">
      <w:pPr>
        <w:pStyle w:val="3"/>
        <w:bidi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（3）规模化生猪养殖应根据生猪生长阶段、养殖工艺以及圈舍结构，基于臭气产生浓度分区分类收集原则，科学设置通风方式，优化通风排风。</w:t>
      </w:r>
    </w:p>
    <w:p w14:paraId="639B5202">
      <w:pPr>
        <w:pStyle w:val="3"/>
        <w:bidi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（4）规模化生猪养殖臭气污染防治应遵循科学性、经济性和适应性原则，结合养猪场实际情况，选用绿色、安全、经济的技术。</w:t>
      </w:r>
    </w:p>
    <w:p w14:paraId="58048CF6">
      <w:pPr>
        <w:pStyle w:val="3"/>
        <w:bidi w:val="0"/>
        <w:rPr>
          <w:rFonts w:hint="default"/>
          <w:lang w:val="en-US" w:eastAsia="zh-CN"/>
        </w:rPr>
      </w:pPr>
      <w:r>
        <w:rPr>
          <w:rFonts w:hint="eastAsia"/>
          <w:lang w:val="en-US" w:eastAsia="zh-CN"/>
        </w:rPr>
        <w:t>6.</w:t>
      </w:r>
      <w:r>
        <w:rPr>
          <w:rFonts w:hint="default"/>
          <w:lang w:val="en-US" w:eastAsia="zh-CN"/>
        </w:rPr>
        <w:t>5 源头减臭</w:t>
      </w:r>
    </w:p>
    <w:p w14:paraId="412AF662">
      <w:pPr>
        <w:pStyle w:val="4"/>
        <w:bidi w:val="0"/>
        <w:rPr>
          <w:rFonts w:hint="default"/>
          <w:lang w:val="en-US" w:eastAsia="zh-CN"/>
        </w:rPr>
      </w:pPr>
      <w:r>
        <w:rPr>
          <w:rFonts w:hint="eastAsia"/>
          <w:lang w:val="en-US" w:eastAsia="zh-CN"/>
        </w:rPr>
        <w:t>6.</w:t>
      </w:r>
      <w:r>
        <w:rPr>
          <w:rFonts w:hint="default"/>
          <w:lang w:val="en-US" w:eastAsia="zh-CN"/>
        </w:rPr>
        <w:t>5.1 场区环境管理</w:t>
      </w:r>
    </w:p>
    <w:p w14:paraId="3F7CD60D">
      <w:pPr>
        <w:spacing w:line="360" w:lineRule="auto"/>
        <w:ind w:firstLine="420" w:firstLineChars="200"/>
        <w:jc w:val="left"/>
      </w:pPr>
      <w:r>
        <w:rPr>
          <w:rFonts w:hint="eastAsia" w:ascii="宋体" w:hAnsi="宋体" w:cs="宋体"/>
        </w:rPr>
        <w:t>猪场场区建设执行</w:t>
      </w:r>
      <w:r>
        <w:rPr>
          <w:rFonts w:hint="eastAsia"/>
        </w:rPr>
        <w:t xml:space="preserve">GB/T </w:t>
      </w:r>
      <w:r>
        <w:rPr>
          <w:rFonts w:ascii="宋体" w:hAnsi="宋体" w:cs="宋体"/>
        </w:rPr>
        <w:t>17824.1</w:t>
      </w:r>
      <w:r>
        <w:rPr>
          <w:rFonts w:hint="eastAsia" w:ascii="宋体" w:hAnsi="宋体" w:cs="宋体"/>
        </w:rPr>
        <w:t>，分设生活区、生产区、粪污处理区，设置雨污分流收集管道，做好充足环境绿化，净化场区空气。</w:t>
      </w:r>
      <w:r>
        <w:t xml:space="preserve"> </w:t>
      </w:r>
    </w:p>
    <w:p w14:paraId="0DA26E0B">
      <w:pPr>
        <w:spacing w:line="360" w:lineRule="auto"/>
        <w:ind w:firstLine="420" w:firstLineChars="200"/>
        <w:jc w:val="left"/>
      </w:pPr>
      <w:r>
        <w:rPr>
          <w:rFonts w:hint="eastAsia" w:ascii="宋体" w:hAnsi="宋体" w:cs="宋体"/>
        </w:rPr>
        <w:t>猪场场区</w:t>
      </w:r>
      <w:r>
        <w:rPr>
          <w:rFonts w:hint="eastAsia"/>
        </w:rPr>
        <w:t>应</w:t>
      </w:r>
      <w:r>
        <w:rPr>
          <w:rFonts w:hint="eastAsia" w:ascii="宋体" w:hAnsi="宋体" w:cs="宋体"/>
        </w:rPr>
        <w:t>采用密闭式猪舍，保持场区内清洁卫生，按</w:t>
      </w:r>
      <w:r>
        <w:rPr>
          <w:rFonts w:hint="eastAsia"/>
        </w:rPr>
        <w:t xml:space="preserve">NY/T </w:t>
      </w:r>
      <w:r>
        <w:rPr>
          <w:rFonts w:ascii="宋体" w:hAnsi="宋体" w:cs="宋体"/>
        </w:rPr>
        <w:t>3075</w:t>
      </w:r>
      <w:r>
        <w:rPr>
          <w:rFonts w:hint="eastAsia" w:ascii="宋体" w:hAnsi="宋体" w:cs="宋体"/>
        </w:rPr>
        <w:t>的要求进行定期消毒，粪污贮存和养殖废弃物堆放场所要封闭遮盖，防止蚊蝇滋生，控制臭气扩散。</w:t>
      </w:r>
      <w:r>
        <w:rPr>
          <w:rFonts w:hint="eastAsia"/>
        </w:rPr>
        <w:t xml:space="preserve"> </w:t>
      </w:r>
    </w:p>
    <w:p w14:paraId="17440FCB">
      <w:pPr>
        <w:spacing w:line="360" w:lineRule="auto"/>
        <w:ind w:firstLine="420" w:firstLineChars="200"/>
        <w:jc w:val="left"/>
      </w:pPr>
      <w:r>
        <w:rPr>
          <w:rFonts w:hint="eastAsia" w:ascii="宋体" w:hAnsi="宋体" w:cs="宋体"/>
        </w:rPr>
        <w:t>猪场粪污处理宜采用干湿分离、机械干清粪工艺，现有水冲粪、水泡粪清粪工艺应逐步改为机械干清粪工艺，并符合</w:t>
      </w:r>
      <w:r>
        <w:rPr>
          <w:rFonts w:hint="eastAsia"/>
        </w:rPr>
        <w:t xml:space="preserve">HJ/T </w:t>
      </w:r>
      <w:r>
        <w:rPr>
          <w:rFonts w:ascii="宋体" w:hAnsi="宋体" w:cs="宋体"/>
        </w:rPr>
        <w:t>81</w:t>
      </w:r>
      <w:r>
        <w:rPr>
          <w:rFonts w:hint="eastAsia" w:ascii="宋体" w:hAnsi="宋体" w:cs="宋体"/>
        </w:rPr>
        <w:t>的要求。</w:t>
      </w:r>
    </w:p>
    <w:p w14:paraId="0A4D6F4B">
      <w:pPr>
        <w:pStyle w:val="4"/>
        <w:bidi w:val="0"/>
        <w:rPr>
          <w:rFonts w:hint="default"/>
          <w:lang w:val="en-US" w:eastAsia="zh-CN"/>
        </w:rPr>
      </w:pPr>
      <w:r>
        <w:rPr>
          <w:rFonts w:hint="eastAsia"/>
          <w:lang w:val="en-US" w:eastAsia="zh-CN"/>
        </w:rPr>
        <w:t>6.</w:t>
      </w:r>
      <w:r>
        <w:rPr>
          <w:rFonts w:hint="default"/>
          <w:lang w:val="en-US" w:eastAsia="zh-CN"/>
        </w:rPr>
        <w:t>5.2 营养与饲养管理</w:t>
      </w:r>
    </w:p>
    <w:p w14:paraId="0D62A9D2">
      <w:pPr>
        <w:spacing w:line="360" w:lineRule="auto"/>
        <w:ind w:left="0" w:leftChars="0" w:firstLine="420" w:firstLineChars="200"/>
        <w:jc w:val="left"/>
        <w:rPr>
          <w:rFonts w:hint="default"/>
          <w:lang w:val="en-US" w:eastAsia="zh-CN"/>
        </w:rPr>
      </w:pPr>
      <w:r>
        <w:rPr>
          <w:rFonts w:hint="default"/>
          <w:lang w:val="en-US" w:eastAsia="zh-CN"/>
        </w:rPr>
        <w:t>饲料提供</w:t>
      </w:r>
      <w:r>
        <w:rPr>
          <w:rFonts w:hint="eastAsia"/>
          <w:lang w:val="en-US" w:eastAsia="zh-CN"/>
        </w:rPr>
        <w:t>应</w:t>
      </w:r>
      <w:r>
        <w:rPr>
          <w:rFonts w:hint="default"/>
          <w:lang w:val="en-US" w:eastAsia="zh-CN"/>
        </w:rPr>
        <w:t>满足生猪的不同性别、不同生长发育阶段的不同营养需求，避免在饲料中提供过量的营养，减少饲料浪费，提高饲喂日粮养分的利用率，并符合GB 13078、NY 5032规定的要求。</w:t>
      </w:r>
    </w:p>
    <w:p w14:paraId="0E4E317D">
      <w:pPr>
        <w:spacing w:line="360" w:lineRule="auto"/>
        <w:ind w:left="0" w:leftChars="0" w:firstLine="420" w:firstLineChars="200"/>
        <w:jc w:val="left"/>
        <w:rPr>
          <w:rFonts w:hint="default"/>
          <w:lang w:val="en-US" w:eastAsia="zh-CN"/>
        </w:rPr>
      </w:pPr>
      <w:r>
        <w:rPr>
          <w:rFonts w:hint="default"/>
          <w:lang w:val="en-US" w:eastAsia="zh-CN"/>
        </w:rPr>
        <w:t>配合饲料宜采用氨基酸平衡日粮，添加国家主管行政部门批准的微生物制剂、酶制剂和植物提取物等，以提高饲料利用率，减少粪便、臭气等污染物的排放量。</w:t>
      </w:r>
    </w:p>
    <w:p w14:paraId="151CED59">
      <w:pPr>
        <w:pStyle w:val="14"/>
        <w:numPr>
          <w:ilvl w:val="0"/>
          <w:numId w:val="0"/>
        </w:numPr>
        <w:spacing w:before="156" w:after="156"/>
        <w:jc w:val="both"/>
        <w:outlineLvl w:val="1"/>
      </w:pPr>
      <w:r>
        <w:rPr>
          <w:rFonts w:hint="eastAsia"/>
          <w:lang w:val="en-US" w:eastAsia="zh-CN"/>
        </w:rPr>
        <w:t>6.</w:t>
      </w:r>
      <w:r>
        <w:rPr>
          <w:rFonts w:hint="default"/>
          <w:lang w:val="en-US" w:eastAsia="zh-CN"/>
        </w:rPr>
        <w:t xml:space="preserve">5.3 </w:t>
      </w:r>
      <w:r>
        <w:rPr>
          <w:rFonts w:hint="eastAsia"/>
        </w:rPr>
        <w:t>猪舍除臭</w:t>
      </w:r>
    </w:p>
    <w:p w14:paraId="5DD0386B">
      <w:pPr>
        <w:spacing w:line="360" w:lineRule="auto"/>
        <w:ind w:left="0" w:leftChars="0" w:firstLine="420" w:firstLineChars="200"/>
        <w:rPr>
          <w:rFonts w:ascii="黑体" w:hAnsi="黑体" w:cs="黑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猪舍和粪沟四周布设喷淋除臭设施，自动喷淋除臭剂稀释溶液，并参考执行</w:t>
      </w:r>
      <w:r>
        <w:rPr>
          <w:color w:val="000000" w:themeColor="text1"/>
          <w14:textFill>
            <w14:solidFill>
              <w14:schemeClr w14:val="tx1"/>
            </w14:solidFill>
          </w14:textFill>
        </w:rPr>
        <w:t>T/SAASS</w:t>
      </w:r>
      <w:r>
        <w:rPr>
          <w:rFonts w:hint="eastAsia"/>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103</w:t>
      </w:r>
      <w:r>
        <w:rPr>
          <w:rFonts w:hint="eastAsia"/>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2023《猪禽舍内菌液智能喷淋除臭技术规范》的要求。</w:t>
      </w:r>
    </w:p>
    <w:p w14:paraId="2F4D9789">
      <w:pPr>
        <w:spacing w:line="360" w:lineRule="auto"/>
        <w:rPr>
          <w:rFonts w:eastAsia="黑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低浓度臭气环境（</w:t>
      </w:r>
      <w:r>
        <w:rPr>
          <w:rFonts w:eastAsia="黑体"/>
          <w:color w:val="000000" w:themeColor="text1"/>
          <w14:textFill>
            <w14:solidFill>
              <w14:schemeClr w14:val="tx1"/>
            </w14:solidFill>
          </w14:textFill>
        </w:rPr>
        <w:t>NH</w:t>
      </w:r>
      <w:r>
        <w:rPr>
          <w:rFonts w:eastAsia="黑体"/>
          <w:color w:val="000000" w:themeColor="text1"/>
          <w:vertAlign w:val="subscript"/>
          <w14:textFill>
            <w14:solidFill>
              <w14:schemeClr w14:val="tx1"/>
            </w14:solidFill>
          </w14:textFill>
        </w:rPr>
        <w:t>3</w:t>
      </w:r>
      <w:r>
        <w:rPr>
          <w:rFonts w:hint="eastAsia" w:ascii="宋体" w:hAnsi="宋体" w:cs="宋体"/>
          <w:color w:val="000000" w:themeColor="text1"/>
          <w14:textFill>
            <w14:solidFill>
              <w14:schemeClr w14:val="tx1"/>
            </w14:solidFill>
          </w14:textFill>
        </w:rPr>
        <w:t>＜10</w:t>
      </w:r>
      <w:r>
        <w:rPr>
          <w:rFonts w:hint="eastAsia" w:eastAsia="黑体"/>
          <w:color w:val="000000" w:themeColor="text1"/>
          <w14:textFill>
            <w14:solidFill>
              <w14:schemeClr w14:val="tx1"/>
            </w14:solidFill>
          </w14:textFill>
        </w:rPr>
        <w:t xml:space="preserve"> </w:t>
      </w:r>
      <w:r>
        <w:rPr>
          <w:rFonts w:eastAsia="黑体"/>
          <w:color w:val="000000" w:themeColor="text1"/>
          <w14:textFill>
            <w14:solidFill>
              <w14:schemeClr w14:val="tx1"/>
            </w14:solidFill>
          </w14:textFill>
        </w:rPr>
        <w:t>ppm、H</w:t>
      </w:r>
      <w:r>
        <w:rPr>
          <w:rFonts w:eastAsia="黑体"/>
          <w:color w:val="000000" w:themeColor="text1"/>
          <w:vertAlign w:val="subscript"/>
          <w14:textFill>
            <w14:solidFill>
              <w14:schemeClr w14:val="tx1"/>
            </w14:solidFill>
          </w14:textFill>
        </w:rPr>
        <w:t>2</w:t>
      </w:r>
      <w:r>
        <w:rPr>
          <w:rFonts w:eastAsia="黑体"/>
          <w:color w:val="000000" w:themeColor="text1"/>
          <w14:textFill>
            <w14:solidFill>
              <w14:schemeClr w14:val="tx1"/>
            </w14:solidFill>
          </w14:textFill>
        </w:rPr>
        <w:t>S</w:t>
      </w:r>
      <w:r>
        <w:rPr>
          <w:rFonts w:hint="eastAsia" w:ascii="宋体" w:hAnsi="宋体" w:cs="宋体"/>
          <w:color w:val="000000" w:themeColor="text1"/>
          <w14:textFill>
            <w14:solidFill>
              <w14:schemeClr w14:val="tx1"/>
            </w14:solidFill>
          </w14:textFill>
        </w:rPr>
        <w:t>＜5</w:t>
      </w:r>
      <w:r>
        <w:rPr>
          <w:rFonts w:hint="eastAsia" w:eastAsia="黑体"/>
          <w:color w:val="000000" w:themeColor="text1"/>
          <w14:textFill>
            <w14:solidFill>
              <w14:schemeClr w14:val="tx1"/>
            </w14:solidFill>
          </w14:textFill>
        </w:rPr>
        <w:t xml:space="preserve"> </w:t>
      </w:r>
      <w:r>
        <w:rPr>
          <w:rFonts w:eastAsia="黑体"/>
          <w:color w:val="000000" w:themeColor="text1"/>
          <w14:textFill>
            <w14:solidFill>
              <w14:schemeClr w14:val="tx1"/>
            </w14:solidFill>
          </w14:textFill>
        </w:rPr>
        <w:t>ppm</w:t>
      </w:r>
      <w:r>
        <w:rPr>
          <w:rFonts w:hint="eastAsia" w:ascii="宋体" w:hAnsi="宋体" w:cs="宋体"/>
          <w:color w:val="000000" w:themeColor="text1"/>
          <w14:textFill>
            <w14:solidFill>
              <w14:schemeClr w14:val="tx1"/>
            </w14:solidFill>
          </w14:textFill>
        </w:rPr>
        <w:t>）适合喷洒植物提取物除臭剂，稀释比例宜为1:50</w:t>
      </w:r>
      <w:r>
        <w:rPr>
          <w:rFonts w:eastAsia="黑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1:100</w:t>
      </w:r>
      <w:r>
        <w:rPr>
          <w:rFonts w:eastAsia="黑体"/>
          <w:color w:val="000000" w:themeColor="text1"/>
          <w14:textFill>
            <w14:solidFill>
              <w14:schemeClr w14:val="tx1"/>
            </w14:solidFill>
          </w14:textFill>
        </w:rPr>
        <w:t>。</w:t>
      </w:r>
    </w:p>
    <w:p w14:paraId="466B88DC">
      <w:pPr>
        <w:spacing w:line="360" w:lineRule="auto"/>
        <w:rPr>
          <w:rFonts w:ascii="黑体" w:hAnsi="黑体" w:eastAsia="黑体" w:cs="黑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高浓度臭气环境（</w:t>
      </w:r>
      <w:r>
        <w:rPr>
          <w:rFonts w:hint="eastAsia"/>
          <w:color w:val="000000" w:themeColor="text1"/>
          <w14:textFill>
            <w14:solidFill>
              <w14:schemeClr w14:val="tx1"/>
            </w14:solidFill>
          </w14:textFill>
        </w:rPr>
        <w:t>NH</w:t>
      </w:r>
      <w:r>
        <w:rPr>
          <w:rFonts w:hint="eastAsia"/>
          <w:color w:val="000000" w:themeColor="text1"/>
          <w:vertAlign w:val="subscript"/>
          <w14:textFill>
            <w14:solidFill>
              <w14:schemeClr w14:val="tx1"/>
            </w14:solidFill>
          </w14:textFill>
        </w:rPr>
        <w:t>3</w:t>
      </w:r>
      <w:r>
        <w:rPr>
          <w:rFonts w:hint="eastAsia"/>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30</w:t>
      </w:r>
      <w:r>
        <w:rPr>
          <w:rFonts w:hint="eastAsia" w:eastAsia="黑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ppm</w:t>
      </w:r>
      <w:r>
        <w:rPr>
          <w:rFonts w:hint="eastAsia" w:eastAsia="黑体"/>
          <w:color w:val="000000" w:themeColor="text1"/>
          <w14:textFill>
            <w14:solidFill>
              <w14:schemeClr w14:val="tx1"/>
            </w14:solidFill>
          </w14:textFill>
        </w:rPr>
        <w:t>、</w:t>
      </w:r>
      <w:r>
        <w:rPr>
          <w:rFonts w:hint="eastAsia"/>
          <w:color w:val="000000" w:themeColor="text1"/>
          <w14:textFill>
            <w14:solidFill>
              <w14:schemeClr w14:val="tx1"/>
            </w14:solidFill>
          </w14:textFill>
        </w:rPr>
        <w:t>H</w:t>
      </w:r>
      <w:r>
        <w:rPr>
          <w:rFonts w:hint="eastAsia"/>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S</w:t>
      </w:r>
      <w:r>
        <w:rPr>
          <w:rFonts w:hint="eastAsia" w:ascii="宋体" w:hAnsi="宋体" w:cs="宋体"/>
          <w:color w:val="000000" w:themeColor="text1"/>
          <w14:textFill>
            <w14:solidFill>
              <w14:schemeClr w14:val="tx1"/>
            </w14:solidFill>
          </w14:textFill>
        </w:rPr>
        <w:t>＞15</w:t>
      </w:r>
      <w:r>
        <w:rPr>
          <w:rFonts w:hint="eastAsia" w:eastAsia="黑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ppm</w:t>
      </w:r>
      <w:r>
        <w:rPr>
          <w:rFonts w:hint="eastAsia" w:ascii="宋体" w:hAnsi="宋体" w:cs="宋体"/>
          <w:color w:val="000000" w:themeColor="text1"/>
          <w14:textFill>
            <w14:solidFill>
              <w14:schemeClr w14:val="tx1"/>
            </w14:solidFill>
          </w14:textFill>
        </w:rPr>
        <w:t>）适合喷洒或雾化化学除臭剂，包括突发性恶臭（粪污泄漏、通风系统故障）、病死猪处理区等区域。</w:t>
      </w:r>
    </w:p>
    <w:p w14:paraId="04D89DB6">
      <w:pPr>
        <w:spacing w:line="360" w:lineRule="auto"/>
        <w:rPr>
          <w:rFonts w:hint="default"/>
          <w:lang w:val="en-US" w:eastAsia="zh-CN"/>
        </w:rPr>
      </w:pPr>
      <w:r>
        <w:rPr>
          <w:rFonts w:hint="eastAsia" w:ascii="宋体" w:hAnsi="宋体" w:cs="宋体"/>
          <w:color w:val="000000" w:themeColor="text1"/>
          <w14:textFill>
            <w14:solidFill>
              <w14:schemeClr w14:val="tx1"/>
            </w14:solidFill>
          </w14:textFill>
        </w:rPr>
        <w:t>中等至长期高浓度臭气环境（</w:t>
      </w:r>
      <w:r>
        <w:rPr>
          <w:rFonts w:hint="eastAsia"/>
          <w:color w:val="000000" w:themeColor="text1"/>
          <w14:textFill>
            <w14:solidFill>
              <w14:schemeClr w14:val="tx1"/>
            </w14:solidFill>
          </w14:textFill>
        </w:rPr>
        <w:t>NH</w:t>
      </w:r>
      <w:r>
        <w:rPr>
          <w:rFonts w:hint="eastAsia"/>
          <w:color w:val="000000" w:themeColor="text1"/>
          <w:vertAlign w:val="subscript"/>
          <w14:textFill>
            <w14:solidFill>
              <w14:schemeClr w14:val="tx1"/>
            </w14:solidFill>
          </w14:textFill>
        </w:rPr>
        <w:t xml:space="preserve">3 </w:t>
      </w:r>
      <w:r>
        <w:rPr>
          <w:rFonts w:hint="eastAsia" w:ascii="宋体" w:hAnsi="宋体" w:cs="宋体"/>
          <w:color w:val="000000" w:themeColor="text1"/>
          <w14:textFill>
            <w14:solidFill>
              <w14:schemeClr w14:val="tx1"/>
            </w14:solidFill>
          </w14:textFill>
        </w:rPr>
        <w:t>20</w:t>
      </w:r>
      <w:r>
        <w:rPr>
          <w:rFonts w:hint="eastAsia"/>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50</w:t>
      </w:r>
      <w:r>
        <w:rPr>
          <w:rFonts w:hint="eastAsia" w:eastAsia="黑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ppm</w:t>
      </w:r>
      <w:r>
        <w:rPr>
          <w:rFonts w:hint="eastAsia" w:eastAsia="黑体"/>
          <w:color w:val="000000" w:themeColor="text1"/>
          <w14:textFill>
            <w14:solidFill>
              <w14:schemeClr w14:val="tx1"/>
            </w14:solidFill>
          </w14:textFill>
        </w:rPr>
        <w:t>、</w:t>
      </w:r>
      <w:r>
        <w:rPr>
          <w:rFonts w:hint="eastAsia"/>
          <w:color w:val="000000" w:themeColor="text1"/>
          <w14:textFill>
            <w14:solidFill>
              <w14:schemeClr w14:val="tx1"/>
            </w14:solidFill>
          </w14:textFill>
        </w:rPr>
        <w:t>H</w:t>
      </w:r>
      <w:r>
        <w:rPr>
          <w:rFonts w:hint="eastAsia"/>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 xml:space="preserve">S </w:t>
      </w:r>
      <w:r>
        <w:rPr>
          <w:rFonts w:hint="eastAsia" w:ascii="宋体" w:hAnsi="宋体" w:cs="宋体"/>
          <w:color w:val="000000" w:themeColor="text1"/>
          <w14:textFill>
            <w14:solidFill>
              <w14:schemeClr w14:val="tx1"/>
            </w14:solidFill>
          </w14:textFill>
        </w:rPr>
        <w:t>10</w:t>
      </w:r>
      <w:r>
        <w:rPr>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30</w:t>
      </w:r>
      <w:r>
        <w:rPr>
          <w:rFonts w:hint="eastAsia" w:eastAsia="黑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ppm</w:t>
      </w:r>
      <w:r>
        <w:rPr>
          <w:rFonts w:hint="eastAsia" w:ascii="宋体" w:hAnsi="宋体" w:cs="宋体"/>
          <w:color w:val="000000" w:themeColor="text1"/>
          <w14:textFill>
            <w14:solidFill>
              <w14:schemeClr w14:val="tx1"/>
            </w14:solidFill>
          </w14:textFill>
        </w:rPr>
        <w:t>）适合喷洒微生物除臭剂，包括粪污池、堆肥区等持续产生臭源的区域。</w:t>
      </w:r>
    </w:p>
    <w:p w14:paraId="7D16C22F">
      <w:pPr>
        <w:pStyle w:val="3"/>
        <w:bidi w:val="0"/>
        <w:rPr>
          <w:rFonts w:hint="default"/>
          <w:lang w:val="en-US" w:eastAsia="zh-CN"/>
        </w:rPr>
      </w:pPr>
      <w:r>
        <w:rPr>
          <w:rFonts w:hint="eastAsia"/>
          <w:lang w:val="en-US" w:eastAsia="zh-CN"/>
        </w:rPr>
        <w:t>6.</w:t>
      </w:r>
      <w:r>
        <w:rPr>
          <w:rFonts w:hint="default"/>
          <w:lang w:val="en-US" w:eastAsia="zh-CN"/>
        </w:rPr>
        <w:t>6 气体通风收集技术</w:t>
      </w:r>
    </w:p>
    <w:p w14:paraId="2784EDC1">
      <w:pPr>
        <w:pStyle w:val="4"/>
        <w:bidi w:val="0"/>
        <w:rPr>
          <w:rFonts w:hint="default"/>
          <w:lang w:val="en-US" w:eastAsia="zh-CN"/>
        </w:rPr>
      </w:pPr>
      <w:r>
        <w:rPr>
          <w:rFonts w:hint="default"/>
          <w:lang w:val="en-US" w:eastAsia="zh-CN"/>
        </w:rPr>
        <w:t>6.</w:t>
      </w:r>
      <w:r>
        <w:rPr>
          <w:rFonts w:hint="eastAsia"/>
          <w:lang w:val="en-US" w:eastAsia="zh-CN"/>
        </w:rPr>
        <w:t>6.</w:t>
      </w:r>
      <w:r>
        <w:rPr>
          <w:rFonts w:hint="default"/>
          <w:lang w:val="en-US" w:eastAsia="zh-CN"/>
        </w:rPr>
        <w:t>1 通风要求</w:t>
      </w:r>
    </w:p>
    <w:p w14:paraId="2DDEB1B4">
      <w:pPr>
        <w:spacing w:line="360" w:lineRule="auto"/>
        <w:rPr>
          <w:color w:val="000000" w:themeColor="text1"/>
          <w14:textFill>
            <w14:solidFill>
              <w14:schemeClr w14:val="tx1"/>
            </w14:solidFill>
          </w14:textFill>
        </w:rPr>
      </w:pPr>
      <w:bookmarkStart w:id="61" w:name="_Toc22563"/>
      <w:bookmarkStart w:id="62" w:name="_Toc17585"/>
      <w:r>
        <w:rPr>
          <w:rFonts w:hint="eastAsia" w:ascii="宋体" w:hAnsi="宋体" w:cs="宋体"/>
          <w:color w:val="000000" w:themeColor="text1"/>
          <w14:textFill>
            <w14:solidFill>
              <w14:schemeClr w14:val="tx1"/>
            </w14:solidFill>
          </w14:textFill>
        </w:rPr>
        <w:t>猪舍通风时，通风量、风速、气流分布应均匀，避免舍内产生死角和贼风，在满足通风需求的同时，最小化疾病传播风险。</w:t>
      </w:r>
    </w:p>
    <w:p w14:paraId="0ABA3614">
      <w:pPr>
        <w:spacing w:line="360" w:lineRule="auto"/>
        <w:rPr>
          <w:rFonts w:eastAsia="黑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跨度小于10 </w:t>
      </w:r>
      <w:r>
        <w:rPr>
          <w:color w:val="000000" w:themeColor="text1"/>
          <w14:textFill>
            <w14:solidFill>
              <w14:schemeClr w14:val="tx1"/>
            </w14:solidFill>
          </w14:textFill>
        </w:rPr>
        <w:t>m</w:t>
      </w:r>
      <w:r>
        <w:rPr>
          <w:rFonts w:hint="eastAsia" w:ascii="宋体" w:hAnsi="宋体" w:cs="宋体"/>
          <w:color w:val="000000" w:themeColor="text1"/>
          <w14:textFill>
            <w14:solidFill>
              <w14:schemeClr w14:val="tx1"/>
            </w14:solidFill>
          </w14:textFill>
        </w:rPr>
        <w:t xml:space="preserve">的猪舍宜采用自然通风方式，并设地窗和屋顶风管；跨度大等于10 </w:t>
      </w:r>
      <w:r>
        <w:rPr>
          <w:color w:val="000000" w:themeColor="text1"/>
          <w14:textFill>
            <w14:solidFill>
              <w14:schemeClr w14:val="tx1"/>
            </w14:solidFill>
          </w14:textFill>
        </w:rPr>
        <w:t>m</w:t>
      </w:r>
      <w:r>
        <w:rPr>
          <w:rFonts w:hint="eastAsia" w:ascii="宋体" w:hAnsi="宋体" w:cs="宋体"/>
          <w:color w:val="000000" w:themeColor="text1"/>
          <w14:textFill>
            <w14:solidFill>
              <w14:schemeClr w14:val="tx1"/>
            </w14:solidFill>
          </w14:textFill>
        </w:rPr>
        <w:t>的或者全密闭的猪舍宜采用机械通风</w:t>
      </w:r>
      <w:r>
        <w:rPr>
          <w:rFonts w:hint="eastAsia"/>
          <w:color w:val="000000" w:themeColor="text1"/>
          <w14:textFill>
            <w14:solidFill>
              <w14:schemeClr w14:val="tx1"/>
            </w14:solidFill>
          </w14:textFill>
        </w:rPr>
        <w:t>方式</w:t>
      </w:r>
      <w:r>
        <w:rPr>
          <w:rFonts w:hint="eastAsia" w:eastAsia="黑体"/>
          <w:color w:val="000000" w:themeColor="text1"/>
          <w14:textFill>
            <w14:solidFill>
              <w14:schemeClr w14:val="tx1"/>
            </w14:solidFill>
          </w14:textFill>
        </w:rPr>
        <w:t>。</w:t>
      </w:r>
    </w:p>
    <w:p w14:paraId="081085DB">
      <w:pPr>
        <w:spacing w:line="360" w:lineRule="auto"/>
        <w:rPr>
          <w:rFonts w:ascii="黑体" w:hAnsi="黑体" w:cs="黑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猪舍应采用负压通风+空气过滤系统，在保证空气交换率以控制臭气浓度的同时，通过高效空气过滤器阻隔外部空气中的病原体进入，满足猪舍防疫要求。</w:t>
      </w:r>
    </w:p>
    <w:p w14:paraId="07D0A637">
      <w:pPr>
        <w:spacing w:line="360" w:lineRule="auto"/>
      </w:pPr>
      <w:r>
        <w:rPr>
          <w:rFonts w:hint="eastAsia" w:ascii="宋体" w:hAnsi="宋体" w:cs="宋体"/>
        </w:rPr>
        <w:t>猪舍通风量和风速应执行</w:t>
      </w:r>
      <w:r>
        <w:t>GB</w:t>
      </w:r>
      <w:r>
        <w:rPr>
          <w:rFonts w:hint="eastAsia"/>
        </w:rPr>
        <w:t>/</w:t>
      </w:r>
      <w:r>
        <w:t>T</w:t>
      </w:r>
      <w:r>
        <w:rPr>
          <w:rFonts w:hint="eastAsia"/>
        </w:rPr>
        <w:t xml:space="preserve"> </w:t>
      </w:r>
      <w:r>
        <w:rPr>
          <w:rFonts w:ascii="宋体" w:hAnsi="宋体" w:cs="宋体"/>
        </w:rPr>
        <w:t>178</w:t>
      </w:r>
      <w:bookmarkStart w:id="63" w:name="OLE_LINK5"/>
      <w:r>
        <w:rPr>
          <w:rFonts w:ascii="宋体" w:hAnsi="宋体" w:cs="宋体"/>
        </w:rPr>
        <w:t>24.3</w:t>
      </w:r>
      <w:r>
        <w:rPr>
          <w:rFonts w:hint="eastAsia" w:ascii="宋体" w:hAnsi="宋体" w:cs="宋体"/>
        </w:rPr>
        <w:t>的要求，</w:t>
      </w:r>
      <w:bookmarkEnd w:id="63"/>
      <w:r>
        <w:rPr>
          <w:rFonts w:hint="eastAsia" w:ascii="宋体" w:hAnsi="宋体" w:cs="宋体"/>
        </w:rPr>
        <w:t>详见附录</w:t>
      </w:r>
      <w:r>
        <w:rPr>
          <w:rFonts w:hint="eastAsia"/>
        </w:rPr>
        <w:t>B</w:t>
      </w:r>
      <w:r>
        <w:rPr>
          <w:rFonts w:hint="eastAsia" w:ascii="宋体" w:hAnsi="宋体" w:cs="宋体"/>
        </w:rPr>
        <w:t>表</w:t>
      </w:r>
      <w:bookmarkEnd w:id="61"/>
      <w:bookmarkEnd w:id="62"/>
      <w:r>
        <w:rPr>
          <w:rFonts w:hint="eastAsia"/>
        </w:rPr>
        <w:t>B.</w:t>
      </w:r>
      <w:r>
        <w:rPr>
          <w:rFonts w:ascii="宋体" w:hAnsi="宋体" w:cs="宋体"/>
        </w:rPr>
        <w:t>3</w:t>
      </w:r>
      <w:r>
        <w:rPr>
          <w:rFonts w:hint="eastAsia" w:ascii="宋体" w:hAnsi="宋体" w:cs="宋体"/>
        </w:rPr>
        <w:t>。</w:t>
      </w:r>
    </w:p>
    <w:p w14:paraId="069AE6CE">
      <w:pPr>
        <w:pStyle w:val="4"/>
        <w:bidi w:val="0"/>
        <w:rPr>
          <w:rFonts w:hint="default"/>
          <w:lang w:val="en-US" w:eastAsia="zh-CN"/>
        </w:rPr>
      </w:pPr>
      <w:r>
        <w:rPr>
          <w:rFonts w:hint="default"/>
          <w:lang w:val="en-US" w:eastAsia="zh-CN"/>
        </w:rPr>
        <w:t>6</w:t>
      </w:r>
      <w:r>
        <w:rPr>
          <w:rFonts w:hint="eastAsia"/>
          <w:lang w:val="en-US" w:eastAsia="zh-CN"/>
        </w:rPr>
        <w:t>.6</w:t>
      </w:r>
      <w:r>
        <w:rPr>
          <w:rFonts w:hint="default"/>
          <w:lang w:val="en-US" w:eastAsia="zh-CN"/>
        </w:rPr>
        <w:t>.2 猪舍分区精准收集</w:t>
      </w:r>
    </w:p>
    <w:p w14:paraId="23456833">
      <w:pPr>
        <w:spacing w:line="360" w:lineRule="auto"/>
      </w:pPr>
      <w:r>
        <w:rPr>
          <w:rFonts w:hint="eastAsia" w:ascii="宋体" w:hAnsi="宋体" w:cs="宋体"/>
        </w:rPr>
        <w:t>适用于采用漏缝地板和负压机械通风的封闭式猪舍，传统猪舍通风系统和猪舍微负压分区精准收集如附录</w:t>
      </w:r>
      <w:r>
        <w:rPr>
          <w:rFonts w:hint="eastAsia"/>
        </w:rPr>
        <w:t>C</w:t>
      </w:r>
      <w:r>
        <w:rPr>
          <w:rFonts w:hint="eastAsia" w:ascii="宋体" w:hAnsi="宋体" w:cs="宋体"/>
        </w:rPr>
        <w:t>图</w:t>
      </w:r>
      <w:r>
        <w:rPr>
          <w:rFonts w:hint="eastAsia"/>
        </w:rPr>
        <w:t>C.</w:t>
      </w:r>
      <w:r>
        <w:rPr>
          <w:rFonts w:ascii="宋体" w:hAnsi="宋体" w:cs="宋体"/>
        </w:rPr>
        <w:t>1</w:t>
      </w:r>
      <w:r>
        <w:rPr>
          <w:rFonts w:hint="eastAsia" w:ascii="宋体" w:hAnsi="宋体" w:cs="宋体"/>
        </w:rPr>
        <w:t>、图</w:t>
      </w:r>
      <w:r>
        <w:rPr>
          <w:rFonts w:hint="eastAsia"/>
        </w:rPr>
        <w:t>C.</w:t>
      </w:r>
      <w:r>
        <w:rPr>
          <w:rFonts w:ascii="宋体" w:hAnsi="宋体" w:cs="宋体"/>
        </w:rPr>
        <w:t>2</w:t>
      </w:r>
      <w:r>
        <w:rPr>
          <w:rFonts w:hint="eastAsia" w:ascii="宋体" w:hAnsi="宋体" w:cs="宋体"/>
        </w:rPr>
        <w:t>所示。</w:t>
      </w:r>
    </w:p>
    <w:p w14:paraId="0AAEBC84">
      <w:pPr>
        <w:spacing w:line="360" w:lineRule="auto"/>
      </w:pPr>
      <w:r>
        <w:rPr>
          <w:rFonts w:hint="eastAsia" w:ascii="宋体" w:hAnsi="宋体" w:cs="宋体"/>
        </w:rPr>
        <w:t xml:space="preserve">粪槽和猪舍分别设置通风系统，将粪槽高浓度臭气和猪舍较低浓度臭气进行分区分质收集，粪槽排风风速应大于0.30 </w:t>
      </w:r>
      <w:r>
        <w:t>m/s</w:t>
      </w:r>
      <w:r>
        <w:rPr>
          <w:rFonts w:hint="eastAsia" w:ascii="宋体" w:hAnsi="宋体" w:cs="宋体"/>
        </w:rPr>
        <w:t>，猪舍生活区风速应达到</w:t>
      </w:r>
      <w:r>
        <w:rPr>
          <w:rFonts w:ascii="宋体" w:hAnsi="宋体" w:cs="宋体"/>
        </w:rPr>
        <w:t>0.1</w:t>
      </w:r>
      <w:r>
        <w:rPr>
          <w:rFonts w:hint="eastAsia" w:ascii="宋体" w:hAnsi="宋体" w:cs="宋体"/>
        </w:rPr>
        <w:t>0</w:t>
      </w:r>
      <w:r>
        <w:rPr>
          <w:rFonts w:hint="eastAsia"/>
        </w:rPr>
        <w:t xml:space="preserve"> m</w:t>
      </w:r>
      <w:r>
        <w:t>/</w:t>
      </w:r>
      <w:r>
        <w:rPr>
          <w:rFonts w:hint="eastAsia"/>
        </w:rPr>
        <w:t>s</w:t>
      </w:r>
      <w:r>
        <w:rPr>
          <w:rFonts w:hint="eastAsia" w:ascii="宋体" w:hAnsi="宋体" w:cs="宋体"/>
        </w:rPr>
        <w:t>～</w:t>
      </w:r>
      <w:r>
        <w:rPr>
          <w:rFonts w:ascii="宋体" w:hAnsi="宋体" w:cs="宋体"/>
        </w:rPr>
        <w:t>0.20</w:t>
      </w:r>
      <w:r>
        <w:rPr>
          <w:rFonts w:hint="eastAsia"/>
        </w:rPr>
        <w:t xml:space="preserve"> m</w:t>
      </w:r>
      <w:r>
        <w:t>/</w:t>
      </w:r>
      <w:r>
        <w:rPr>
          <w:rFonts w:hint="eastAsia"/>
        </w:rPr>
        <w:t>s，</w:t>
      </w:r>
      <w:r>
        <w:rPr>
          <w:rFonts w:hint="eastAsia" w:ascii="宋体" w:hAnsi="宋体" w:cs="宋体"/>
        </w:rPr>
        <w:t>漏缝地板两侧压差约</w:t>
      </w:r>
      <w:r>
        <w:rPr>
          <w:rFonts w:ascii="宋体" w:hAnsi="宋体" w:cs="宋体"/>
        </w:rPr>
        <w:t>1</w:t>
      </w:r>
      <w:r>
        <w:rPr>
          <w:rFonts w:hint="eastAsia"/>
        </w:rPr>
        <w:t xml:space="preserve"> Pa</w:t>
      </w:r>
      <w:r>
        <w:rPr>
          <w:rFonts w:hint="eastAsia" w:ascii="宋体" w:hAnsi="宋体" w:cs="宋体"/>
        </w:rPr>
        <w:t>～</w:t>
      </w:r>
      <w:r>
        <w:rPr>
          <w:rFonts w:ascii="宋体" w:hAnsi="宋体" w:cs="宋体"/>
        </w:rPr>
        <w:t>5</w:t>
      </w:r>
      <w:r>
        <w:rPr>
          <w:rFonts w:hint="eastAsia"/>
        </w:rPr>
        <w:t xml:space="preserve"> Pa</w:t>
      </w:r>
      <w:r>
        <w:rPr>
          <w:rFonts w:hint="eastAsia" w:ascii="宋体" w:hAnsi="宋体" w:cs="宋体"/>
        </w:rPr>
        <w:t>，地板缝隙风速应达到</w:t>
      </w:r>
      <w:r>
        <w:rPr>
          <w:rFonts w:ascii="宋体" w:hAnsi="宋体" w:cs="宋体"/>
        </w:rPr>
        <w:t>0.18</w:t>
      </w:r>
      <w:r>
        <w:rPr>
          <w:rFonts w:hint="eastAsia"/>
        </w:rPr>
        <w:t xml:space="preserve"> m</w:t>
      </w:r>
      <w:r>
        <w:t>/</w:t>
      </w:r>
      <w:r>
        <w:rPr>
          <w:rFonts w:hint="eastAsia"/>
        </w:rPr>
        <w:t>s</w:t>
      </w:r>
      <w:r>
        <w:rPr>
          <w:rFonts w:hint="eastAsia" w:ascii="宋体" w:hAnsi="宋体" w:cs="宋体"/>
        </w:rPr>
        <w:t>～</w:t>
      </w:r>
      <w:r>
        <w:rPr>
          <w:rFonts w:ascii="宋体" w:hAnsi="宋体" w:cs="宋体"/>
        </w:rPr>
        <w:t>0.20</w:t>
      </w:r>
      <w:r>
        <w:rPr>
          <w:rFonts w:hint="eastAsia"/>
        </w:rPr>
        <w:t xml:space="preserve"> m</w:t>
      </w:r>
      <w:r>
        <w:t>/</w:t>
      </w:r>
      <w:r>
        <w:rPr>
          <w:rFonts w:hint="eastAsia"/>
        </w:rPr>
        <w:t>s</w:t>
      </w:r>
      <w:r>
        <w:rPr>
          <w:rFonts w:hint="eastAsia" w:ascii="宋体" w:hAnsi="宋体" w:cs="宋体"/>
        </w:rPr>
        <w:t>，阻止粪槽臭气向猪舍扩散。</w:t>
      </w:r>
    </w:p>
    <w:p w14:paraId="51C3AA27">
      <w:pPr>
        <w:spacing w:line="360" w:lineRule="auto"/>
        <w:rPr>
          <w:rFonts w:ascii="宋体" w:hAnsi="宋体" w:cs="宋体"/>
        </w:rPr>
      </w:pPr>
      <w:r>
        <w:rPr>
          <w:rFonts w:hint="eastAsia" w:ascii="宋体" w:hAnsi="宋体" w:cs="宋体"/>
        </w:rPr>
        <w:t>分区精准收集后猪舍通风和粪槽通风均需根据臭气浓度进行相应的末端处理。</w:t>
      </w:r>
    </w:p>
    <w:p w14:paraId="086F50FE">
      <w:pPr>
        <w:pStyle w:val="4"/>
        <w:bidi w:val="0"/>
        <w:rPr>
          <w:rFonts w:hint="default"/>
          <w:lang w:val="en-US" w:eastAsia="zh-CN"/>
        </w:rPr>
      </w:pPr>
      <w:r>
        <w:rPr>
          <w:rFonts w:hint="default"/>
          <w:lang w:val="en-US" w:eastAsia="zh-CN"/>
        </w:rPr>
        <w:t>6.</w:t>
      </w:r>
      <w:r>
        <w:rPr>
          <w:rFonts w:hint="eastAsia"/>
          <w:lang w:val="en-US" w:eastAsia="zh-CN"/>
        </w:rPr>
        <w:t>6.</w:t>
      </w:r>
      <w:r>
        <w:rPr>
          <w:rFonts w:hint="default"/>
          <w:lang w:val="en-US" w:eastAsia="zh-CN"/>
        </w:rPr>
        <w:t>3 废水处理单元收集</w:t>
      </w:r>
    </w:p>
    <w:p w14:paraId="7EC33590">
      <w:pPr>
        <w:spacing w:line="360" w:lineRule="auto"/>
        <w:rPr>
          <w:rFonts w:ascii="宋体" w:hAnsi="宋体" w:cs="宋体"/>
        </w:rPr>
      </w:pPr>
      <w:r>
        <w:rPr>
          <w:rFonts w:hint="eastAsia" w:ascii="宋体" w:hAnsi="宋体" w:cs="宋体"/>
        </w:rPr>
        <w:t>废水处理单元的集水池、调节池、细格栅、厌氧池、水解池、好氧池、二沉池、污泥浓缩池等应采用加盖密闭收集</w:t>
      </w:r>
      <w:r>
        <w:rPr>
          <w:rFonts w:hint="eastAsia"/>
        </w:rPr>
        <w:t>方式</w:t>
      </w:r>
      <w:r>
        <w:rPr>
          <w:rFonts w:hint="eastAsia" w:ascii="宋体" w:hAnsi="宋体" w:cs="宋体"/>
        </w:rPr>
        <w:t>，密闭材料应具有防腐性能，密闭盖板应接近液面，负压收集后送后续的处理系统。</w:t>
      </w:r>
    </w:p>
    <w:p w14:paraId="531C77CA">
      <w:pPr>
        <w:spacing w:line="360" w:lineRule="auto"/>
        <w:rPr>
          <w:rFonts w:ascii="宋体" w:hAnsi="宋体" w:cs="宋体"/>
        </w:rPr>
      </w:pPr>
      <w:r>
        <w:rPr>
          <w:rFonts w:hint="eastAsia" w:ascii="宋体" w:hAnsi="宋体" w:cs="宋体"/>
        </w:rPr>
        <w:t>养猪场废水处理单元臭气收集效率按下式计算：</w:t>
      </w:r>
    </w:p>
    <w:p w14:paraId="7FD9B7B5">
      <w:pPr>
        <w:spacing w:line="360" w:lineRule="auto"/>
        <w:jc w:val="center"/>
        <w:rPr>
          <w:rFonts w:hint="eastAsia" w:hAnsi="Cambria Math" w:cs="微软雅黑"/>
          <w:szCs w:val="18"/>
        </w:rPr>
      </w:pPr>
      <w:r>
        <w:rPr>
          <w:rFonts w:eastAsia="微软雅黑"/>
        </w:rPr>
        <w:t>η</w:t>
      </w:r>
      <w:r>
        <w:rPr>
          <w:rFonts w:hint="eastAsia" w:ascii="微软雅黑" w:hAnsi="微软雅黑" w:eastAsia="微软雅黑" w:cs="微软雅黑"/>
        </w:rPr>
        <w:t>=</w:t>
      </w:r>
      <m:oMath>
        <m:f>
          <m:fPr>
            <m:ctrlPr>
              <w:rPr>
                <w:rFonts w:ascii="Cambria Math" w:hAnsi="Cambria Math" w:cs="微软雅黑"/>
                <w:i/>
              </w:rPr>
            </m:ctrlPr>
          </m:fPr>
          <m:num>
            <m:sSub>
              <m:sSubPr>
                <m:ctrlPr>
                  <w:rPr>
                    <w:rFonts w:ascii="Cambria Math" w:hAnsi="Cambria Math" w:cs="微软雅黑"/>
                    <w:i/>
                  </w:rPr>
                </m:ctrlPr>
              </m:sSubPr>
              <m:e>
                <m:r>
                  <m:rPr/>
                  <w:rPr>
                    <w:rFonts w:ascii="Cambria Math" w:hAnsi="Cambria Math" w:cs="微软雅黑"/>
                  </w:rPr>
                  <m:t>Q</m:t>
                </m:r>
                <m:ctrlPr>
                  <w:rPr>
                    <w:rFonts w:ascii="Cambria Math" w:hAnsi="Cambria Math" w:cs="微软雅黑"/>
                    <w:i/>
                  </w:rPr>
                </m:ctrlPr>
              </m:e>
              <m:sub>
                <m:r>
                  <m:rPr/>
                  <w:rPr>
                    <w:rFonts w:ascii="Cambria Math" w:hAnsi="Cambria Math" w:cs="微软雅黑"/>
                  </w:rPr>
                  <m:t>1</m:t>
                </m:r>
                <m:ctrlPr>
                  <w:rPr>
                    <w:rFonts w:ascii="Cambria Math" w:hAnsi="Cambria Math" w:cs="微软雅黑"/>
                    <w:i/>
                  </w:rPr>
                </m:ctrlPr>
              </m:sub>
            </m:sSub>
            <m:ctrlPr>
              <w:rPr>
                <w:rFonts w:ascii="Cambria Math" w:hAnsi="Cambria Math" w:cs="微软雅黑"/>
                <w:i/>
              </w:rPr>
            </m:ctrlPr>
          </m:num>
          <m:den>
            <m:sSub>
              <m:sSubPr>
                <m:ctrlPr>
                  <w:rPr>
                    <w:rFonts w:ascii="Cambria Math" w:hAnsi="Cambria Math" w:cs="微软雅黑"/>
                    <w:i/>
                    <w:szCs w:val="24"/>
                  </w:rPr>
                </m:ctrlPr>
              </m:sSubPr>
              <m:e>
                <m:r>
                  <m:rPr/>
                  <w:rPr>
                    <w:rFonts w:ascii="Cambria Math" w:hAnsi="Cambria Math" w:cs="微软雅黑"/>
                    <w:szCs w:val="24"/>
                  </w:rPr>
                  <m:t>Q</m:t>
                </m:r>
                <m:ctrlPr>
                  <w:rPr>
                    <w:rFonts w:ascii="Cambria Math" w:hAnsi="Cambria Math" w:cs="微软雅黑"/>
                    <w:i/>
                    <w:szCs w:val="24"/>
                  </w:rPr>
                </m:ctrlPr>
              </m:e>
              <m:sub>
                <m:r>
                  <m:rPr/>
                  <w:rPr>
                    <w:rFonts w:ascii="Cambria Math" w:hAnsi="Cambria Math" w:cs="微软雅黑"/>
                    <w:szCs w:val="24"/>
                  </w:rPr>
                  <m:t>1</m:t>
                </m:r>
                <m:ctrlPr>
                  <w:rPr>
                    <w:rFonts w:ascii="Cambria Math" w:hAnsi="Cambria Math" w:cs="微软雅黑"/>
                    <w:i/>
                    <w:szCs w:val="24"/>
                  </w:rPr>
                </m:ctrlPr>
              </m:sub>
            </m:sSub>
            <m:r>
              <m:rPr/>
              <w:rPr>
                <w:rFonts w:ascii="Cambria Math" w:hAnsi="Cambria Math" w:cs="微软雅黑"/>
                <w:szCs w:val="24"/>
              </w:rPr>
              <m:t>+</m:t>
            </m:r>
            <m:sSub>
              <m:sSubPr>
                <m:ctrlPr>
                  <w:rPr>
                    <w:rFonts w:ascii="Cambria Math" w:hAnsi="Cambria Math" w:cs="微软雅黑"/>
                    <w:i/>
                    <w:szCs w:val="24"/>
                  </w:rPr>
                </m:ctrlPr>
              </m:sSubPr>
              <m:e>
                <m:r>
                  <m:rPr/>
                  <w:rPr>
                    <w:rFonts w:ascii="Cambria Math" w:hAnsi="Cambria Math" w:cs="微软雅黑"/>
                    <w:szCs w:val="24"/>
                  </w:rPr>
                  <m:t>Q</m:t>
                </m:r>
                <m:ctrlPr>
                  <w:rPr>
                    <w:rFonts w:ascii="Cambria Math" w:hAnsi="Cambria Math" w:cs="微软雅黑"/>
                    <w:i/>
                    <w:szCs w:val="24"/>
                  </w:rPr>
                </m:ctrlPr>
              </m:e>
              <m:sub>
                <m:r>
                  <m:rPr/>
                  <w:rPr>
                    <w:rFonts w:ascii="Cambria Math" w:hAnsi="Cambria Math" w:cs="微软雅黑"/>
                    <w:szCs w:val="24"/>
                  </w:rPr>
                  <m:t>2</m:t>
                </m:r>
                <m:ctrlPr>
                  <w:rPr>
                    <w:rFonts w:ascii="Cambria Math" w:hAnsi="Cambria Math" w:cs="微软雅黑"/>
                    <w:i/>
                    <w:szCs w:val="24"/>
                  </w:rPr>
                </m:ctrlPr>
              </m:sub>
            </m:sSub>
            <m:ctrlPr>
              <w:rPr>
                <w:rFonts w:ascii="Cambria Math" w:hAnsi="Cambria Math" w:cs="微软雅黑"/>
                <w:i/>
              </w:rPr>
            </m:ctrlPr>
          </m:den>
        </m:f>
        <m:r>
          <m:rPr/>
          <w:rPr>
            <w:rFonts w:ascii="Cambria Math" w:hAnsi="Cambria Math" w:cs="Cambria Math"/>
            <w:szCs w:val="18"/>
          </w:rPr>
          <m:t>×</m:t>
        </m:r>
        <m:r>
          <m:rPr/>
          <w:rPr>
            <w:rFonts w:ascii="Cambria Math" w:hAnsi="Cambria Math"/>
            <w:szCs w:val="18"/>
          </w:rPr>
          <m:t>100%</m:t>
        </m:r>
      </m:oMath>
    </w:p>
    <w:p w14:paraId="53BE3EAD">
      <w:pPr>
        <w:spacing w:line="360" w:lineRule="auto"/>
        <w:rPr>
          <w:rFonts w:hint="eastAsia" w:hAnsi="Cambria Math" w:cs="微软雅黑"/>
          <w:szCs w:val="18"/>
        </w:rPr>
      </w:pPr>
      <w:r>
        <w:rPr>
          <w:rFonts w:hint="eastAsia" w:hAnsi="Cambria Math" w:cs="微软雅黑"/>
          <w:szCs w:val="18"/>
        </w:rPr>
        <w:t>式中：</w:t>
      </w:r>
    </w:p>
    <w:p w14:paraId="29C7E8E8">
      <w:pPr>
        <w:spacing w:line="360" w:lineRule="auto"/>
      </w:pPr>
      <w:r>
        <w:rPr>
          <w:rFonts w:eastAsia="微软雅黑"/>
        </w:rPr>
        <w:t>η</w:t>
      </w:r>
      <w:r>
        <w:rPr>
          <w:rFonts w:hint="eastAsia" w:eastAsia="微软雅黑"/>
        </w:rPr>
        <w:t xml:space="preserve">   </w:t>
      </w:r>
      <w:r>
        <w:t>——</w:t>
      </w:r>
      <w:r>
        <w:rPr>
          <w:rFonts w:hint="eastAsia"/>
        </w:rPr>
        <w:t>臭气收集效率，%；</w:t>
      </w:r>
    </w:p>
    <w:p w14:paraId="229A1E12">
      <w:pPr>
        <w:spacing w:line="360" w:lineRule="auto"/>
        <w:rPr>
          <w:rFonts w:hint="eastAsia" w:hAnsi="Cambria Math" w:cs="微软雅黑"/>
        </w:rPr>
      </w:pPr>
      <w:r>
        <w:rPr>
          <w:rFonts w:hint="eastAsia" w:hAnsi="Cambria Math" w:cs="微软雅黑"/>
        </w:rPr>
        <w:t>Q</w:t>
      </w:r>
      <w:r>
        <w:rPr>
          <w:rFonts w:hint="eastAsia" w:hAnsi="Cambria Math" w:cs="微软雅黑"/>
          <w:vertAlign w:val="subscript"/>
        </w:rPr>
        <w:t xml:space="preserve">1   </w:t>
      </w:r>
      <w:r>
        <w:rPr>
          <w:szCs w:val="24"/>
        </w:rPr>
        <w:t>——</w:t>
      </w:r>
      <w:r>
        <w:rPr>
          <w:rFonts w:hint="eastAsia"/>
          <w:szCs w:val="24"/>
        </w:rPr>
        <w:t>加盖设施</w:t>
      </w:r>
      <w:r>
        <w:rPr>
          <w:rFonts w:hint="eastAsia" w:hAnsi="Cambria Math" w:cs="微软雅黑"/>
        </w:rPr>
        <w:t>收集的臭气风量，m</w:t>
      </w:r>
      <w:r>
        <w:rPr>
          <w:rFonts w:hint="eastAsia" w:hAnsi="Cambria Math" w:cs="微软雅黑"/>
          <w:vertAlign w:val="superscript"/>
        </w:rPr>
        <w:t>3</w:t>
      </w:r>
      <w:r>
        <w:rPr>
          <w:rFonts w:hint="eastAsia" w:hAnsi="Cambria Math" w:cs="微软雅黑"/>
        </w:rPr>
        <w:t>/h；</w:t>
      </w:r>
    </w:p>
    <w:p w14:paraId="11EA09EC">
      <w:pPr>
        <w:spacing w:line="360" w:lineRule="auto"/>
        <w:rPr>
          <w:szCs w:val="24"/>
        </w:rPr>
      </w:pPr>
      <w:r>
        <w:rPr>
          <w:rFonts w:hint="eastAsia" w:hAnsi="Cambria Math" w:cs="微软雅黑"/>
        </w:rPr>
        <w:t>Q</w:t>
      </w:r>
      <w:r>
        <w:rPr>
          <w:rFonts w:hint="eastAsia" w:hAnsi="Cambria Math" w:cs="微软雅黑"/>
          <w:vertAlign w:val="subscript"/>
        </w:rPr>
        <w:t>2</w:t>
      </w:r>
      <w:r>
        <w:rPr>
          <w:rFonts w:hint="eastAsia" w:hAnsi="Cambria Math" w:cs="微软雅黑"/>
          <w:szCs w:val="24"/>
        </w:rPr>
        <w:t xml:space="preserve">  </w:t>
      </w:r>
      <w:r>
        <w:rPr>
          <w:szCs w:val="24"/>
        </w:rPr>
        <w:t>——</w:t>
      </w:r>
      <w:r>
        <w:rPr>
          <w:rFonts w:hint="eastAsia"/>
          <w:szCs w:val="24"/>
        </w:rPr>
        <w:t>收集系统漏失的臭气风量，m</w:t>
      </w:r>
      <w:r>
        <w:rPr>
          <w:rFonts w:hint="eastAsia"/>
          <w:szCs w:val="24"/>
          <w:vertAlign w:val="superscript"/>
        </w:rPr>
        <w:t>3</w:t>
      </w:r>
      <w:r>
        <w:rPr>
          <w:rFonts w:hint="eastAsia"/>
          <w:szCs w:val="24"/>
        </w:rPr>
        <w:t>/h。</w:t>
      </w:r>
    </w:p>
    <w:p w14:paraId="78010078">
      <w:pPr>
        <w:spacing w:line="360" w:lineRule="auto"/>
      </w:pPr>
      <w:r>
        <w:rPr>
          <w:rFonts w:hint="eastAsia" w:ascii="宋体" w:hAnsi="宋体" w:cs="宋体"/>
        </w:rPr>
        <w:t>加盖方式根据臭气源构筑物的种类、构筑物池体跨度、检修方便性等因素选择，常用的加盖方式有玻璃钢加盖、反吊膜加盖、钢化玻璃加盖、滑轨式加盖、和风琴罩加盖等，臭气收集效率高于</w:t>
      </w:r>
      <w:r>
        <w:rPr>
          <w:rFonts w:ascii="宋体" w:hAnsi="宋体" w:cs="宋体"/>
        </w:rPr>
        <w:t>90</w:t>
      </w:r>
      <w:r>
        <w:rPr>
          <w:rFonts w:hint="eastAsia"/>
        </w:rPr>
        <w:t xml:space="preserve"> %</w:t>
      </w:r>
      <w:r>
        <w:rPr>
          <w:rFonts w:hint="eastAsia" w:ascii="宋体" w:hAnsi="宋体" w:cs="宋体"/>
        </w:rPr>
        <w:t>。</w:t>
      </w:r>
    </w:p>
    <w:p w14:paraId="04D76DF7">
      <w:pPr>
        <w:spacing w:line="360" w:lineRule="auto"/>
      </w:pPr>
      <w:r>
        <w:rPr>
          <w:rFonts w:hint="eastAsia" w:ascii="宋体" w:hAnsi="宋体" w:cs="宋体"/>
        </w:rPr>
        <w:t>各单元收集风量据构筑物的种类、散发臭气的水面面积、臭气空间体积等因素综合确定。集水池、调节池、厌氧池、水解池、二沉池、浓缩池等构筑物臭气风量按单位水面积</w:t>
      </w:r>
      <w:r>
        <w:rPr>
          <w:rFonts w:ascii="宋体" w:hAnsi="宋体" w:cs="宋体"/>
        </w:rPr>
        <w:t>3</w:t>
      </w:r>
      <w:r>
        <w:rPr>
          <w:rFonts w:hint="eastAsia"/>
        </w:rPr>
        <w:t xml:space="preserve"> m</w:t>
      </w:r>
      <w:r>
        <w:rPr>
          <w:rFonts w:hint="eastAsia"/>
          <w:vertAlign w:val="superscript"/>
        </w:rPr>
        <w:t>3</w:t>
      </w:r>
      <w:r>
        <w:rPr>
          <w:rFonts w:hint="eastAsia"/>
        </w:rPr>
        <w:t>/(m</w:t>
      </w:r>
      <w:r>
        <w:rPr>
          <w:rFonts w:hint="eastAsia"/>
          <w:vertAlign w:val="superscript"/>
        </w:rPr>
        <w:t>2</w:t>
      </w:r>
      <w:r>
        <w:rPr>
          <w:rFonts w:hint="eastAsia"/>
        </w:rPr>
        <w:t>•h)</w:t>
      </w:r>
      <w:r>
        <w:rPr>
          <w:rFonts w:hint="eastAsia" w:ascii="宋体" w:hAnsi="宋体" w:cs="宋体"/>
        </w:rPr>
        <w:t xml:space="preserve">计算，好氧池臭气风量按曝气量的110 </w:t>
      </w:r>
      <w:r>
        <w:t>%</w:t>
      </w:r>
      <w:r>
        <w:rPr>
          <w:rFonts w:hint="eastAsia" w:ascii="宋体" w:hAnsi="宋体" w:cs="宋体"/>
        </w:rPr>
        <w:t>计算。</w:t>
      </w:r>
    </w:p>
    <w:p w14:paraId="724B16B3">
      <w:pPr>
        <w:pStyle w:val="3"/>
        <w:bidi w:val="0"/>
        <w:rPr>
          <w:rFonts w:hint="eastAsia" w:ascii="宋体" w:hAnsi="宋体" w:eastAsia="宋体" w:cs="宋体"/>
        </w:rPr>
      </w:pPr>
      <w:r>
        <w:rPr>
          <w:rFonts w:hint="eastAsia" w:ascii="宋体" w:hAnsi="宋体" w:eastAsia="宋体" w:cs="宋体"/>
        </w:rPr>
        <w:t xml:space="preserve">污泥脱水机应设置集气罩，臭气收集效率高于80 </w:t>
      </w:r>
      <w:r>
        <w:rPr>
          <w:rFonts w:hint="default" w:ascii="Times New Roman" w:hAnsi="Times New Roman" w:eastAsia="宋体" w:cs="Times New Roman"/>
        </w:rPr>
        <w:t>%</w:t>
      </w:r>
      <w:r>
        <w:rPr>
          <w:rFonts w:hint="eastAsia" w:ascii="宋体" w:hAnsi="宋体" w:eastAsia="宋体" w:cs="宋体"/>
        </w:rPr>
        <w:t>。</w:t>
      </w:r>
    </w:p>
    <w:p w14:paraId="372734D1">
      <w:pPr>
        <w:pStyle w:val="3"/>
        <w:bidi w:val="0"/>
        <w:rPr>
          <w:rFonts w:hint="default"/>
          <w:lang w:val="en-US" w:eastAsia="zh-CN"/>
        </w:rPr>
      </w:pPr>
      <w:r>
        <w:rPr>
          <w:rFonts w:hint="eastAsia"/>
          <w:lang w:val="en-US" w:eastAsia="zh-CN"/>
        </w:rPr>
        <w:t>6.</w:t>
      </w:r>
      <w:r>
        <w:rPr>
          <w:rFonts w:hint="default"/>
          <w:lang w:val="en-US" w:eastAsia="zh-CN"/>
        </w:rPr>
        <w:t>7 末端治理技术</w:t>
      </w:r>
    </w:p>
    <w:p w14:paraId="13983FFB">
      <w:pPr>
        <w:pStyle w:val="4"/>
        <w:bidi w:val="0"/>
        <w:rPr>
          <w:rFonts w:hint="default"/>
          <w:lang w:val="en-US" w:eastAsia="zh-CN"/>
        </w:rPr>
      </w:pPr>
      <w:r>
        <w:rPr>
          <w:rFonts w:hint="eastAsia"/>
          <w:lang w:val="en-US" w:eastAsia="zh-CN"/>
        </w:rPr>
        <w:t>6.</w:t>
      </w:r>
      <w:r>
        <w:rPr>
          <w:rFonts w:hint="default"/>
          <w:lang w:val="en-US" w:eastAsia="zh-CN"/>
        </w:rPr>
        <w:t>7.1 生物覆膜净化</w:t>
      </w:r>
    </w:p>
    <w:p w14:paraId="6CFF15C5">
      <w:pPr>
        <w:pStyle w:val="15"/>
        <w:ind w:firstLine="0" w:firstLineChars="0"/>
        <w:rPr>
          <w:rFonts w:ascii="黑体" w:hAnsi="黑体" w:eastAsia="黑体" w:cs="黑体"/>
        </w:rPr>
      </w:pPr>
      <w:r>
        <w:rPr>
          <w:rFonts w:hint="eastAsia" w:ascii="黑体" w:hAnsi="黑体" w:eastAsia="黑体" w:cs="黑体"/>
          <w:lang w:val="en-US" w:eastAsia="zh-CN"/>
        </w:rPr>
        <w:t>6.</w:t>
      </w:r>
      <w:r>
        <w:rPr>
          <w:rFonts w:hint="eastAsia" w:ascii="黑体" w:hAnsi="黑体" w:eastAsia="黑体" w:cs="黑体"/>
        </w:rPr>
        <w:t>7.1</w:t>
      </w:r>
      <w:r>
        <w:rPr>
          <w:rFonts w:hint="eastAsia" w:ascii="黑体" w:hAnsi="黑体" w:eastAsia="黑体" w:cs="黑体"/>
          <w:lang w:val="en-US" w:eastAsia="zh-CN"/>
        </w:rPr>
        <w:t>.1</w:t>
      </w:r>
      <w:r>
        <w:rPr>
          <w:rFonts w:hint="eastAsia" w:ascii="黑体" w:hAnsi="黑体" w:eastAsia="黑体" w:cs="黑体"/>
        </w:rPr>
        <w:t xml:space="preserve"> 猪舍</w:t>
      </w:r>
    </w:p>
    <w:p w14:paraId="5D5FFFFA">
      <w:pPr>
        <w:pStyle w:val="15"/>
        <w:spacing w:line="360" w:lineRule="auto"/>
        <w:rPr>
          <w:rFonts w:ascii="黑体" w:hAnsi="黑体" w:eastAsia="黑体" w:cs="黑体"/>
        </w:rPr>
      </w:pPr>
      <w:r>
        <w:rPr>
          <w:rFonts w:hint="eastAsia"/>
        </w:rPr>
        <w:t>猪舍排风</w:t>
      </w:r>
      <w:r>
        <w:rPr>
          <w:rFonts w:ascii="Times New Roman" w:hAnsi="Times New Roman"/>
        </w:rPr>
        <w:t>NH</w:t>
      </w:r>
      <w:r>
        <w:rPr>
          <w:rFonts w:ascii="Times New Roman" w:hAnsi="Times New Roman"/>
          <w:vertAlign w:val="subscript"/>
        </w:rPr>
        <w:t>3</w:t>
      </w:r>
      <w:r>
        <w:rPr>
          <w:rFonts w:hint="eastAsia"/>
        </w:rPr>
        <w:t xml:space="preserve">浓度小于10 </w:t>
      </w:r>
      <w:r>
        <w:rPr>
          <w:rFonts w:ascii="Times New Roman" w:hAnsi="Times New Roman"/>
        </w:rPr>
        <w:t>ppm</w:t>
      </w:r>
      <w:r>
        <w:rPr>
          <w:rFonts w:hint="eastAsia"/>
        </w:rPr>
        <w:t>，通风量为总通风量的80</w:t>
      </w:r>
      <w:r>
        <w:rPr>
          <w:rFonts w:hint="eastAsia" w:ascii="Times New Roman" w:hAnsi="Times New Roman"/>
        </w:rPr>
        <w:t xml:space="preserve"> </w:t>
      </w:r>
      <w:r>
        <w:rPr>
          <w:rFonts w:ascii="Times New Roman" w:hAnsi="Times New Roman"/>
        </w:rPr>
        <w:t>%</w:t>
      </w:r>
      <w:r>
        <w:rPr>
          <w:rFonts w:hint="eastAsia" w:ascii="Times New Roman" w:hAnsi="Times New Roman"/>
        </w:rPr>
        <w:t>~</w:t>
      </w:r>
      <w:r>
        <w:rPr>
          <w:rFonts w:hint="eastAsia" w:hAnsi="宋体" w:cs="宋体"/>
        </w:rPr>
        <w:t>90</w:t>
      </w:r>
      <w:r>
        <w:rPr>
          <w:rFonts w:hint="eastAsia" w:ascii="Times New Roman" w:hAnsi="Times New Roman"/>
        </w:rPr>
        <w:t xml:space="preserve"> %</w:t>
      </w:r>
      <w:r>
        <w:rPr>
          <w:rFonts w:hint="eastAsia"/>
        </w:rPr>
        <w:t>左右，臭气浓度低、风量大，宜采用生物覆膜技术净化臭气。</w:t>
      </w:r>
    </w:p>
    <w:p w14:paraId="56854A3F">
      <w:pPr>
        <w:pStyle w:val="14"/>
        <w:numPr>
          <w:ilvl w:val="0"/>
          <w:numId w:val="0"/>
        </w:numPr>
        <w:spacing w:before="156" w:after="156"/>
        <w:jc w:val="both"/>
        <w:outlineLvl w:val="1"/>
      </w:pPr>
      <w:r>
        <w:rPr>
          <w:rFonts w:hint="eastAsia"/>
          <w:lang w:eastAsia="zh-CN"/>
        </w:rPr>
        <w:t>（</w:t>
      </w:r>
      <w:r>
        <w:rPr>
          <w:rFonts w:hint="eastAsia"/>
          <w:lang w:val="en-US" w:eastAsia="zh-CN"/>
        </w:rPr>
        <w:t>1</w:t>
      </w:r>
      <w:r>
        <w:rPr>
          <w:rFonts w:hint="eastAsia"/>
          <w:lang w:eastAsia="zh-CN"/>
        </w:rPr>
        <w:t>）</w:t>
      </w:r>
      <w:r>
        <w:rPr>
          <w:rFonts w:hint="eastAsia"/>
        </w:rPr>
        <w:t>生物覆膜净化</w:t>
      </w:r>
    </w:p>
    <w:p w14:paraId="1E6285C5">
      <w:pPr>
        <w:spacing w:line="360" w:lineRule="auto"/>
      </w:pPr>
      <w:r>
        <w:rPr>
          <w:rFonts w:hint="eastAsia" w:ascii="宋体" w:hAnsi="宋体" w:cs="宋体"/>
        </w:rPr>
        <w:t>生物覆膜应安装在猪舍侧墙负压风机排风口后</w:t>
      </w:r>
      <w:r>
        <w:rPr>
          <w:rFonts w:ascii="宋体" w:hAnsi="宋体" w:cs="宋体"/>
        </w:rPr>
        <w:t>5</w:t>
      </w:r>
      <w:r>
        <w:rPr>
          <w:rFonts w:hint="eastAsia"/>
        </w:rPr>
        <w:t xml:space="preserve"> m</w:t>
      </w:r>
      <w:r>
        <w:rPr>
          <w:rFonts w:hint="eastAsia" w:ascii="宋体" w:hAnsi="宋体" w:cs="宋体"/>
        </w:rPr>
        <w:t>～</w:t>
      </w:r>
      <w:r>
        <w:rPr>
          <w:rFonts w:ascii="宋体" w:hAnsi="宋体" w:cs="宋体"/>
        </w:rPr>
        <w:t>6</w:t>
      </w:r>
      <w:r>
        <w:rPr>
          <w:rFonts w:hint="eastAsia"/>
        </w:rPr>
        <w:t xml:space="preserve"> m</w:t>
      </w:r>
      <w:r>
        <w:rPr>
          <w:rFonts w:hint="eastAsia" w:ascii="宋体" w:hAnsi="宋体" w:cs="宋体"/>
        </w:rPr>
        <w:t>的位置，系统运行时，通过水泵将营养液送入喷淋管道，通过喷嘴顺风机排风方向淋湿生物覆膜。</w:t>
      </w:r>
    </w:p>
    <w:p w14:paraId="0D15359B">
      <w:pPr>
        <w:spacing w:line="360" w:lineRule="auto"/>
      </w:pPr>
      <w:r>
        <w:rPr>
          <w:rFonts w:hint="eastAsia" w:ascii="宋体" w:hAnsi="宋体" w:cs="宋体"/>
        </w:rPr>
        <w:t>猪舍臭气经排风机通过生物覆膜层，臭气组分被覆膜载体吸附和微生物代谢分解，净化后气体排入环境，详见附录</w:t>
      </w:r>
      <w:r>
        <w:rPr>
          <w:rFonts w:hint="eastAsia"/>
        </w:rPr>
        <w:t>C</w:t>
      </w:r>
      <w:r>
        <w:rPr>
          <w:rFonts w:hint="eastAsia" w:ascii="宋体" w:hAnsi="宋体" w:cs="宋体"/>
        </w:rPr>
        <w:t>图</w:t>
      </w:r>
      <w:r>
        <w:rPr>
          <w:rFonts w:hint="eastAsia"/>
        </w:rPr>
        <w:t>C.</w:t>
      </w:r>
      <w:r>
        <w:rPr>
          <w:rFonts w:ascii="宋体" w:hAnsi="宋体" w:cs="宋体"/>
        </w:rPr>
        <w:t>3</w:t>
      </w:r>
      <w:r>
        <w:rPr>
          <w:rFonts w:hint="eastAsia" w:ascii="宋体" w:hAnsi="宋体" w:cs="宋体"/>
        </w:rPr>
        <w:t>。</w:t>
      </w:r>
    </w:p>
    <w:p w14:paraId="6C289CC4">
      <w:pPr>
        <w:spacing w:line="360" w:lineRule="auto"/>
      </w:pPr>
      <w:r>
        <w:rPr>
          <w:rFonts w:hint="eastAsia" w:ascii="宋体" w:hAnsi="宋体" w:cs="宋体"/>
        </w:rPr>
        <w:t>生物覆膜载体宜采用竹炭、木炭以及多孔高分子材料，具有生物负载和臭气分子吸附能力，能够快速吸附猪舍尾气中的粉尘、臭气成分，并利用载体附着的微生物降解臭气物质。</w:t>
      </w:r>
    </w:p>
    <w:p w14:paraId="56056050">
      <w:pPr>
        <w:spacing w:line="360" w:lineRule="auto"/>
        <w:rPr>
          <w:rFonts w:ascii="宋体" w:hAnsi="宋体" w:cs="宋体"/>
        </w:rPr>
      </w:pPr>
      <w:r>
        <w:rPr>
          <w:rFonts w:hint="eastAsia" w:ascii="宋体" w:hAnsi="宋体" w:cs="宋体"/>
        </w:rPr>
        <w:t>载体厚度宜为</w:t>
      </w:r>
      <w:r>
        <w:rPr>
          <w:rFonts w:ascii="宋体" w:hAnsi="宋体" w:cs="宋体"/>
        </w:rPr>
        <w:t>0.3</w:t>
      </w:r>
      <w:r>
        <w:rPr>
          <w:rFonts w:hint="eastAsia"/>
        </w:rPr>
        <w:t xml:space="preserve"> m</w:t>
      </w:r>
      <w:r>
        <w:rPr>
          <w:rFonts w:hint="eastAsia" w:ascii="宋体" w:hAnsi="宋体" w:cs="宋体"/>
        </w:rPr>
        <w:t>～</w:t>
      </w:r>
      <w:r>
        <w:rPr>
          <w:rFonts w:ascii="宋体" w:hAnsi="宋体" w:cs="宋体"/>
        </w:rPr>
        <w:t>0.5</w:t>
      </w:r>
      <w:r>
        <w:rPr>
          <w:rFonts w:hint="eastAsia"/>
        </w:rPr>
        <w:t xml:space="preserve"> m</w:t>
      </w:r>
      <w:r>
        <w:rPr>
          <w:rFonts w:hint="eastAsia" w:ascii="宋体" w:hAnsi="宋体" w:cs="宋体"/>
        </w:rPr>
        <w:t>，便于更换。</w:t>
      </w:r>
    </w:p>
    <w:p w14:paraId="326E1411">
      <w:pPr>
        <w:pStyle w:val="15"/>
        <w:spacing w:before="156" w:beforeLines="50" w:after="156" w:afterLines="50"/>
        <w:ind w:firstLine="0" w:firstLineChars="0"/>
        <w:rPr>
          <w:rFonts w:ascii="黑体" w:hAnsi="黑体" w:eastAsia="黑体" w:cs="黑体"/>
        </w:rPr>
      </w:pPr>
      <w:r>
        <w:rPr>
          <w:rFonts w:hint="eastAsia" w:ascii="黑体" w:hAnsi="黑体" w:eastAsia="黑体" w:cs="黑体"/>
          <w:lang w:val="en-US" w:eastAsia="zh-CN"/>
        </w:rPr>
        <w:t>6.7.1.2</w:t>
      </w:r>
      <w:r>
        <w:rPr>
          <w:rFonts w:hint="eastAsia" w:ascii="黑体" w:hAnsi="黑体" w:eastAsia="黑体" w:cs="黑体"/>
        </w:rPr>
        <w:t>粪槽</w:t>
      </w:r>
    </w:p>
    <w:p w14:paraId="2EA159C9">
      <w:pPr>
        <w:pStyle w:val="15"/>
        <w:spacing w:line="360" w:lineRule="auto"/>
        <w:rPr>
          <w:rFonts w:hint="eastAsia"/>
        </w:rPr>
      </w:pPr>
      <w:r>
        <w:rPr>
          <w:rFonts w:hint="eastAsia"/>
        </w:rPr>
        <w:t>粪槽排风</w:t>
      </w:r>
      <w:r>
        <w:rPr>
          <w:rFonts w:ascii="Times New Roman" w:hAnsi="Times New Roman"/>
        </w:rPr>
        <w:t>NH</w:t>
      </w:r>
      <w:r>
        <w:rPr>
          <w:rFonts w:ascii="Times New Roman" w:hAnsi="Times New Roman"/>
          <w:vertAlign w:val="subscript"/>
        </w:rPr>
        <w:t>3</w:t>
      </w:r>
      <w:r>
        <w:rPr>
          <w:rFonts w:hint="eastAsia"/>
        </w:rPr>
        <w:t xml:space="preserve">浓度大于10 </w:t>
      </w:r>
      <w:r>
        <w:rPr>
          <w:rFonts w:ascii="Times New Roman" w:hAnsi="Times New Roman"/>
        </w:rPr>
        <w:t>ppm</w:t>
      </w:r>
      <w:r>
        <w:rPr>
          <w:rFonts w:hint="eastAsia"/>
        </w:rPr>
        <w:t xml:space="preserve">，通风量为总通风量的10 </w:t>
      </w:r>
      <w:r>
        <w:rPr>
          <w:rFonts w:ascii="Times New Roman" w:hAnsi="Times New Roman"/>
        </w:rPr>
        <w:t>%~</w:t>
      </w:r>
      <w:r>
        <w:rPr>
          <w:rFonts w:hint="eastAsia"/>
        </w:rPr>
        <w:t xml:space="preserve">20 </w:t>
      </w:r>
      <w:r>
        <w:rPr>
          <w:rFonts w:ascii="Times New Roman" w:hAnsi="Times New Roman"/>
        </w:rPr>
        <w:t>%</w:t>
      </w:r>
      <w:r>
        <w:rPr>
          <w:rFonts w:hint="eastAsia"/>
        </w:rPr>
        <w:t>左右，臭气浓度高、浓度波动大、风量小，宜采用生物过滤、化学氧化和生物过滤＋高级氧化组合技术净化臭气。</w:t>
      </w:r>
      <w:bookmarkStart w:id="64" w:name="_Toc179536944"/>
      <w:bookmarkStart w:id="65" w:name="OLE_LINK6"/>
    </w:p>
    <w:p w14:paraId="6E2CCA4C">
      <w:pPr>
        <w:pStyle w:val="14"/>
        <w:numPr>
          <w:ilvl w:val="0"/>
          <w:numId w:val="0"/>
        </w:numPr>
        <w:spacing w:before="156" w:after="156"/>
        <w:jc w:val="both"/>
        <w:outlineLvl w:val="1"/>
      </w:pPr>
      <w:r>
        <w:rPr>
          <w:rFonts w:hint="eastAsia"/>
          <w:lang w:eastAsia="zh-CN"/>
        </w:rPr>
        <w:t>（</w:t>
      </w:r>
      <w:r>
        <w:rPr>
          <w:rFonts w:hint="eastAsia"/>
          <w:lang w:val="en-US" w:eastAsia="zh-CN"/>
        </w:rPr>
        <w:t>1</w:t>
      </w:r>
      <w:r>
        <w:rPr>
          <w:rFonts w:hint="eastAsia"/>
          <w:lang w:eastAsia="zh-CN"/>
        </w:rPr>
        <w:t>）</w:t>
      </w:r>
      <w:r>
        <w:rPr>
          <w:rFonts w:hint="eastAsia"/>
        </w:rPr>
        <w:t>生物过滤净化</w:t>
      </w:r>
      <w:bookmarkEnd w:id="64"/>
    </w:p>
    <w:bookmarkEnd w:id="65"/>
    <w:p w14:paraId="506C0E63">
      <w:pPr>
        <w:spacing w:line="360" w:lineRule="auto"/>
      </w:pPr>
      <w:r>
        <w:rPr>
          <w:rFonts w:hint="eastAsia" w:ascii="宋体" w:hAnsi="宋体" w:cs="宋体"/>
        </w:rPr>
        <w:t>适用于处理粪槽臭气，以及污水处理等产生的臭气，工艺流程</w:t>
      </w:r>
      <w:r>
        <w:rPr>
          <w:rFonts w:hint="eastAsia" w:ascii="宋体" w:hAnsi="宋体" w:cs="宋体"/>
          <w:bCs/>
        </w:rPr>
        <w:t>见</w:t>
      </w:r>
      <w:r>
        <w:rPr>
          <w:rFonts w:hint="eastAsia" w:ascii="宋体" w:hAnsi="宋体" w:cs="宋体"/>
        </w:rPr>
        <w:t>附录</w:t>
      </w:r>
      <w:bookmarkStart w:id="66" w:name="OLE_LINK7"/>
      <w:r>
        <w:rPr>
          <w:rFonts w:hint="eastAsia"/>
        </w:rPr>
        <w:t>C</w:t>
      </w:r>
      <w:r>
        <w:rPr>
          <w:rFonts w:hint="eastAsia" w:ascii="宋体" w:hAnsi="宋体" w:cs="宋体"/>
        </w:rPr>
        <w:t>图</w:t>
      </w:r>
      <w:r>
        <w:rPr>
          <w:rFonts w:hint="eastAsia"/>
        </w:rPr>
        <w:t>C.</w:t>
      </w:r>
      <w:r>
        <w:rPr>
          <w:rFonts w:ascii="宋体" w:hAnsi="宋体" w:cs="宋体"/>
        </w:rPr>
        <w:t>4</w:t>
      </w:r>
      <w:r>
        <w:rPr>
          <w:rFonts w:hint="eastAsia" w:ascii="宋体" w:hAnsi="宋体" w:cs="宋体"/>
        </w:rPr>
        <w:t>。</w:t>
      </w:r>
      <w:bookmarkEnd w:id="66"/>
    </w:p>
    <w:p w14:paraId="2737D156">
      <w:pPr>
        <w:spacing w:line="360" w:lineRule="auto"/>
        <w:rPr>
          <w:rFonts w:ascii="宋体" w:hAnsi="宋体" w:cs="宋体"/>
        </w:rPr>
      </w:pPr>
      <w:r>
        <w:rPr>
          <w:rFonts w:hint="eastAsia" w:ascii="宋体" w:hAnsi="宋体" w:cs="宋体"/>
        </w:rPr>
        <w:t>生物滤池运行生物填料湿度维持在</w:t>
      </w:r>
      <w:r>
        <w:rPr>
          <w:rFonts w:ascii="宋体" w:hAnsi="宋体" w:cs="宋体"/>
        </w:rPr>
        <w:t>60</w:t>
      </w:r>
      <w:r>
        <w:rPr>
          <w:rFonts w:hint="eastAsia"/>
        </w:rPr>
        <w:t xml:space="preserve"> %</w:t>
      </w:r>
      <w:r>
        <w:rPr>
          <w:rFonts w:hint="eastAsia" w:ascii="宋体" w:hAnsi="宋体" w:cs="宋体"/>
        </w:rPr>
        <w:t>～</w:t>
      </w:r>
      <w:r>
        <w:rPr>
          <w:rFonts w:ascii="宋体" w:hAnsi="宋体" w:cs="宋体"/>
        </w:rPr>
        <w:t>90</w:t>
      </w:r>
      <w:r>
        <w:rPr>
          <w:rFonts w:hint="eastAsia"/>
        </w:rPr>
        <w:t xml:space="preserve"> %</w:t>
      </w:r>
      <w:r>
        <w:rPr>
          <w:rFonts w:hint="eastAsia" w:ascii="宋体" w:hAnsi="宋体" w:cs="宋体"/>
        </w:rPr>
        <w:t>之间，填料层</w:t>
      </w:r>
      <w:r>
        <w:rPr>
          <w:rFonts w:hint="eastAsia"/>
        </w:rPr>
        <w:t xml:space="preserve"> pH</w:t>
      </w:r>
      <w:r>
        <w:rPr>
          <w:rFonts w:hint="eastAsia" w:ascii="宋体" w:hAnsi="宋体" w:cs="宋体"/>
        </w:rPr>
        <w:t>值控制为</w:t>
      </w:r>
      <w:r>
        <w:rPr>
          <w:rFonts w:ascii="宋体" w:hAnsi="宋体" w:cs="宋体"/>
        </w:rPr>
        <w:t>5</w:t>
      </w:r>
      <w:r>
        <w:rPr>
          <w:rFonts w:hint="eastAsia" w:ascii="宋体" w:hAnsi="宋体" w:cs="宋体"/>
        </w:rPr>
        <w:t>～</w:t>
      </w:r>
      <w:r>
        <w:rPr>
          <w:rFonts w:ascii="宋体" w:hAnsi="宋体" w:cs="宋体"/>
        </w:rPr>
        <w:t>9</w:t>
      </w:r>
      <w:r>
        <w:rPr>
          <w:rFonts w:hint="eastAsia" w:ascii="宋体" w:hAnsi="宋体" w:cs="宋体"/>
        </w:rPr>
        <w:t>。</w:t>
      </w:r>
    </w:p>
    <w:p w14:paraId="398FFBA4">
      <w:pPr>
        <w:spacing w:line="360" w:lineRule="auto"/>
        <w:rPr>
          <w:rFonts w:ascii="黑体" w:hAnsi="黑体" w:cs="黑体"/>
        </w:rPr>
      </w:pPr>
      <w:r>
        <w:rPr>
          <w:rFonts w:hint="eastAsia" w:ascii="宋体" w:hAnsi="宋体" w:cs="宋体"/>
        </w:rPr>
        <w:t>气体停留时间宜在15</w:t>
      </w:r>
      <w:r>
        <w:rPr>
          <w:rFonts w:hint="eastAsia"/>
        </w:rPr>
        <w:t xml:space="preserve"> s</w:t>
      </w:r>
      <w:r>
        <w:rPr>
          <w:rFonts w:hint="eastAsia" w:ascii="宋体" w:hAnsi="宋体" w:cs="宋体"/>
        </w:rPr>
        <w:t>～60</w:t>
      </w:r>
      <w:r>
        <w:rPr>
          <w:rFonts w:hint="eastAsia"/>
        </w:rPr>
        <w:t xml:space="preserve"> s，高浓度臭气（如粪槽臭气）需≥</w:t>
      </w:r>
      <w:r>
        <w:rPr>
          <w:rFonts w:hint="eastAsia" w:ascii="宋体" w:hAnsi="宋体" w:cs="宋体"/>
        </w:rPr>
        <w:t>30</w:t>
      </w:r>
      <w:r>
        <w:rPr>
          <w:rFonts w:hint="eastAsia"/>
        </w:rPr>
        <w:t xml:space="preserve"> s；低浓度（如猪舍臭气）可</w:t>
      </w:r>
      <w:r>
        <w:rPr>
          <w:rFonts w:hint="eastAsia" w:ascii="宋体" w:hAnsi="宋体" w:cs="宋体"/>
        </w:rPr>
        <w:t>15</w:t>
      </w:r>
      <w:r>
        <w:rPr>
          <w:rFonts w:hint="eastAsia"/>
        </w:rPr>
        <w:t xml:space="preserve"> s。床层压降宜＜</w:t>
      </w:r>
      <w:r>
        <w:rPr>
          <w:rFonts w:hint="eastAsia" w:ascii="宋体" w:hAnsi="宋体" w:cs="宋体"/>
        </w:rPr>
        <w:t>200</w:t>
      </w:r>
      <w:r>
        <w:rPr>
          <w:rFonts w:hint="eastAsia"/>
        </w:rPr>
        <w:t xml:space="preserve"> Pa/m。</w:t>
      </w:r>
    </w:p>
    <w:p w14:paraId="74337C33">
      <w:pPr>
        <w:spacing w:line="360" w:lineRule="auto"/>
      </w:pPr>
      <w:r>
        <w:rPr>
          <w:rFonts w:hint="eastAsia" w:ascii="宋体" w:hAnsi="宋体" w:cs="宋体"/>
        </w:rPr>
        <w:t>定期检查池体底部液体酸性度、填料层</w:t>
      </w:r>
      <w:r>
        <w:rPr>
          <w:rFonts w:hint="eastAsia" w:ascii="宋体" w:hAnsi="宋体" w:cs="宋体"/>
          <w:color w:val="000000" w:themeColor="text1"/>
          <w14:textFill>
            <w14:solidFill>
              <w14:schemeClr w14:val="tx1"/>
            </w14:solidFill>
          </w14:textFill>
        </w:rPr>
        <w:t>微生物含量</w:t>
      </w:r>
      <w:r>
        <w:rPr>
          <w:rFonts w:hint="eastAsia" w:ascii="宋体" w:hAnsi="宋体" w:cs="宋体"/>
        </w:rPr>
        <w:t>以及排出气体净化水平。</w:t>
      </w:r>
    </w:p>
    <w:p w14:paraId="37B85896">
      <w:pPr>
        <w:pStyle w:val="14"/>
        <w:numPr>
          <w:ilvl w:val="0"/>
          <w:numId w:val="0"/>
        </w:numPr>
        <w:spacing w:before="156" w:after="156"/>
        <w:jc w:val="both"/>
        <w:outlineLvl w:val="1"/>
      </w:pPr>
      <w:r>
        <w:rPr>
          <w:rFonts w:hint="eastAsia"/>
          <w:lang w:eastAsia="zh-CN"/>
        </w:rPr>
        <w:t>（</w:t>
      </w:r>
      <w:r>
        <w:rPr>
          <w:rFonts w:hint="eastAsia"/>
          <w:lang w:val="en-US" w:eastAsia="zh-CN"/>
        </w:rPr>
        <w:t>2</w:t>
      </w:r>
      <w:r>
        <w:rPr>
          <w:rFonts w:hint="eastAsia"/>
          <w:lang w:eastAsia="zh-CN"/>
        </w:rPr>
        <w:t>）</w:t>
      </w:r>
      <w:r>
        <w:rPr>
          <w:rFonts w:hint="eastAsia"/>
        </w:rPr>
        <w:t>化学氧化净化</w:t>
      </w:r>
    </w:p>
    <w:p w14:paraId="1493FD91">
      <w:pPr>
        <w:spacing w:line="360" w:lineRule="auto"/>
        <w:rPr>
          <w:lang w:bidi="ar"/>
        </w:rPr>
      </w:pPr>
      <w:r>
        <w:rPr>
          <w:rFonts w:hint="eastAsia" w:ascii="宋体" w:hAnsi="宋体" w:cs="宋体"/>
          <w:lang w:bidi="ar"/>
        </w:rPr>
        <w:t>猪舍粪槽排风臭气浓度高、臭气气量和臭气浓度波动较大，适合采用化学氧化净化，流程如</w:t>
      </w:r>
      <w:r>
        <w:rPr>
          <w:rFonts w:hint="eastAsia"/>
          <w:lang w:bidi="ar"/>
        </w:rPr>
        <w:t>附录</w:t>
      </w:r>
      <w:r>
        <w:rPr>
          <w:lang w:bidi="ar"/>
        </w:rPr>
        <w:t>C</w:t>
      </w:r>
      <w:r>
        <w:rPr>
          <w:rFonts w:hint="eastAsia" w:ascii="宋体" w:hAnsi="宋体" w:cs="宋体"/>
          <w:lang w:bidi="ar"/>
        </w:rPr>
        <w:t>图</w:t>
      </w:r>
      <w:r>
        <w:rPr>
          <w:rFonts w:hint="eastAsia"/>
          <w:lang w:bidi="ar"/>
        </w:rPr>
        <w:t>C.</w:t>
      </w:r>
      <w:r>
        <w:rPr>
          <w:rFonts w:ascii="宋体" w:hAnsi="宋体" w:cs="宋体"/>
          <w:lang w:bidi="ar"/>
        </w:rPr>
        <w:t>5</w:t>
      </w:r>
      <w:r>
        <w:rPr>
          <w:rFonts w:hint="eastAsia" w:ascii="宋体" w:hAnsi="宋体" w:cs="宋体"/>
          <w:lang w:bidi="ar"/>
        </w:rPr>
        <w:t>所示。</w:t>
      </w:r>
    </w:p>
    <w:p w14:paraId="43F81DDA">
      <w:pPr>
        <w:spacing w:line="360" w:lineRule="auto"/>
        <w:rPr>
          <w:lang w:bidi="ar"/>
        </w:rPr>
      </w:pPr>
      <w:r>
        <w:rPr>
          <w:rFonts w:hint="eastAsia" w:ascii="宋体" w:hAnsi="宋体" w:cs="宋体"/>
          <w:lang w:bidi="ar"/>
        </w:rPr>
        <w:t>吸收塔为填充塔，化学吸收液从塔顶往下喷淋，废气向上流，臭气与吸收液充分接触、反应而被去除。吸收液与废气流量比例（液</w:t>
      </w:r>
      <w:r>
        <w:rPr>
          <w:lang w:bidi="ar"/>
        </w:rPr>
        <w:t>/</w:t>
      </w:r>
      <w:r>
        <w:rPr>
          <w:rFonts w:hint="eastAsia" w:ascii="宋体" w:hAnsi="宋体" w:cs="宋体"/>
          <w:lang w:bidi="ar"/>
        </w:rPr>
        <w:t>气比）一般为</w:t>
      </w:r>
      <w:r>
        <w:rPr>
          <w:rFonts w:ascii="宋体" w:hAnsi="宋体" w:cs="宋体"/>
          <w:lang w:bidi="ar"/>
        </w:rPr>
        <w:t>1</w:t>
      </w:r>
      <w:r>
        <w:rPr>
          <w:lang w:bidi="ar"/>
        </w:rPr>
        <w:t xml:space="preserve"> L/m</w:t>
      </w:r>
      <w:r>
        <w:rPr>
          <w:vertAlign w:val="superscript"/>
          <w:lang w:bidi="ar"/>
        </w:rPr>
        <w:t>3</w:t>
      </w:r>
      <w:r>
        <w:rPr>
          <w:rFonts w:hint="eastAsia"/>
          <w:lang w:bidi="ar"/>
        </w:rPr>
        <w:t>~</w:t>
      </w:r>
      <w:r>
        <w:rPr>
          <w:rFonts w:ascii="宋体" w:hAnsi="宋体" w:cs="宋体"/>
          <w:lang w:bidi="ar"/>
        </w:rPr>
        <w:t>3</w:t>
      </w:r>
      <w:r>
        <w:rPr>
          <w:lang w:bidi="ar"/>
        </w:rPr>
        <w:t xml:space="preserve"> L/m</w:t>
      </w:r>
      <w:r>
        <w:rPr>
          <w:vertAlign w:val="superscript"/>
          <w:lang w:bidi="ar"/>
        </w:rPr>
        <w:t>3</w:t>
      </w:r>
      <w:r>
        <w:rPr>
          <w:rFonts w:hint="eastAsia" w:ascii="宋体" w:hAnsi="宋体" w:cs="宋体"/>
          <w:lang w:bidi="ar"/>
        </w:rPr>
        <w:t>，填料高度一般为</w:t>
      </w:r>
      <w:r>
        <w:rPr>
          <w:rFonts w:ascii="宋体" w:hAnsi="宋体" w:cs="宋体"/>
          <w:lang w:bidi="ar"/>
        </w:rPr>
        <w:t>2</w:t>
      </w:r>
      <w:r>
        <w:rPr>
          <w:rFonts w:hint="eastAsia"/>
          <w:lang w:bidi="ar"/>
        </w:rPr>
        <w:t xml:space="preserve"> m~</w:t>
      </w:r>
      <w:r>
        <w:rPr>
          <w:rFonts w:ascii="宋体" w:hAnsi="宋体" w:cs="宋体"/>
          <w:lang w:bidi="ar"/>
        </w:rPr>
        <w:t>3</w:t>
      </w:r>
      <w:r>
        <w:rPr>
          <w:rFonts w:hint="eastAsia"/>
          <w:lang w:bidi="ar"/>
        </w:rPr>
        <w:t xml:space="preserve"> m</w:t>
      </w:r>
      <w:r>
        <w:rPr>
          <w:rFonts w:hint="eastAsia" w:ascii="宋体" w:hAnsi="宋体" w:cs="宋体"/>
          <w:lang w:bidi="ar"/>
        </w:rPr>
        <w:t>，气体空塔流速一般为</w:t>
      </w:r>
      <w:r>
        <w:rPr>
          <w:rFonts w:ascii="宋体" w:hAnsi="宋体" w:cs="宋体"/>
          <w:lang w:bidi="ar"/>
        </w:rPr>
        <w:t>0.5</w:t>
      </w:r>
      <w:r>
        <w:rPr>
          <w:rFonts w:hint="eastAsia"/>
          <w:lang w:bidi="ar"/>
        </w:rPr>
        <w:t xml:space="preserve"> </w:t>
      </w:r>
      <w:r>
        <w:rPr>
          <w:lang w:bidi="ar"/>
        </w:rPr>
        <w:t>m/s</w:t>
      </w:r>
      <w:r>
        <w:rPr>
          <w:rFonts w:hint="eastAsia"/>
          <w:lang w:bidi="ar"/>
        </w:rPr>
        <w:t>~</w:t>
      </w:r>
      <w:r>
        <w:rPr>
          <w:rFonts w:ascii="宋体" w:hAnsi="宋体" w:cs="宋体"/>
          <w:lang w:bidi="ar"/>
        </w:rPr>
        <w:t>1</w:t>
      </w:r>
      <w:r>
        <w:rPr>
          <w:rFonts w:hint="eastAsia"/>
          <w:lang w:bidi="ar"/>
        </w:rPr>
        <w:t xml:space="preserve"> </w:t>
      </w:r>
      <w:r>
        <w:rPr>
          <w:lang w:bidi="ar"/>
        </w:rPr>
        <w:t>m/s</w:t>
      </w:r>
      <w:r>
        <w:rPr>
          <w:rFonts w:hint="eastAsia" w:ascii="宋体" w:hAnsi="宋体" w:cs="宋体"/>
          <w:lang w:bidi="ar"/>
        </w:rPr>
        <w:t>。氨气除臭效果可达到</w:t>
      </w:r>
      <w:r>
        <w:rPr>
          <w:rFonts w:ascii="宋体" w:hAnsi="宋体" w:cs="宋体"/>
          <w:lang w:bidi="ar"/>
        </w:rPr>
        <w:t>90</w:t>
      </w:r>
      <w:r>
        <w:rPr>
          <w:rFonts w:hint="eastAsia"/>
          <w:lang w:bidi="ar"/>
        </w:rPr>
        <w:t xml:space="preserve"> </w:t>
      </w:r>
      <w:r>
        <w:rPr>
          <w:lang w:bidi="ar"/>
        </w:rPr>
        <w:t>%</w:t>
      </w:r>
      <w:r>
        <w:rPr>
          <w:rFonts w:hint="eastAsia" w:ascii="宋体" w:hAnsi="宋体" w:cs="宋体"/>
          <w:lang w:bidi="ar"/>
        </w:rPr>
        <w:t>以上。</w:t>
      </w:r>
    </w:p>
    <w:p w14:paraId="395C6CE1">
      <w:pPr>
        <w:wordWrap w:val="0"/>
        <w:spacing w:line="360" w:lineRule="auto"/>
        <w:rPr>
          <w:rFonts w:ascii="宋体" w:hAnsi="宋体" w:cs="宋体"/>
          <w:lang w:bidi="ar"/>
        </w:rPr>
      </w:pPr>
      <w:r>
        <w:rPr>
          <w:rFonts w:hint="eastAsia" w:ascii="宋体" w:hAnsi="宋体" w:cs="宋体"/>
          <w:lang w:bidi="ar"/>
        </w:rPr>
        <w:t>常用化学吸收剂有氢氧化钠溶液、次氯酸钠溶液以及硫酸溶液，氢氧化钠溶液浓度</w:t>
      </w:r>
      <w:r>
        <w:rPr>
          <w:rFonts w:ascii="宋体" w:hAnsi="宋体" w:cs="宋体"/>
          <w:lang w:bidi="ar"/>
        </w:rPr>
        <w:t>1</w:t>
      </w:r>
      <w:r>
        <w:rPr>
          <w:rFonts w:hint="eastAsia"/>
          <w:lang w:bidi="ar"/>
        </w:rPr>
        <w:t xml:space="preserve"> </w:t>
      </w:r>
      <w:r>
        <w:rPr>
          <w:lang w:bidi="ar"/>
        </w:rPr>
        <w:t>%~</w:t>
      </w:r>
      <w:r>
        <w:rPr>
          <w:rFonts w:ascii="宋体" w:hAnsi="宋体" w:cs="宋体"/>
          <w:lang w:bidi="ar"/>
        </w:rPr>
        <w:t>10</w:t>
      </w:r>
      <w:r>
        <w:rPr>
          <w:rFonts w:hint="eastAsia"/>
          <w:lang w:bidi="ar"/>
        </w:rPr>
        <w:t xml:space="preserve"> </w:t>
      </w:r>
      <w:r>
        <w:rPr>
          <w:lang w:bidi="ar"/>
        </w:rPr>
        <w:t>%</w:t>
      </w:r>
      <w:r>
        <w:rPr>
          <w:rFonts w:hint="eastAsia" w:ascii="宋体" w:hAnsi="宋体" w:cs="宋体"/>
          <w:lang w:bidi="ar"/>
        </w:rPr>
        <w:t>，次氯酸钠溶液浓度</w:t>
      </w:r>
      <w:r>
        <w:rPr>
          <w:lang w:bidi="ar"/>
        </w:rPr>
        <w:t xml:space="preserve"> (</w:t>
      </w:r>
      <w:r>
        <w:rPr>
          <w:rFonts w:hint="eastAsia" w:ascii="宋体" w:hAnsi="宋体" w:cs="宋体"/>
          <w:lang w:bidi="ar"/>
        </w:rPr>
        <w:t>有效氯浓度</w:t>
      </w:r>
      <w:r>
        <w:rPr>
          <w:lang w:bidi="ar"/>
        </w:rPr>
        <w:t xml:space="preserve">) </w:t>
      </w:r>
      <w:r>
        <w:rPr>
          <w:rFonts w:hint="eastAsia" w:ascii="宋体" w:hAnsi="宋体" w:cs="宋体"/>
          <w:lang w:bidi="ar"/>
        </w:rPr>
        <w:t>约为</w:t>
      </w:r>
      <w:r>
        <w:rPr>
          <w:rFonts w:ascii="宋体" w:hAnsi="宋体" w:cs="宋体"/>
          <w:lang w:bidi="ar"/>
        </w:rPr>
        <w:t>500</w:t>
      </w:r>
      <w:r>
        <w:rPr>
          <w:lang w:bidi="ar"/>
        </w:rPr>
        <w:t xml:space="preserve"> ppm~</w:t>
      </w:r>
      <w:r>
        <w:rPr>
          <w:rFonts w:ascii="宋体" w:hAnsi="宋体" w:cs="宋体"/>
          <w:lang w:bidi="ar"/>
        </w:rPr>
        <w:t>2000</w:t>
      </w:r>
      <w:r>
        <w:rPr>
          <w:lang w:bidi="ar"/>
        </w:rPr>
        <w:t xml:space="preserve"> ppm</w:t>
      </w:r>
      <w:r>
        <w:rPr>
          <w:rFonts w:hint="eastAsia" w:ascii="宋体" w:hAnsi="宋体" w:cs="宋体"/>
          <w:lang w:bidi="ar"/>
        </w:rPr>
        <w:t>。应实时监测吸收液</w:t>
      </w:r>
      <w:r>
        <w:rPr>
          <w:lang w:bidi="ar"/>
        </w:rPr>
        <w:t>pH</w:t>
      </w:r>
      <w:r>
        <w:rPr>
          <w:rFonts w:hint="eastAsia" w:ascii="宋体" w:hAnsi="宋体" w:cs="宋体"/>
          <w:lang w:bidi="ar"/>
        </w:rPr>
        <w:t>值，次氯酸盐溶液</w:t>
      </w:r>
      <w:r>
        <w:rPr>
          <w:lang w:bidi="ar"/>
        </w:rPr>
        <w:t>pH</w:t>
      </w:r>
      <w:r>
        <w:rPr>
          <w:rFonts w:hint="eastAsia" w:ascii="宋体" w:hAnsi="宋体" w:cs="宋体"/>
          <w:lang w:bidi="ar"/>
        </w:rPr>
        <w:t>值大于</w:t>
      </w:r>
      <w:r>
        <w:rPr>
          <w:rFonts w:ascii="宋体" w:hAnsi="宋体" w:cs="宋体"/>
          <w:lang w:bidi="ar"/>
        </w:rPr>
        <w:t>8.0</w:t>
      </w:r>
      <w:r>
        <w:rPr>
          <w:rFonts w:hint="eastAsia" w:ascii="宋体" w:hAnsi="宋体" w:cs="宋体"/>
          <w:lang w:bidi="ar"/>
        </w:rPr>
        <w:t>时，建议更换喷淋液。</w:t>
      </w:r>
    </w:p>
    <w:p w14:paraId="1E0D77A2">
      <w:pPr>
        <w:wordWrap w:val="0"/>
        <w:spacing w:line="360" w:lineRule="auto"/>
        <w:rPr>
          <w:rFonts w:ascii="黑体" w:hAnsi="黑体" w:eastAsia="黑体" w:cs="黑体"/>
          <w:lang w:bidi="ar"/>
        </w:rPr>
      </w:pPr>
      <w:r>
        <w:rPr>
          <w:rFonts w:hint="eastAsia" w:ascii="宋体" w:hAnsi="宋体" w:cs="宋体"/>
        </w:rPr>
        <w:t>净化设施设备每年大检修一次，检查喷淋管、填充料的填塞情况，并对其进行清洗。</w:t>
      </w:r>
    </w:p>
    <w:p w14:paraId="7058EFA9">
      <w:pPr>
        <w:pStyle w:val="14"/>
        <w:numPr>
          <w:ilvl w:val="0"/>
          <w:numId w:val="0"/>
        </w:numPr>
        <w:spacing w:before="156" w:after="156"/>
        <w:jc w:val="both"/>
        <w:outlineLvl w:val="1"/>
      </w:pPr>
      <w:r>
        <w:rPr>
          <w:rFonts w:hint="eastAsia"/>
          <w:lang w:eastAsia="zh-CN"/>
        </w:rPr>
        <w:t>（</w:t>
      </w:r>
      <w:r>
        <w:rPr>
          <w:rFonts w:hint="eastAsia"/>
          <w:lang w:val="en-US" w:eastAsia="zh-CN"/>
        </w:rPr>
        <w:t>3</w:t>
      </w:r>
      <w:r>
        <w:rPr>
          <w:rFonts w:hint="eastAsia"/>
          <w:lang w:eastAsia="zh-CN"/>
        </w:rPr>
        <w:t>）</w:t>
      </w:r>
      <w:r>
        <w:rPr>
          <w:rFonts w:hint="eastAsia"/>
        </w:rPr>
        <w:t>生物过滤+高级氧化净化</w:t>
      </w:r>
    </w:p>
    <w:p w14:paraId="3AB9B6D1">
      <w:pPr>
        <w:spacing w:line="360" w:lineRule="auto"/>
        <w:rPr>
          <w:lang w:bidi="ar"/>
        </w:rPr>
      </w:pPr>
      <w:r>
        <w:rPr>
          <w:rFonts w:hint="eastAsia" w:ascii="宋体" w:hAnsi="宋体" w:cs="宋体"/>
          <w:lang w:bidi="ar"/>
        </w:rPr>
        <w:t>为满足更高的地方</w:t>
      </w:r>
      <w:r>
        <w:rPr>
          <w:rFonts w:hint="eastAsia" w:ascii="宋体" w:hAnsi="宋体" w:cs="宋体"/>
        </w:rPr>
        <w:t>排放</w:t>
      </w:r>
      <w:r>
        <w:rPr>
          <w:rFonts w:hint="eastAsia" w:ascii="宋体" w:hAnsi="宋体" w:cs="宋体"/>
          <w:lang w:bidi="ar"/>
        </w:rPr>
        <w:t>要求，粪槽通风排放的高浓度臭气可采用生物过滤＋高级氧化或化学氧化的组合除臭技术</w:t>
      </w:r>
      <w:r>
        <w:rPr>
          <w:rFonts w:hint="eastAsia" w:ascii="宋体" w:hAnsi="宋体" w:cs="宋体"/>
        </w:rPr>
        <w:t>。</w:t>
      </w:r>
    </w:p>
    <w:p w14:paraId="10029FB0">
      <w:pPr>
        <w:spacing w:line="360" w:lineRule="auto"/>
        <w:rPr>
          <w:rFonts w:ascii="黑体" w:hAnsi="黑体" w:cs="黑体"/>
          <w:lang w:bidi="ar"/>
        </w:rPr>
      </w:pPr>
      <w:r>
        <w:rPr>
          <w:rFonts w:hint="eastAsia" w:ascii="宋体" w:hAnsi="宋体" w:cs="宋体"/>
          <w:lang w:bidi="ar"/>
        </w:rPr>
        <w:t>高级氧化一般</w:t>
      </w:r>
      <w:r>
        <w:rPr>
          <w:rFonts w:hint="eastAsia" w:ascii="宋体" w:hAnsi="宋体" w:cs="宋体"/>
        </w:rPr>
        <w:t>采用</w:t>
      </w:r>
      <w:r>
        <w:rPr>
          <w:rFonts w:hint="eastAsia" w:ascii="宋体" w:hAnsi="宋体" w:cs="宋体"/>
          <w:lang w:bidi="ar"/>
        </w:rPr>
        <w:t>等离子体、紫外光解等产生的高能粒子，也可以通入臭氧等化学氧化剂，实现对臭气分子氧化分解。</w:t>
      </w:r>
    </w:p>
    <w:p w14:paraId="35E37908">
      <w:pPr>
        <w:spacing w:line="360" w:lineRule="auto"/>
        <w:rPr>
          <w:rFonts w:ascii="宋体" w:hAnsi="宋体" w:cs="宋体"/>
          <w:lang w:bidi="ar"/>
        </w:rPr>
      </w:pPr>
      <w:r>
        <w:rPr>
          <w:rFonts w:hint="eastAsia" w:ascii="宋体" w:hAnsi="宋体" w:cs="宋体"/>
          <w:lang w:bidi="ar"/>
        </w:rPr>
        <w:t>高级氧化或化学氧化</w:t>
      </w:r>
      <w:r>
        <w:rPr>
          <w:rFonts w:hint="eastAsia" w:ascii="宋体" w:hAnsi="宋体" w:cs="宋体"/>
        </w:rPr>
        <w:t>处理单元</w:t>
      </w:r>
      <w:r>
        <w:rPr>
          <w:rFonts w:hint="eastAsia" w:ascii="宋体" w:hAnsi="宋体" w:cs="宋体"/>
          <w:lang w:bidi="ar"/>
        </w:rPr>
        <w:t>一般安装在生物过滤之后，是对生物过滤处理之后的废气深度净化，满足更加严格的臭气排放要求。</w:t>
      </w:r>
    </w:p>
    <w:p w14:paraId="167B4A7A">
      <w:pPr>
        <w:pStyle w:val="3"/>
        <w:bidi w:val="0"/>
        <w:spacing w:line="360" w:lineRule="auto"/>
        <w:ind w:firstLine="420" w:firstLineChars="200"/>
        <w:rPr>
          <w:rFonts w:hint="eastAsia" w:ascii="宋体" w:hAnsi="宋体" w:eastAsia="宋体" w:cs="宋体"/>
          <w:lang w:bidi="ar"/>
        </w:rPr>
      </w:pPr>
      <w:r>
        <w:rPr>
          <w:rFonts w:hint="eastAsia" w:ascii="宋体" w:hAnsi="宋体" w:eastAsia="宋体" w:cs="宋体"/>
          <w:lang w:bidi="ar"/>
        </w:rPr>
        <w:t>生物过滤、氧化等产生的外排液，要进行收集处理，并定期对除臭系统进行检测，保证除臭效果满足需求。</w:t>
      </w:r>
    </w:p>
    <w:p w14:paraId="5E9E11B3">
      <w:pPr>
        <w:pStyle w:val="3"/>
        <w:bidi w:val="0"/>
        <w:rPr>
          <w:rFonts w:hint="default"/>
          <w:lang w:val="en-US" w:eastAsia="zh-CN"/>
        </w:rPr>
      </w:pPr>
      <w:r>
        <w:rPr>
          <w:rFonts w:hint="eastAsia"/>
          <w:lang w:val="en-US" w:eastAsia="zh-CN"/>
        </w:rPr>
        <w:t>6.</w:t>
      </w:r>
      <w:r>
        <w:rPr>
          <w:rFonts w:hint="default"/>
          <w:lang w:val="en-US" w:eastAsia="zh-CN"/>
        </w:rPr>
        <w:t>8 臭气监测与排放</w:t>
      </w:r>
    </w:p>
    <w:p w14:paraId="63E8D628">
      <w:pPr>
        <w:pStyle w:val="4"/>
        <w:bidi w:val="0"/>
        <w:rPr>
          <w:rFonts w:hint="default"/>
          <w:lang w:val="en-US" w:eastAsia="zh-CN"/>
        </w:rPr>
      </w:pPr>
      <w:r>
        <w:rPr>
          <w:rFonts w:hint="eastAsia"/>
          <w:lang w:val="en-US" w:eastAsia="zh-CN"/>
        </w:rPr>
        <w:t>6.</w:t>
      </w:r>
      <w:r>
        <w:rPr>
          <w:rFonts w:hint="default"/>
          <w:lang w:val="en-US" w:eastAsia="zh-CN"/>
        </w:rPr>
        <w:t>8.1 臭气监测采样</w:t>
      </w:r>
    </w:p>
    <w:p w14:paraId="05E977D3">
      <w:pPr>
        <w:spacing w:line="360" w:lineRule="auto"/>
        <w:ind w:left="0" w:leftChars="0" w:firstLine="420" w:firstLineChars="200"/>
        <w:jc w:val="left"/>
        <w:rPr>
          <w:rFonts w:hint="default"/>
          <w:lang w:val="en-US" w:eastAsia="zh-CN"/>
        </w:rPr>
      </w:pPr>
      <w:r>
        <w:rPr>
          <w:rFonts w:hint="default"/>
          <w:lang w:val="en-US" w:eastAsia="zh-CN"/>
        </w:rPr>
        <w:t>规模化生猪养殖场排放源的臭气监测采样点和采样频率应按照HJ 905、HJ/T 55的要求执行。</w:t>
      </w:r>
    </w:p>
    <w:p w14:paraId="3E9DCA9A">
      <w:pPr>
        <w:pStyle w:val="4"/>
        <w:bidi w:val="0"/>
        <w:rPr>
          <w:rFonts w:hint="default"/>
          <w:lang w:val="en-US" w:eastAsia="zh-CN"/>
        </w:rPr>
      </w:pPr>
      <w:r>
        <w:rPr>
          <w:rFonts w:hint="eastAsia"/>
          <w:lang w:val="en-US" w:eastAsia="zh-CN"/>
        </w:rPr>
        <w:t>6.</w:t>
      </w:r>
      <w:r>
        <w:rPr>
          <w:rFonts w:hint="default"/>
          <w:lang w:val="en-US" w:eastAsia="zh-CN"/>
        </w:rPr>
        <w:t>8.2 臭气测定方法</w:t>
      </w:r>
    </w:p>
    <w:p w14:paraId="199FBBE9">
      <w:pPr>
        <w:spacing w:line="360" w:lineRule="auto"/>
        <w:ind w:left="0" w:leftChars="0" w:firstLine="420" w:firstLineChars="200"/>
        <w:jc w:val="left"/>
        <w:rPr>
          <w:rFonts w:hint="default"/>
          <w:lang w:val="en-US" w:eastAsia="zh-CN"/>
        </w:rPr>
      </w:pPr>
      <w:r>
        <w:rPr>
          <w:rFonts w:hint="default"/>
          <w:lang w:val="en-US" w:eastAsia="zh-CN"/>
        </w:rPr>
        <w:t>规模化生猪养殖场排放各种臭气含量和臭气浓度测定方法应执行HJ 1262有关要求。</w:t>
      </w:r>
    </w:p>
    <w:p w14:paraId="40A42687">
      <w:pPr>
        <w:pStyle w:val="4"/>
        <w:bidi w:val="0"/>
        <w:rPr>
          <w:rFonts w:hint="default"/>
          <w:lang w:val="en-US" w:eastAsia="zh-CN"/>
        </w:rPr>
      </w:pPr>
      <w:r>
        <w:rPr>
          <w:rFonts w:hint="eastAsia"/>
          <w:lang w:val="en-US" w:eastAsia="zh-CN"/>
        </w:rPr>
        <w:t>6.</w:t>
      </w:r>
      <w:r>
        <w:rPr>
          <w:rFonts w:hint="default"/>
          <w:lang w:val="en-US" w:eastAsia="zh-CN"/>
        </w:rPr>
        <w:t>8.3 臭气排放限值</w:t>
      </w:r>
    </w:p>
    <w:p w14:paraId="1B3E9845">
      <w:pPr>
        <w:spacing w:line="360" w:lineRule="auto"/>
        <w:ind w:left="0" w:leftChars="0" w:firstLine="420" w:firstLineChars="200"/>
        <w:jc w:val="left"/>
        <w:rPr>
          <w:rFonts w:hint="default"/>
          <w:lang w:val="en-US" w:eastAsia="zh-CN"/>
        </w:rPr>
      </w:pPr>
      <w:r>
        <w:rPr>
          <w:rFonts w:hint="default"/>
          <w:lang w:val="en-US" w:eastAsia="zh-CN"/>
        </w:rPr>
        <w:t>规模化生猪养殖场经处理末端处理有组织排放的臭气，应满足GB 14554的恶臭污染物排放标准值。规模化生猪养殖场无组织排放的臭气，应满足GB 18596的集约化畜禽养殖业恶臭污染物排放标准。</w:t>
      </w:r>
    </w:p>
    <w:p w14:paraId="2F0D2EB3">
      <w:pPr>
        <w:pStyle w:val="3"/>
        <w:bidi w:val="0"/>
        <w:rPr>
          <w:rFonts w:hint="default"/>
          <w:lang w:val="en-US" w:eastAsia="zh-CN"/>
        </w:rPr>
      </w:pPr>
      <w:r>
        <w:rPr>
          <w:rFonts w:hint="eastAsia"/>
          <w:lang w:val="en-US" w:eastAsia="zh-CN"/>
        </w:rPr>
        <w:t>6.</w:t>
      </w:r>
      <w:r>
        <w:rPr>
          <w:rFonts w:hint="default"/>
          <w:lang w:val="en-US" w:eastAsia="zh-CN"/>
        </w:rPr>
        <w:t>9 设备运行、管理及维护</w:t>
      </w:r>
    </w:p>
    <w:p w14:paraId="6E6A00CE">
      <w:pPr>
        <w:spacing w:line="360" w:lineRule="auto"/>
        <w:ind w:firstLine="420" w:firstLineChars="200"/>
        <w:rPr>
          <w:rFonts w:ascii="宋体" w:hAnsi="宋体" w:cs="宋体"/>
          <w:lang w:bidi="ar"/>
        </w:rPr>
      </w:pPr>
      <w:bookmarkStart w:id="67" w:name="_Toc195199575"/>
      <w:r>
        <w:rPr>
          <w:rFonts w:hint="eastAsia" w:ascii="宋体" w:hAnsi="宋体" w:cs="宋体"/>
        </w:rPr>
        <w:t>建议补充台账记录要求，强调建立运行维护台账制度，记录设备运行参数、检修情况、药剂更换、监测数据等，这对于规范管理和异味溯源非常重要。</w:t>
      </w:r>
    </w:p>
    <w:p w14:paraId="2D0FE729">
      <w:pPr>
        <w:pStyle w:val="2"/>
        <w:bidi w:val="0"/>
        <w:jc w:val="center"/>
        <w:rPr>
          <w:rFonts w:hint="eastAsia"/>
          <w:lang w:val="en-US" w:eastAsia="zh-CN"/>
        </w:rPr>
      </w:pPr>
    </w:p>
    <w:p w14:paraId="05DCDC69">
      <w:pPr>
        <w:pStyle w:val="2"/>
        <w:bidi w:val="0"/>
        <w:jc w:val="center"/>
        <w:rPr>
          <w:rFonts w:hint="eastAsia"/>
          <w:lang w:val="en-US" w:eastAsia="zh-CN"/>
        </w:rPr>
      </w:pPr>
    </w:p>
    <w:bookmarkEnd w:id="67"/>
    <w:p w14:paraId="31BBC40F">
      <w:pPr>
        <w:pStyle w:val="2"/>
        <w:bidi w:val="0"/>
        <w:jc w:val="center"/>
        <w:rPr>
          <w:rFonts w:hint="eastAsia"/>
          <w:lang w:val="en-US" w:eastAsia="zh-CN"/>
        </w:rPr>
      </w:pPr>
    </w:p>
    <w:p w14:paraId="16F85AD8">
      <w:pPr>
        <w:rPr>
          <w:rFonts w:hint="eastAsia"/>
          <w:lang w:val="en-US" w:eastAsia="zh-CN"/>
        </w:rPr>
      </w:pPr>
    </w:p>
    <w:p w14:paraId="63D9EBEF">
      <w:pPr>
        <w:rPr>
          <w:rFonts w:hint="eastAsia"/>
          <w:lang w:val="en-US" w:eastAsia="zh-CN"/>
        </w:rPr>
      </w:pPr>
    </w:p>
    <w:p w14:paraId="362E9F1F">
      <w:pPr>
        <w:rPr>
          <w:rFonts w:hint="eastAsia"/>
          <w:lang w:val="en-US" w:eastAsia="zh-CN"/>
        </w:rPr>
      </w:pPr>
    </w:p>
    <w:p w14:paraId="4FC065E3">
      <w:pPr>
        <w:rPr>
          <w:rFonts w:hint="eastAsia"/>
          <w:lang w:val="en-US" w:eastAsia="zh-CN"/>
        </w:rPr>
      </w:pPr>
    </w:p>
    <w:p w14:paraId="1C36F9E0">
      <w:pPr>
        <w:rPr>
          <w:rFonts w:hint="eastAsia"/>
          <w:lang w:val="en-US" w:eastAsia="zh-CN"/>
        </w:rPr>
      </w:pPr>
    </w:p>
    <w:p w14:paraId="5281C139">
      <w:pPr>
        <w:rPr>
          <w:rFonts w:hint="eastAsia"/>
          <w:lang w:val="en-US" w:eastAsia="zh-CN"/>
        </w:rPr>
      </w:pPr>
    </w:p>
    <w:p w14:paraId="34397857">
      <w:pPr>
        <w:rPr>
          <w:rFonts w:hint="eastAsia"/>
          <w:lang w:val="en-US" w:eastAsia="zh-CN"/>
        </w:rPr>
      </w:pPr>
    </w:p>
    <w:p w14:paraId="747356C8">
      <w:pPr>
        <w:rPr>
          <w:rFonts w:hint="eastAsia"/>
          <w:lang w:val="en-US" w:eastAsia="zh-CN"/>
        </w:rPr>
      </w:pPr>
    </w:p>
    <w:p w14:paraId="7E0C0A65">
      <w:pPr>
        <w:pStyle w:val="16"/>
        <w:spacing w:before="600" w:beforeLines="0" w:afterLines="0"/>
        <w:rPr>
          <w:rFonts w:ascii="Times New Roman"/>
        </w:rPr>
      </w:pPr>
      <w:bookmarkStart w:id="68" w:name="_Toc14464"/>
      <w:bookmarkEnd w:id="68"/>
      <w:bookmarkStart w:id="69" w:name="BookMark8"/>
    </w:p>
    <w:p w14:paraId="191D6C17">
      <w:pPr>
        <w:jc w:val="center"/>
      </w:pPr>
      <w:bookmarkStart w:id="70" w:name="_Toc7699"/>
      <w:bookmarkStart w:id="71" w:name="_Toc1289"/>
      <w:bookmarkStart w:id="72" w:name="_Toc27825"/>
      <w:bookmarkStart w:id="73" w:name="_Toc21032"/>
      <w:bookmarkStart w:id="74" w:name="_Toc694"/>
      <w:bookmarkStart w:id="75" w:name="_Toc18546"/>
      <w:bookmarkStart w:id="76" w:name="_Toc20722"/>
      <w:bookmarkStart w:id="77" w:name="_Toc30667"/>
      <w:bookmarkStart w:id="78" w:name="_Toc23266"/>
      <w:bookmarkStart w:id="79" w:name="_Toc21165"/>
      <w:bookmarkStart w:id="80" w:name="_Toc29188"/>
      <w:bookmarkStart w:id="81" w:name="_Toc14658"/>
      <w:bookmarkStart w:id="82" w:name="_Toc392"/>
      <w:r>
        <w:rPr>
          <w:rFonts w:hint="eastAsia" w:ascii="宋体" w:hAnsi="宋体" w:cs="宋体"/>
        </w:rPr>
        <w:t>（</w:t>
      </w:r>
      <w:r>
        <w:rPr>
          <w:rFonts w:hint="eastAsia" w:eastAsia="黑体"/>
        </w:rPr>
        <w:t>资料</w:t>
      </w:r>
      <w:r>
        <w:rPr>
          <w:rFonts w:eastAsia="黑体"/>
        </w:rPr>
        <w:t>性</w:t>
      </w:r>
      <w:r>
        <w:rPr>
          <w:rFonts w:hint="eastAsia" w:ascii="宋体" w:hAnsi="宋体" w:cs="宋体"/>
        </w:rPr>
        <w:t>）</w:t>
      </w:r>
      <w:bookmarkEnd w:id="70"/>
      <w:bookmarkEnd w:id="71"/>
      <w:bookmarkEnd w:id="72"/>
      <w:bookmarkEnd w:id="73"/>
      <w:bookmarkEnd w:id="74"/>
      <w:bookmarkEnd w:id="75"/>
      <w:bookmarkEnd w:id="76"/>
      <w:bookmarkEnd w:id="77"/>
      <w:bookmarkEnd w:id="78"/>
      <w:bookmarkEnd w:id="79"/>
      <w:bookmarkEnd w:id="80"/>
      <w:bookmarkEnd w:id="81"/>
      <w:bookmarkEnd w:id="82"/>
    </w:p>
    <w:p w14:paraId="3E3B9A73">
      <w:r>
        <w:rPr>
          <w:rFonts w:hint="eastAsia" w:eastAsia="黑体"/>
        </w:rPr>
        <w:t>规模化生猪养殖场类型</w:t>
      </w:r>
    </w:p>
    <w:bookmarkEnd w:id="69"/>
    <w:p w14:paraId="1B49E0A5">
      <w:pPr>
        <w:pStyle w:val="5"/>
      </w:pPr>
      <w:r>
        <w:t>按养殖规模将规模化生猪养殖场分为三种类型：</w:t>
      </w:r>
    </w:p>
    <w:p w14:paraId="74064709">
      <w:pPr>
        <w:pStyle w:val="5"/>
      </w:pPr>
      <w:r>
        <w:t>a）小型规模养猪场：</w:t>
      </w:r>
      <w:r>
        <w:rPr>
          <w:rFonts w:ascii="宋体" w:hAnsi="宋体" w:cs="宋体"/>
        </w:rPr>
        <w:t>500</w:t>
      </w:r>
      <w:r>
        <w:t>头</w:t>
      </w:r>
      <w:r>
        <w:rPr>
          <w:rFonts w:hint="eastAsia"/>
        </w:rPr>
        <w:t>≤</w:t>
      </w:r>
      <w:r>
        <w:t>生猪年出栏量＜</w:t>
      </w:r>
      <w:r>
        <w:rPr>
          <w:rFonts w:ascii="宋体" w:hAnsi="宋体" w:cs="宋体"/>
        </w:rPr>
        <w:t>5000</w:t>
      </w:r>
      <w:r>
        <w:t>头；</w:t>
      </w:r>
    </w:p>
    <w:p w14:paraId="02ECF0DC">
      <w:pPr>
        <w:pStyle w:val="5"/>
      </w:pPr>
      <w:r>
        <w:rPr>
          <w:rFonts w:hint="eastAsia"/>
        </w:rPr>
        <w:t>b</w:t>
      </w:r>
      <w:r>
        <w:t>）中型规模化生猪养殖场：</w:t>
      </w:r>
      <w:r>
        <w:rPr>
          <w:rFonts w:ascii="宋体" w:hAnsi="宋体" w:cs="宋体"/>
        </w:rPr>
        <w:t>5000</w:t>
      </w:r>
      <w:r>
        <w:t>头</w:t>
      </w:r>
      <w:r>
        <w:rPr>
          <w:rFonts w:hint="eastAsia"/>
        </w:rPr>
        <w:t>≤</w:t>
      </w:r>
      <w:r>
        <w:t>生猪年出栏量＜</w:t>
      </w:r>
      <w:r>
        <w:rPr>
          <w:rFonts w:ascii="宋体" w:hAnsi="宋体" w:cs="宋体"/>
        </w:rPr>
        <w:t>10000</w:t>
      </w:r>
      <w:r>
        <w:t>头；</w:t>
      </w:r>
    </w:p>
    <w:p w14:paraId="402FBE47">
      <w:pPr>
        <w:pStyle w:val="5"/>
      </w:pPr>
      <w:r>
        <w:rPr>
          <w:rFonts w:hint="eastAsia"/>
        </w:rPr>
        <w:t>c</w:t>
      </w:r>
      <w:r>
        <w:t>）大型生猪养殖场：</w:t>
      </w:r>
      <w:r>
        <w:rPr>
          <w:rFonts w:ascii="宋体" w:hAnsi="宋体" w:cs="宋体"/>
        </w:rPr>
        <w:t>10000</w:t>
      </w:r>
      <w:r>
        <w:t>头</w:t>
      </w:r>
      <w:r>
        <w:rPr>
          <w:rFonts w:hint="eastAsia"/>
        </w:rPr>
        <w:t>≤</w:t>
      </w:r>
      <w:r>
        <w:t>生猪年出栏量。</w:t>
      </w:r>
    </w:p>
    <w:p w14:paraId="7ACFDD2D">
      <w:pPr>
        <w:keepNext w:val="0"/>
        <w:keepLines w:val="0"/>
        <w:pageBreakBefore w:val="0"/>
        <w:widowControl w:val="0"/>
        <w:kinsoku/>
        <w:wordWrap/>
        <w:overflowPunct/>
        <w:topLinePunct w:val="0"/>
        <w:autoSpaceDE/>
        <w:autoSpaceDN/>
        <w:bidi w:val="0"/>
        <w:adjustRightInd w:val="0"/>
        <w:snapToGrid/>
        <w:spacing w:after="120" w:line="240" w:lineRule="auto"/>
        <w:ind w:left="0" w:leftChars="0" w:firstLine="0" w:firstLineChars="0"/>
        <w:jc w:val="left"/>
        <w:textAlignment w:val="auto"/>
        <w:rPr>
          <w:rFonts w:ascii="Calibri" w:hAnsi="Calibri" w:eastAsia="宋体" w:cs="Times New Roman"/>
          <w:kern w:val="2"/>
          <w:sz w:val="21"/>
          <w:szCs w:val="21"/>
          <w:lang w:val="en-US" w:eastAsia="zh-CN" w:bidi="ar-SA"/>
        </w:rPr>
      </w:pPr>
    </w:p>
    <w:p w14:paraId="2AB2FFB0">
      <w:pPr>
        <w:spacing w:line="360" w:lineRule="auto"/>
        <w:ind w:left="0" w:leftChars="0" w:firstLine="0" w:firstLineChars="0"/>
        <w:jc w:val="left"/>
        <w:rPr>
          <w:rFonts w:hint="default"/>
          <w:lang w:val="en-US" w:eastAsia="zh-CN"/>
        </w:rPr>
      </w:pPr>
    </w:p>
    <w:p w14:paraId="18B7C01A">
      <w:pPr>
        <w:ind w:left="0" w:leftChars="0" w:firstLine="0" w:firstLineChars="0"/>
        <w:jc w:val="left"/>
        <w:rPr>
          <w:rFonts w:hint="eastAsia" w:ascii="仿宋" w:hAnsi="仿宋" w:eastAsia="仿宋" w:cs="仿宋"/>
          <w:b/>
          <w:bCs/>
          <w:sz w:val="32"/>
          <w:szCs w:val="32"/>
        </w:rPr>
      </w:pPr>
    </w:p>
    <w:p w14:paraId="58CC7D4F">
      <w:pPr>
        <w:ind w:left="0" w:leftChars="0" w:firstLine="0" w:firstLineChars="0"/>
        <w:jc w:val="left"/>
        <w:rPr>
          <w:rFonts w:hint="eastAsia" w:ascii="仿宋" w:hAnsi="仿宋" w:eastAsia="仿宋" w:cs="仿宋"/>
          <w:b/>
          <w:bCs/>
          <w:sz w:val="32"/>
          <w:szCs w:val="32"/>
        </w:rPr>
      </w:pPr>
    </w:p>
    <w:p w14:paraId="5013F4BA">
      <w:pPr>
        <w:ind w:left="0" w:leftChars="0" w:firstLine="0" w:firstLineChars="0"/>
        <w:jc w:val="left"/>
        <w:rPr>
          <w:rFonts w:hint="eastAsia" w:ascii="仿宋" w:hAnsi="仿宋" w:eastAsia="仿宋" w:cs="仿宋"/>
          <w:b/>
          <w:bCs/>
          <w:sz w:val="32"/>
          <w:szCs w:val="32"/>
        </w:rPr>
      </w:pPr>
    </w:p>
    <w:p w14:paraId="1AAC94EA">
      <w:pPr>
        <w:ind w:left="0" w:leftChars="0" w:firstLine="0" w:firstLineChars="0"/>
        <w:jc w:val="left"/>
        <w:rPr>
          <w:rFonts w:hint="eastAsia" w:ascii="仿宋" w:hAnsi="仿宋" w:eastAsia="仿宋" w:cs="仿宋"/>
          <w:b/>
          <w:bCs/>
          <w:sz w:val="32"/>
          <w:szCs w:val="32"/>
        </w:rPr>
      </w:pPr>
    </w:p>
    <w:p w14:paraId="10DD70A5">
      <w:pPr>
        <w:ind w:left="0" w:leftChars="0" w:firstLine="0" w:firstLineChars="0"/>
        <w:jc w:val="left"/>
        <w:rPr>
          <w:rFonts w:hint="eastAsia" w:ascii="仿宋" w:hAnsi="仿宋" w:eastAsia="仿宋" w:cs="仿宋"/>
          <w:b/>
          <w:bCs/>
          <w:sz w:val="32"/>
          <w:szCs w:val="32"/>
        </w:rPr>
      </w:pPr>
    </w:p>
    <w:p w14:paraId="09DEA407">
      <w:pPr>
        <w:ind w:left="0" w:leftChars="0" w:firstLine="0" w:firstLineChars="0"/>
        <w:jc w:val="left"/>
        <w:rPr>
          <w:rFonts w:hint="eastAsia" w:ascii="仿宋" w:hAnsi="仿宋" w:eastAsia="仿宋" w:cs="仿宋"/>
          <w:b/>
          <w:bCs/>
          <w:sz w:val="32"/>
          <w:szCs w:val="32"/>
        </w:rPr>
      </w:pPr>
    </w:p>
    <w:p w14:paraId="4082FA8D">
      <w:pPr>
        <w:ind w:left="0" w:leftChars="0" w:firstLine="0" w:firstLineChars="0"/>
        <w:jc w:val="left"/>
        <w:rPr>
          <w:rFonts w:hint="eastAsia" w:ascii="仿宋" w:hAnsi="仿宋" w:eastAsia="仿宋" w:cs="仿宋"/>
          <w:b/>
          <w:bCs/>
          <w:sz w:val="32"/>
          <w:szCs w:val="32"/>
        </w:rPr>
      </w:pPr>
    </w:p>
    <w:p w14:paraId="2E6C7C1D">
      <w:pPr>
        <w:ind w:left="0" w:leftChars="0" w:firstLine="0" w:firstLineChars="0"/>
        <w:jc w:val="left"/>
        <w:rPr>
          <w:rFonts w:hint="eastAsia" w:ascii="仿宋" w:hAnsi="仿宋" w:eastAsia="仿宋" w:cs="仿宋"/>
          <w:b/>
          <w:bCs/>
          <w:sz w:val="32"/>
          <w:szCs w:val="32"/>
        </w:rPr>
      </w:pPr>
    </w:p>
    <w:p w14:paraId="069DA5D6">
      <w:pPr>
        <w:ind w:left="0" w:leftChars="0" w:firstLine="0" w:firstLineChars="0"/>
        <w:jc w:val="left"/>
        <w:rPr>
          <w:rFonts w:hint="eastAsia" w:ascii="仿宋" w:hAnsi="仿宋" w:eastAsia="仿宋" w:cs="仿宋"/>
          <w:b/>
          <w:bCs/>
          <w:sz w:val="32"/>
          <w:szCs w:val="32"/>
        </w:rPr>
      </w:pPr>
    </w:p>
    <w:p w14:paraId="76F87152">
      <w:pPr>
        <w:ind w:left="0" w:leftChars="0" w:firstLine="0" w:firstLineChars="0"/>
        <w:jc w:val="left"/>
        <w:rPr>
          <w:rFonts w:hint="eastAsia" w:ascii="仿宋" w:hAnsi="仿宋" w:eastAsia="仿宋" w:cs="仿宋"/>
          <w:b/>
          <w:bCs/>
          <w:sz w:val="32"/>
          <w:szCs w:val="32"/>
        </w:rPr>
      </w:pPr>
    </w:p>
    <w:p w14:paraId="78E785A5">
      <w:pPr>
        <w:ind w:left="0" w:leftChars="0" w:firstLine="0" w:firstLineChars="0"/>
        <w:jc w:val="left"/>
        <w:rPr>
          <w:rFonts w:hint="eastAsia" w:ascii="仿宋" w:hAnsi="仿宋" w:eastAsia="仿宋" w:cs="仿宋"/>
          <w:b/>
          <w:bCs/>
          <w:sz w:val="32"/>
          <w:szCs w:val="32"/>
        </w:rPr>
      </w:pPr>
    </w:p>
    <w:p w14:paraId="44C5501C">
      <w:pPr>
        <w:ind w:left="0" w:leftChars="0" w:firstLine="0" w:firstLineChars="0"/>
        <w:jc w:val="left"/>
        <w:rPr>
          <w:rFonts w:hint="eastAsia" w:ascii="仿宋" w:hAnsi="仿宋" w:eastAsia="仿宋" w:cs="仿宋"/>
          <w:b/>
          <w:bCs/>
          <w:sz w:val="32"/>
          <w:szCs w:val="32"/>
        </w:rPr>
      </w:pPr>
    </w:p>
    <w:p w14:paraId="158A16A3">
      <w:pPr>
        <w:ind w:left="0" w:leftChars="0" w:firstLine="0" w:firstLineChars="0"/>
        <w:jc w:val="left"/>
        <w:rPr>
          <w:rFonts w:hint="eastAsia" w:ascii="仿宋" w:hAnsi="仿宋" w:eastAsia="仿宋" w:cs="仿宋"/>
          <w:b/>
          <w:bCs/>
          <w:sz w:val="32"/>
          <w:szCs w:val="32"/>
        </w:rPr>
      </w:pPr>
    </w:p>
    <w:p w14:paraId="47F5317D">
      <w:pPr>
        <w:ind w:left="0" w:leftChars="0" w:firstLine="0" w:firstLineChars="0"/>
        <w:jc w:val="left"/>
        <w:rPr>
          <w:rFonts w:hint="eastAsia" w:ascii="仿宋" w:hAnsi="仿宋" w:eastAsia="仿宋" w:cs="仿宋"/>
          <w:b/>
          <w:bCs/>
          <w:sz w:val="32"/>
          <w:szCs w:val="32"/>
        </w:rPr>
      </w:pPr>
    </w:p>
    <w:p w14:paraId="228C971A">
      <w:pPr>
        <w:pStyle w:val="2"/>
        <w:bidi w:val="0"/>
        <w:jc w:val="both"/>
        <w:rPr>
          <w:rFonts w:hint="eastAsia"/>
          <w:lang w:val="en-US" w:eastAsia="zh-CN"/>
        </w:rPr>
      </w:pPr>
      <w:bookmarkStart w:id="83" w:name="_Toc195199578"/>
    </w:p>
    <w:p w14:paraId="3C7DB8EB">
      <w:pPr>
        <w:rPr>
          <w:rFonts w:hint="eastAsia"/>
          <w:lang w:val="en-US" w:eastAsia="zh-CN"/>
        </w:rPr>
      </w:pPr>
    </w:p>
    <w:bookmarkEnd w:id="83"/>
    <w:p w14:paraId="67EC0379">
      <w:pPr>
        <w:pStyle w:val="16"/>
        <w:spacing w:before="850" w:beforeLines="0" w:afterLines="0"/>
        <w:rPr>
          <w:rFonts w:ascii="Times New Roman"/>
        </w:rPr>
      </w:pPr>
      <w:bookmarkStart w:id="84" w:name="_Toc16842"/>
      <w:bookmarkEnd w:id="84"/>
    </w:p>
    <w:p w14:paraId="2DEEF11B">
      <w:pPr>
        <w:jc w:val="center"/>
        <w:rPr>
          <w:rFonts w:eastAsiaTheme="minorEastAsia"/>
        </w:rPr>
      </w:pPr>
      <w:bookmarkStart w:id="85" w:name="_Toc16569"/>
      <w:bookmarkStart w:id="86" w:name="_Toc6029"/>
      <w:bookmarkStart w:id="87" w:name="_Toc3523"/>
      <w:bookmarkStart w:id="88" w:name="_Toc11084"/>
      <w:r>
        <w:rPr>
          <w:rFonts w:hint="eastAsia" w:ascii="宋体" w:hAnsi="宋体" w:cs="宋体"/>
        </w:rPr>
        <w:t>（</w:t>
      </w:r>
      <w:r>
        <w:rPr>
          <w:rFonts w:hint="eastAsia" w:eastAsia="黑体"/>
        </w:rPr>
        <w:t>规范</w:t>
      </w:r>
      <w:r>
        <w:rPr>
          <w:rFonts w:eastAsia="黑体"/>
        </w:rPr>
        <w:t>性</w:t>
      </w:r>
      <w:r>
        <w:rPr>
          <w:rFonts w:hint="eastAsia" w:ascii="宋体" w:hAnsi="宋体" w:cs="宋体"/>
        </w:rPr>
        <w:t>）</w:t>
      </w:r>
      <w:bookmarkEnd w:id="85"/>
      <w:bookmarkEnd w:id="86"/>
      <w:bookmarkEnd w:id="87"/>
      <w:bookmarkEnd w:id="88"/>
    </w:p>
    <w:p w14:paraId="7732BF56">
      <w:pPr>
        <w:rPr>
          <w:rFonts w:eastAsia="黑体"/>
        </w:rPr>
      </w:pPr>
      <w:r>
        <w:rPr>
          <w:rFonts w:hint="eastAsia" w:eastAsia="黑体"/>
        </w:rPr>
        <w:t>猪舍温度、湿度、通风量和风速</w:t>
      </w:r>
    </w:p>
    <w:p w14:paraId="7F54BE06">
      <w:pPr>
        <w:pStyle w:val="5"/>
      </w:pPr>
      <w:r>
        <w:rPr>
          <w:rFonts w:hint="eastAsia"/>
        </w:rPr>
        <w:t>猪舍温度、湿度、通风量和风速见表B.</w:t>
      </w:r>
      <w:r>
        <w:rPr>
          <w:rFonts w:ascii="宋体" w:hAnsi="宋体" w:cs="宋体"/>
        </w:rPr>
        <w:t>1</w:t>
      </w:r>
      <w:r>
        <w:rPr>
          <w:rFonts w:hint="eastAsia"/>
        </w:rPr>
        <w:t>~B.</w:t>
      </w:r>
      <w:r>
        <w:rPr>
          <w:rFonts w:ascii="宋体" w:hAnsi="宋体" w:cs="宋体"/>
        </w:rPr>
        <w:t>3</w:t>
      </w:r>
      <w:r>
        <w:t>。</w:t>
      </w:r>
    </w:p>
    <w:p w14:paraId="184C9CA0">
      <w:pPr>
        <w:pStyle w:val="5"/>
      </w:pPr>
      <w:r>
        <w:rPr>
          <w:rFonts w:hint="eastAsia"/>
        </w:rPr>
        <w:t xml:space="preserve">猪舍内空气的温度和相对湿度应符合GB/T </w:t>
      </w:r>
      <w:r>
        <w:rPr>
          <w:rFonts w:hint="eastAsia" w:ascii="宋体" w:hAnsi="宋体" w:cs="宋体"/>
        </w:rPr>
        <w:t>17824.3</w:t>
      </w:r>
      <w:r>
        <w:rPr>
          <w:rFonts w:hint="eastAsia"/>
        </w:rPr>
        <w:t>的规定，详见附录B表B.</w:t>
      </w:r>
      <w:r>
        <w:rPr>
          <w:rFonts w:hint="eastAsia" w:ascii="宋体" w:hAnsi="宋体" w:cs="宋体"/>
        </w:rPr>
        <w:t>1</w:t>
      </w:r>
      <w:r>
        <w:rPr>
          <w:rFonts w:hint="eastAsia"/>
        </w:rPr>
        <w:t>。</w:t>
      </w:r>
    </w:p>
    <w:p w14:paraId="498A0668">
      <w:pPr>
        <w:pStyle w:val="5"/>
      </w:pPr>
      <w:r>
        <w:rPr>
          <w:rFonts w:hint="eastAsia"/>
        </w:rPr>
        <w:t>猪舍温度高于临界范围上限值时，应采取喷雾、湿帘等降温措施，加强通风；低于临界范围下限值时，应采取供暖、保温措施，保持圈舍干燥，控制风速，防止贼风。</w:t>
      </w:r>
    </w:p>
    <w:p w14:paraId="47CD0D94">
      <w:pPr>
        <w:pStyle w:val="5"/>
      </w:pPr>
      <w:r>
        <w:rPr>
          <w:rFonts w:hint="eastAsia"/>
        </w:rPr>
        <w:t>猪舍空气中的氨（NH</w:t>
      </w:r>
      <w:r>
        <w:rPr>
          <w:rFonts w:hint="eastAsia"/>
          <w:vertAlign w:val="subscript"/>
        </w:rPr>
        <w:t>3</w:t>
      </w:r>
      <w:r>
        <w:rPr>
          <w:rFonts w:hint="eastAsia"/>
        </w:rPr>
        <w:t>）、硫化氢（H</w:t>
      </w:r>
      <w:r>
        <w:rPr>
          <w:rFonts w:hint="eastAsia"/>
          <w:vertAlign w:val="subscript"/>
        </w:rPr>
        <w:t>2</w:t>
      </w:r>
      <w:r>
        <w:rPr>
          <w:rFonts w:hint="eastAsia"/>
        </w:rPr>
        <w:t>S）、二氧化碳（CO</w:t>
      </w:r>
      <w:r>
        <w:rPr>
          <w:rFonts w:hint="eastAsia"/>
          <w:vertAlign w:val="subscript"/>
        </w:rPr>
        <w:t>2</w:t>
      </w:r>
      <w:r>
        <w:rPr>
          <w:rFonts w:hint="eastAsia"/>
        </w:rPr>
        <w:t xml:space="preserve">）、细菌总数和粉尘应符合GB/T </w:t>
      </w:r>
      <w:r>
        <w:rPr>
          <w:rFonts w:hint="eastAsia" w:ascii="宋体" w:hAnsi="宋体" w:cs="宋体"/>
        </w:rPr>
        <w:t>17824.3</w:t>
      </w:r>
      <w:r>
        <w:rPr>
          <w:rFonts w:hint="eastAsia"/>
        </w:rPr>
        <w:t>的规定，详见附录B表B.</w:t>
      </w:r>
      <w:r>
        <w:rPr>
          <w:rFonts w:hint="eastAsia" w:ascii="宋体" w:hAnsi="宋体" w:cs="宋体"/>
        </w:rPr>
        <w:t>2</w:t>
      </w:r>
      <w:r>
        <w:rPr>
          <w:rFonts w:hint="eastAsia"/>
        </w:rPr>
        <w:t>。</w:t>
      </w:r>
    </w:p>
    <w:p w14:paraId="60D66F60">
      <w:pPr>
        <w:pStyle w:val="5"/>
        <w:ind w:firstLine="0" w:firstLineChars="0"/>
      </w:pPr>
      <w:r>
        <w:drawing>
          <wp:inline distT="0" distB="0" distL="114300" distR="114300">
            <wp:extent cx="5583555" cy="3121025"/>
            <wp:effectExtent l="0" t="0" r="7620" b="3175"/>
            <wp:docPr id="8679654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65438" name="图片 1"/>
                    <pic:cNvPicPr>
                      <a:picLocks noChangeAspect="1"/>
                    </pic:cNvPicPr>
                  </pic:nvPicPr>
                  <pic:blipFill>
                    <a:blip r:embed="rId13"/>
                    <a:stretch>
                      <a:fillRect/>
                    </a:stretch>
                  </pic:blipFill>
                  <pic:spPr>
                    <a:xfrm>
                      <a:off x="0" y="0"/>
                      <a:ext cx="5583555" cy="3121025"/>
                    </a:xfrm>
                    <a:prstGeom prst="rect">
                      <a:avLst/>
                    </a:prstGeom>
                  </pic:spPr>
                </pic:pic>
              </a:graphicData>
            </a:graphic>
          </wp:inline>
        </w:drawing>
      </w:r>
    </w:p>
    <w:p w14:paraId="59688D49">
      <w:pPr>
        <w:pStyle w:val="5"/>
      </w:pPr>
    </w:p>
    <w:p w14:paraId="654070AF">
      <w:pPr>
        <w:pStyle w:val="5"/>
        <w:ind w:firstLine="0" w:firstLineChars="0"/>
      </w:pPr>
      <w:r>
        <w:drawing>
          <wp:inline distT="0" distB="0" distL="114300" distR="114300">
            <wp:extent cx="5488305" cy="1826895"/>
            <wp:effectExtent l="0" t="0" r="17145" b="1905"/>
            <wp:docPr id="12967159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715915" name="图片 1"/>
                    <pic:cNvPicPr>
                      <a:picLocks noChangeAspect="1"/>
                    </pic:cNvPicPr>
                  </pic:nvPicPr>
                  <pic:blipFill>
                    <a:blip r:embed="rId14"/>
                    <a:stretch>
                      <a:fillRect/>
                    </a:stretch>
                  </pic:blipFill>
                  <pic:spPr>
                    <a:xfrm>
                      <a:off x="0" y="0"/>
                      <a:ext cx="5488305" cy="1826895"/>
                    </a:xfrm>
                    <a:prstGeom prst="rect">
                      <a:avLst/>
                    </a:prstGeom>
                  </pic:spPr>
                </pic:pic>
              </a:graphicData>
            </a:graphic>
          </wp:inline>
        </w:drawing>
      </w:r>
    </w:p>
    <w:p w14:paraId="3FEED584">
      <w:pPr>
        <w:ind w:left="0" w:leftChars="0" w:firstLine="0" w:firstLineChars="0"/>
        <w:jc w:val="left"/>
        <w:rPr>
          <w:rFonts w:hint="eastAsia" w:ascii="仿宋" w:hAnsi="仿宋" w:eastAsia="仿宋" w:cs="仿宋"/>
          <w:b/>
          <w:bCs/>
          <w:sz w:val="32"/>
          <w:szCs w:val="32"/>
        </w:rPr>
      </w:pPr>
      <w:bookmarkStart w:id="89" w:name="_Toc195199580"/>
      <w:bookmarkStart w:id="90" w:name="_Toc10102"/>
      <w:r>
        <w:drawing>
          <wp:inline distT="0" distB="0" distL="114300" distR="114300">
            <wp:extent cx="5576570" cy="2478405"/>
            <wp:effectExtent l="0" t="0" r="5080" b="17145"/>
            <wp:docPr id="5000364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036434" name="图片 1"/>
                    <pic:cNvPicPr>
                      <a:picLocks noChangeAspect="1"/>
                    </pic:cNvPicPr>
                  </pic:nvPicPr>
                  <pic:blipFill>
                    <a:blip r:embed="rId15"/>
                    <a:stretch>
                      <a:fillRect/>
                    </a:stretch>
                  </pic:blipFill>
                  <pic:spPr>
                    <a:xfrm>
                      <a:off x="0" y="0"/>
                      <a:ext cx="5576570" cy="2478405"/>
                    </a:xfrm>
                    <a:prstGeom prst="rect">
                      <a:avLst/>
                    </a:prstGeom>
                  </pic:spPr>
                </pic:pic>
              </a:graphicData>
            </a:graphic>
          </wp:inline>
        </w:drawing>
      </w:r>
      <w:bookmarkEnd w:id="89"/>
      <w:bookmarkEnd w:id="90"/>
    </w:p>
    <w:p w14:paraId="79350B07">
      <w:pPr>
        <w:ind w:left="0" w:leftChars="0" w:firstLine="0" w:firstLineChars="0"/>
        <w:jc w:val="left"/>
        <w:rPr>
          <w:rFonts w:hint="eastAsia" w:ascii="仿宋" w:hAnsi="仿宋" w:eastAsia="仿宋" w:cs="仿宋"/>
          <w:b/>
          <w:bCs/>
          <w:sz w:val="32"/>
          <w:szCs w:val="32"/>
        </w:rPr>
      </w:pPr>
    </w:p>
    <w:p w14:paraId="3413935A">
      <w:pPr>
        <w:ind w:left="0" w:leftChars="0" w:firstLine="0" w:firstLineChars="0"/>
        <w:jc w:val="left"/>
        <w:rPr>
          <w:rFonts w:hint="eastAsia" w:ascii="仿宋" w:hAnsi="仿宋" w:eastAsia="仿宋" w:cs="仿宋"/>
          <w:b/>
          <w:bCs/>
          <w:sz w:val="32"/>
          <w:szCs w:val="32"/>
        </w:rPr>
      </w:pPr>
    </w:p>
    <w:p w14:paraId="2355B3C8">
      <w:pPr>
        <w:ind w:left="0" w:leftChars="0" w:firstLine="0" w:firstLineChars="0"/>
        <w:jc w:val="left"/>
        <w:rPr>
          <w:rFonts w:hint="eastAsia" w:ascii="仿宋" w:hAnsi="仿宋" w:eastAsia="仿宋" w:cs="仿宋"/>
          <w:b/>
          <w:bCs/>
          <w:sz w:val="32"/>
          <w:szCs w:val="32"/>
        </w:rPr>
      </w:pPr>
    </w:p>
    <w:p w14:paraId="5002E982">
      <w:pPr>
        <w:ind w:left="0" w:leftChars="0" w:firstLine="0" w:firstLineChars="0"/>
        <w:jc w:val="left"/>
        <w:rPr>
          <w:rFonts w:hint="eastAsia" w:ascii="仿宋" w:hAnsi="仿宋" w:eastAsia="仿宋" w:cs="仿宋"/>
          <w:b/>
          <w:bCs/>
          <w:sz w:val="32"/>
          <w:szCs w:val="32"/>
        </w:rPr>
      </w:pPr>
    </w:p>
    <w:p w14:paraId="69A72D58">
      <w:pPr>
        <w:ind w:left="0" w:leftChars="0" w:firstLine="0" w:firstLineChars="0"/>
        <w:jc w:val="left"/>
        <w:rPr>
          <w:rFonts w:hint="eastAsia" w:ascii="仿宋" w:hAnsi="仿宋" w:eastAsia="仿宋" w:cs="仿宋"/>
          <w:b/>
          <w:bCs/>
          <w:sz w:val="32"/>
          <w:szCs w:val="32"/>
        </w:rPr>
      </w:pPr>
    </w:p>
    <w:p w14:paraId="06574F1E">
      <w:pPr>
        <w:ind w:left="0" w:leftChars="0" w:firstLine="0" w:firstLineChars="0"/>
        <w:jc w:val="left"/>
        <w:rPr>
          <w:rFonts w:hint="eastAsia" w:ascii="仿宋" w:hAnsi="仿宋" w:eastAsia="仿宋" w:cs="仿宋"/>
          <w:b/>
          <w:bCs/>
          <w:sz w:val="32"/>
          <w:szCs w:val="32"/>
        </w:rPr>
      </w:pPr>
    </w:p>
    <w:p w14:paraId="2E727292">
      <w:pPr>
        <w:ind w:left="0" w:leftChars="0" w:firstLine="0" w:firstLineChars="0"/>
        <w:jc w:val="left"/>
        <w:rPr>
          <w:rFonts w:hint="eastAsia" w:ascii="仿宋" w:hAnsi="仿宋" w:eastAsia="仿宋" w:cs="仿宋"/>
          <w:b/>
          <w:bCs/>
          <w:sz w:val="32"/>
          <w:szCs w:val="32"/>
        </w:rPr>
      </w:pPr>
    </w:p>
    <w:p w14:paraId="7CD39F35">
      <w:pPr>
        <w:ind w:left="0" w:leftChars="0" w:firstLine="0" w:firstLineChars="0"/>
        <w:jc w:val="left"/>
        <w:rPr>
          <w:rFonts w:hint="eastAsia" w:ascii="仿宋" w:hAnsi="仿宋" w:eastAsia="仿宋" w:cs="仿宋"/>
          <w:b/>
          <w:bCs/>
          <w:sz w:val="32"/>
          <w:szCs w:val="32"/>
        </w:rPr>
      </w:pPr>
    </w:p>
    <w:p w14:paraId="1B66E408">
      <w:pPr>
        <w:ind w:left="0" w:leftChars="0" w:firstLine="0" w:firstLineChars="0"/>
        <w:jc w:val="left"/>
        <w:rPr>
          <w:rFonts w:hint="eastAsia" w:ascii="仿宋" w:hAnsi="仿宋" w:eastAsia="仿宋" w:cs="仿宋"/>
          <w:b/>
          <w:bCs/>
          <w:sz w:val="32"/>
          <w:szCs w:val="32"/>
        </w:rPr>
      </w:pPr>
    </w:p>
    <w:p w14:paraId="26B21CAC">
      <w:pPr>
        <w:ind w:left="0" w:leftChars="0" w:firstLine="0" w:firstLineChars="0"/>
        <w:jc w:val="left"/>
        <w:rPr>
          <w:rFonts w:hint="eastAsia" w:ascii="仿宋" w:hAnsi="仿宋" w:eastAsia="仿宋" w:cs="仿宋"/>
          <w:b/>
          <w:bCs/>
          <w:sz w:val="32"/>
          <w:szCs w:val="32"/>
        </w:rPr>
      </w:pPr>
    </w:p>
    <w:p w14:paraId="30BDBBFE">
      <w:pPr>
        <w:ind w:left="0" w:leftChars="0" w:firstLine="0" w:firstLineChars="0"/>
        <w:jc w:val="left"/>
        <w:rPr>
          <w:rFonts w:hint="eastAsia" w:ascii="仿宋" w:hAnsi="仿宋" w:eastAsia="仿宋" w:cs="仿宋"/>
          <w:b/>
          <w:bCs/>
          <w:sz w:val="32"/>
          <w:szCs w:val="32"/>
        </w:rPr>
      </w:pPr>
    </w:p>
    <w:p w14:paraId="2D02AE14">
      <w:pPr>
        <w:ind w:left="0" w:leftChars="0" w:firstLine="0" w:firstLineChars="0"/>
        <w:jc w:val="left"/>
        <w:rPr>
          <w:rFonts w:hint="eastAsia" w:ascii="仿宋" w:hAnsi="仿宋" w:eastAsia="仿宋" w:cs="仿宋"/>
          <w:b/>
          <w:bCs/>
          <w:sz w:val="32"/>
          <w:szCs w:val="32"/>
        </w:rPr>
      </w:pPr>
    </w:p>
    <w:p w14:paraId="141FEF03">
      <w:pPr>
        <w:ind w:left="0" w:leftChars="0" w:firstLine="0" w:firstLineChars="0"/>
        <w:jc w:val="left"/>
        <w:rPr>
          <w:rFonts w:hint="eastAsia" w:ascii="仿宋" w:hAnsi="仿宋" w:eastAsia="仿宋" w:cs="仿宋"/>
          <w:b/>
          <w:bCs/>
          <w:sz w:val="32"/>
          <w:szCs w:val="32"/>
        </w:rPr>
      </w:pPr>
    </w:p>
    <w:p w14:paraId="33E4C2A4">
      <w:pPr>
        <w:ind w:left="0" w:leftChars="0" w:firstLine="0" w:firstLineChars="0"/>
        <w:jc w:val="left"/>
        <w:rPr>
          <w:rFonts w:hint="eastAsia" w:ascii="仿宋" w:hAnsi="仿宋" w:eastAsia="仿宋" w:cs="仿宋"/>
          <w:b/>
          <w:bCs/>
          <w:sz w:val="32"/>
          <w:szCs w:val="32"/>
        </w:rPr>
      </w:pPr>
    </w:p>
    <w:p w14:paraId="15F332AE">
      <w:pPr>
        <w:ind w:left="0" w:leftChars="0" w:firstLine="0" w:firstLineChars="0"/>
        <w:jc w:val="left"/>
        <w:rPr>
          <w:rFonts w:hint="eastAsia" w:ascii="仿宋" w:hAnsi="仿宋" w:eastAsia="仿宋" w:cs="仿宋"/>
          <w:b/>
          <w:bCs/>
          <w:sz w:val="32"/>
          <w:szCs w:val="32"/>
        </w:rPr>
      </w:pPr>
    </w:p>
    <w:p w14:paraId="0B283656">
      <w:pPr>
        <w:bidi w:val="0"/>
        <w:ind w:left="0" w:leftChars="0" w:firstLine="0" w:firstLineChars="0"/>
        <w:jc w:val="left"/>
        <w:rPr>
          <w:rFonts w:hint="eastAsia"/>
          <w:lang w:val="en-US" w:eastAsia="zh-CN"/>
        </w:rPr>
      </w:pPr>
    </w:p>
    <w:p w14:paraId="5E9B4FC8">
      <w:pPr>
        <w:pStyle w:val="16"/>
        <w:spacing w:before="850" w:beforeLines="0" w:afterLines="0"/>
        <w:rPr>
          <w:rFonts w:ascii="Times New Roman"/>
        </w:rPr>
      </w:pPr>
      <w:bookmarkStart w:id="91" w:name="_Toc6848"/>
      <w:bookmarkEnd w:id="91"/>
    </w:p>
    <w:p w14:paraId="09C3D2F6">
      <w:pPr>
        <w:rPr>
          <w:rFonts w:eastAsiaTheme="minorEastAsia"/>
        </w:rPr>
      </w:pPr>
      <w:r>
        <w:rPr>
          <w:rFonts w:hint="eastAsia" w:ascii="宋体" w:hAnsi="宋体" w:cs="宋体"/>
        </w:rPr>
        <w:t>（</w:t>
      </w:r>
      <w:r>
        <w:rPr>
          <w:rFonts w:hint="eastAsia" w:eastAsia="黑体"/>
        </w:rPr>
        <w:t>资料</w:t>
      </w:r>
      <w:r>
        <w:rPr>
          <w:rFonts w:eastAsia="黑体"/>
        </w:rPr>
        <w:t>性</w:t>
      </w:r>
      <w:r>
        <w:rPr>
          <w:rFonts w:hint="eastAsia" w:ascii="宋体" w:hAnsi="宋体" w:cs="宋体"/>
        </w:rPr>
        <w:t>）</w:t>
      </w:r>
    </w:p>
    <w:p w14:paraId="6D628EE2">
      <w:pPr>
        <w:rPr>
          <w:rFonts w:eastAsia="黑体"/>
        </w:rPr>
      </w:pPr>
      <w:r>
        <w:rPr>
          <w:rFonts w:hint="eastAsia" w:eastAsia="黑体"/>
        </w:rPr>
        <w:t>猪舍传统通风和微负压分区精准收集技术</w:t>
      </w:r>
    </w:p>
    <w:p w14:paraId="010C8325">
      <w:pPr>
        <w:pStyle w:val="5"/>
      </w:pPr>
      <w:r>
        <w:rPr>
          <w:rFonts w:hint="eastAsia"/>
        </w:rPr>
        <w:t>猪舍传统通风和微负压分区精准收集技术见图C.</w:t>
      </w:r>
      <w:r>
        <w:rPr>
          <w:rFonts w:ascii="宋体" w:hAnsi="宋体" w:cs="宋体"/>
        </w:rPr>
        <w:t>1</w:t>
      </w:r>
      <w:r>
        <w:rPr>
          <w:rFonts w:hint="eastAsia"/>
        </w:rPr>
        <w:t>~C.</w:t>
      </w:r>
      <w:r>
        <w:rPr>
          <w:rFonts w:hint="eastAsia" w:ascii="宋体" w:hAnsi="宋体" w:cs="宋体"/>
        </w:rPr>
        <w:t>5</w:t>
      </w:r>
      <w:r>
        <w:t>。</w:t>
      </w:r>
    </w:p>
    <w:p w14:paraId="17559B44">
      <w:pPr>
        <w:pStyle w:val="5"/>
      </w:pPr>
    </w:p>
    <w:p w14:paraId="526D0B02">
      <w:r>
        <w:drawing>
          <wp:inline distT="0" distB="0" distL="114300" distR="114300">
            <wp:extent cx="4495800" cy="1645920"/>
            <wp:effectExtent l="0" t="0" r="0" b="190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6"/>
                    <a:stretch>
                      <a:fillRect/>
                    </a:stretch>
                  </pic:blipFill>
                  <pic:spPr>
                    <a:xfrm>
                      <a:off x="0" y="0"/>
                      <a:ext cx="4504328" cy="1649246"/>
                    </a:xfrm>
                    <a:prstGeom prst="rect">
                      <a:avLst/>
                    </a:prstGeom>
                    <a:noFill/>
                    <a:ln>
                      <a:noFill/>
                    </a:ln>
                  </pic:spPr>
                </pic:pic>
              </a:graphicData>
            </a:graphic>
          </wp:inline>
        </w:drawing>
      </w:r>
    </w:p>
    <w:p w14:paraId="361DC161">
      <w:pPr>
        <w:rPr>
          <w:rFonts w:eastAsia="黑体"/>
        </w:rPr>
      </w:pPr>
      <w:r>
        <w:rPr>
          <w:rFonts w:hint="eastAsia" w:eastAsia="黑体"/>
        </w:rPr>
        <w:t>图</w:t>
      </w:r>
      <w:r>
        <w:rPr>
          <w:rFonts w:eastAsia="黑体"/>
          <w:b/>
          <w:bCs/>
        </w:rPr>
        <w:t>C.</w:t>
      </w:r>
      <w:r>
        <w:rPr>
          <w:rFonts w:eastAsia="黑体"/>
        </w:rPr>
        <w:t xml:space="preserve">1 </w:t>
      </w:r>
      <w:r>
        <w:rPr>
          <w:rFonts w:hint="eastAsia" w:eastAsia="黑体"/>
        </w:rPr>
        <w:t>猪舍传统通风模式</w:t>
      </w:r>
    </w:p>
    <w:p w14:paraId="40BEBA8B"/>
    <w:p w14:paraId="296779E6">
      <w:r>
        <w:drawing>
          <wp:inline distT="0" distB="0" distL="114300" distR="114300">
            <wp:extent cx="4530090" cy="1548765"/>
            <wp:effectExtent l="0" t="0" r="3810" b="381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17"/>
                    <a:stretch>
                      <a:fillRect/>
                    </a:stretch>
                  </pic:blipFill>
                  <pic:spPr>
                    <a:xfrm>
                      <a:off x="0" y="0"/>
                      <a:ext cx="4542430" cy="1553175"/>
                    </a:xfrm>
                    <a:prstGeom prst="rect">
                      <a:avLst/>
                    </a:prstGeom>
                    <a:noFill/>
                    <a:ln>
                      <a:noFill/>
                    </a:ln>
                  </pic:spPr>
                </pic:pic>
              </a:graphicData>
            </a:graphic>
          </wp:inline>
        </w:drawing>
      </w:r>
    </w:p>
    <w:p w14:paraId="6541AF27">
      <w:pPr>
        <w:pStyle w:val="5"/>
      </w:pPr>
      <w:r>
        <w:rPr>
          <w:rFonts w:hint="eastAsia"/>
        </w:rPr>
        <w:t>图</w:t>
      </w:r>
      <w:r>
        <w:rPr>
          <w:b/>
          <w:bCs/>
        </w:rPr>
        <w:t>C.</w:t>
      </w:r>
      <w:r>
        <w:t>2</w:t>
      </w:r>
      <w:r>
        <w:rPr>
          <w:rFonts w:hint="eastAsia"/>
        </w:rPr>
        <w:t xml:space="preserve"> </w:t>
      </w:r>
      <w:r>
        <w:rPr>
          <w:rFonts w:hint="eastAsia" w:ascii="黑体" w:hAnsi="黑体" w:eastAsia="黑体" w:cs="黑体"/>
        </w:rPr>
        <w:t>猪舍微负压分区精准收集技术</w:t>
      </w:r>
    </w:p>
    <w:p w14:paraId="6075788A">
      <w:pPr>
        <w:pStyle w:val="5"/>
      </w:pPr>
      <w:r>
        <w:rPr>
          <w:rFonts w:ascii="宋体" w:hAnsi="宋体" w:cs="宋体"/>
          <w:sz w:val="24"/>
          <w:szCs w:val="24"/>
        </w:rPr>
        <w:drawing>
          <wp:inline distT="0" distB="0" distL="114300" distR="114300">
            <wp:extent cx="2624455" cy="1727835"/>
            <wp:effectExtent l="0" t="0" r="4445" b="5715"/>
            <wp:docPr id="16"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IMG_256"/>
                    <pic:cNvPicPr>
                      <a:picLocks noChangeAspect="1"/>
                    </pic:cNvPicPr>
                  </pic:nvPicPr>
                  <pic:blipFill>
                    <a:blip r:embed="rId18"/>
                    <a:stretch>
                      <a:fillRect/>
                    </a:stretch>
                  </pic:blipFill>
                  <pic:spPr>
                    <a:xfrm>
                      <a:off x="0" y="0"/>
                      <a:ext cx="2624455" cy="1727835"/>
                    </a:xfrm>
                    <a:prstGeom prst="rect">
                      <a:avLst/>
                    </a:prstGeom>
                    <a:noFill/>
                    <a:ln w="9525">
                      <a:noFill/>
                    </a:ln>
                  </pic:spPr>
                </pic:pic>
              </a:graphicData>
            </a:graphic>
          </wp:inline>
        </w:drawing>
      </w:r>
    </w:p>
    <w:tbl>
      <w:tblPr>
        <w:tblStyle w:val="10"/>
        <w:tblpPr w:leftFromText="180" w:rightFromText="180" w:vertAnchor="text" w:horzAnchor="page" w:tblpX="1357" w:tblpY="5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5"/>
        <w:gridCol w:w="3707"/>
      </w:tblGrid>
      <w:tr w14:paraId="2C0BE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51" w:type="dxa"/>
            <w:tcBorders>
              <w:tl2br w:val="nil"/>
              <w:tr2bl w:val="nil"/>
            </w:tcBorders>
          </w:tcPr>
          <w:p w14:paraId="40439D90">
            <w:pPr>
              <w:rPr>
                <w:rFonts w:eastAsiaTheme="minorEastAsia"/>
              </w:rPr>
            </w:pPr>
          </w:p>
        </w:tc>
        <w:tc>
          <w:tcPr>
            <w:tcW w:w="4037" w:type="dxa"/>
            <w:tcBorders>
              <w:tl2br w:val="nil"/>
              <w:tr2bl w:val="nil"/>
            </w:tcBorders>
          </w:tcPr>
          <w:p w14:paraId="541662B8">
            <w:pPr>
              <w:rPr>
                <w:rFonts w:eastAsiaTheme="minorEastAsia"/>
              </w:rPr>
            </w:pPr>
          </w:p>
        </w:tc>
      </w:tr>
    </w:tbl>
    <w:p w14:paraId="386AA2A5">
      <w:pPr>
        <w:rPr>
          <w:rFonts w:eastAsia="黑体"/>
        </w:rPr>
      </w:pPr>
      <w:r>
        <w:rPr>
          <w:rFonts w:hint="eastAsia" w:eastAsia="黑体"/>
        </w:rPr>
        <w:t>图</w:t>
      </w:r>
      <w:r>
        <w:rPr>
          <w:rFonts w:hint="eastAsia" w:eastAsia="黑体"/>
          <w:b/>
          <w:bCs/>
        </w:rPr>
        <w:t>C.</w:t>
      </w:r>
      <w:r>
        <w:rPr>
          <w:rFonts w:eastAsia="黑体"/>
        </w:rPr>
        <w:t>3</w:t>
      </w:r>
      <w:r>
        <w:rPr>
          <w:rFonts w:hint="eastAsia" w:eastAsiaTheme="minorEastAsia"/>
        </w:rPr>
        <w:t xml:space="preserve"> </w:t>
      </w:r>
      <w:r>
        <w:rPr>
          <w:rFonts w:hint="eastAsia" w:eastAsia="黑体"/>
        </w:rPr>
        <w:t>生物覆膜技术</w:t>
      </w:r>
    </w:p>
    <w:p w14:paraId="2B3D91EC">
      <w:pPr>
        <w:rPr>
          <w:rFonts w:eastAsia="黑体"/>
        </w:rPr>
      </w:pPr>
    </w:p>
    <w:p w14:paraId="4C9278F5">
      <w:pPr>
        <w:rPr>
          <w:rFonts w:eastAsia="黑体"/>
        </w:rPr>
      </w:pPr>
    </w:p>
    <w:p w14:paraId="53450041">
      <w:pPr>
        <w:rPr>
          <w:rFonts w:eastAsia="黑体"/>
        </w:rPr>
      </w:pPr>
    </w:p>
    <w:p w14:paraId="415AAEE4">
      <w:pPr>
        <w:rPr>
          <w:rFonts w:eastAsia="黑体"/>
        </w:rPr>
      </w:pPr>
    </w:p>
    <w:p w14:paraId="1718E32C">
      <w:r>
        <w:rPr>
          <w:b/>
          <w:bCs/>
        </w:rPr>
        <w:drawing>
          <wp:inline distT="0" distB="0" distL="114300" distR="114300">
            <wp:extent cx="4429125" cy="1238250"/>
            <wp:effectExtent l="0" t="0" r="0" b="0"/>
            <wp:docPr id="4998681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86814" name="图片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429125" cy="1238250"/>
                    </a:xfrm>
                    <a:prstGeom prst="rect">
                      <a:avLst/>
                    </a:prstGeom>
                    <a:noFill/>
                    <a:ln>
                      <a:noFill/>
                    </a:ln>
                  </pic:spPr>
                </pic:pic>
              </a:graphicData>
            </a:graphic>
          </wp:inline>
        </w:drawing>
      </w:r>
    </w:p>
    <w:p w14:paraId="5140D845">
      <w:pPr>
        <w:rPr>
          <w:b/>
          <w:bCs/>
        </w:rPr>
      </w:pPr>
      <w:r>
        <w:rPr>
          <w:rFonts w:hint="eastAsia" w:eastAsia="黑体"/>
        </w:rPr>
        <w:t>图</w:t>
      </w:r>
      <w:r>
        <w:rPr>
          <w:rFonts w:eastAsia="黑体"/>
          <w:b/>
          <w:bCs/>
          <w:szCs w:val="24"/>
        </w:rPr>
        <w:t>C.</w:t>
      </w:r>
      <w:r>
        <w:rPr>
          <w:rFonts w:eastAsia="黑体"/>
        </w:rPr>
        <w:t xml:space="preserve">4 </w:t>
      </w:r>
      <w:r>
        <w:rPr>
          <w:rFonts w:hint="eastAsia" w:eastAsia="黑体"/>
        </w:rPr>
        <w:t>规模化生猪养殖生物除臭工艺流程</w:t>
      </w:r>
    </w:p>
    <w:p w14:paraId="312CE09C"/>
    <w:p w14:paraId="0C765D05">
      <w:pPr>
        <w:rPr>
          <w:rFonts w:eastAsiaTheme="minorEastAsia"/>
        </w:rPr>
      </w:pPr>
      <w:r>
        <w:rPr>
          <w:rFonts w:eastAsiaTheme="minorEastAsia"/>
        </w:rPr>
        <w:drawing>
          <wp:inline distT="0" distB="0" distL="114300" distR="114300">
            <wp:extent cx="4286250" cy="2414905"/>
            <wp:effectExtent l="0" t="0" r="0" b="4445"/>
            <wp:docPr id="160184961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849613" name="图片 19"/>
                    <pic:cNvPicPr>
                      <a:picLocks noChangeAspect="1" noChangeArrowheads="1"/>
                    </pic:cNvPicPr>
                  </pic:nvPicPr>
                  <pic:blipFill>
                    <a:blip r:embed="rId20">
                      <a:extLst>
                        <a:ext uri="{28A0092B-C50C-407E-A947-70E740481C1C}">
                          <a14:useLocalDpi xmlns:a14="http://schemas.microsoft.com/office/drawing/2010/main" val="0"/>
                        </a:ext>
                      </a:extLst>
                    </a:blip>
                    <a:srcRect l="956" t="1529" r="1303" b="1580"/>
                    <a:stretch>
                      <a:fillRect/>
                    </a:stretch>
                  </pic:blipFill>
                  <pic:spPr>
                    <a:xfrm>
                      <a:off x="0" y="0"/>
                      <a:ext cx="4286250" cy="2414905"/>
                    </a:xfrm>
                    <a:prstGeom prst="rect">
                      <a:avLst/>
                    </a:prstGeom>
                    <a:noFill/>
                    <a:ln>
                      <a:noFill/>
                    </a:ln>
                  </pic:spPr>
                </pic:pic>
              </a:graphicData>
            </a:graphic>
          </wp:inline>
        </w:drawing>
      </w:r>
    </w:p>
    <w:p w14:paraId="0A82D805">
      <w:pPr>
        <w:keepNext w:val="0"/>
        <w:keepLines w:val="0"/>
        <w:pageBreakBefore w:val="0"/>
        <w:widowControl/>
        <w:kinsoku/>
        <w:wordWrap/>
        <w:overflowPunct/>
        <w:topLinePunct w:val="0"/>
        <w:autoSpaceDE w:val="0"/>
        <w:autoSpaceDN w:val="0"/>
        <w:bidi w:val="0"/>
        <w:adjustRightInd/>
        <w:snapToGrid/>
        <w:spacing w:after="120" w:line="240" w:lineRule="auto"/>
        <w:ind w:left="0" w:leftChars="0" w:firstLine="0" w:firstLineChars="0"/>
        <w:jc w:val="left"/>
        <w:textAlignment w:val="auto"/>
        <w:rPr>
          <w:rFonts w:ascii="宋体"/>
          <w:kern w:val="0"/>
          <w:szCs w:val="20"/>
          <w:lang w:eastAsia="ja-JP"/>
        </w:rPr>
      </w:pPr>
      <w:r>
        <w:rPr>
          <w:rFonts w:eastAsia="黑体"/>
        </w:rPr>
        <w:t>图</w:t>
      </w:r>
      <w:r>
        <w:rPr>
          <w:rFonts w:hint="eastAsia" w:eastAsia="黑体"/>
          <w:b/>
          <w:bCs/>
        </w:rPr>
        <w:t>C.</w:t>
      </w:r>
      <w:r>
        <w:rPr>
          <w:rFonts w:eastAsia="黑体"/>
        </w:rPr>
        <w:t>5 猪舍喷淋除臭工艺流程图</w:t>
      </w:r>
    </w:p>
    <w:p w14:paraId="4A813843">
      <w:pPr>
        <w:pStyle w:val="16"/>
        <w:numPr>
          <w:ilvl w:val="0"/>
          <w:numId w:val="0"/>
        </w:numPr>
        <w:spacing w:beforeLines="0" w:after="156"/>
        <w:rPr>
          <w:rFonts w:hint="eastAsia" w:hAnsi="黑体" w:cs="黑体"/>
          <w:color w:val="000000" w:themeColor="text1"/>
          <w14:textFill>
            <w14:solidFill>
              <w14:schemeClr w14:val="tx1"/>
            </w14:solidFill>
          </w14:textFill>
        </w:rPr>
      </w:pPr>
      <w:bookmarkStart w:id="92" w:name="_Toc16364"/>
      <w:bookmarkStart w:id="93" w:name="_Toc5380"/>
      <w:bookmarkStart w:id="94" w:name="_Toc19848"/>
    </w:p>
    <w:p w14:paraId="67609119">
      <w:pPr>
        <w:pStyle w:val="16"/>
        <w:numPr>
          <w:ilvl w:val="0"/>
          <w:numId w:val="0"/>
        </w:numPr>
        <w:spacing w:beforeLines="0" w:after="156"/>
        <w:rPr>
          <w:rFonts w:hint="eastAsia" w:hAnsi="黑体" w:cs="黑体"/>
          <w:color w:val="000000" w:themeColor="text1"/>
          <w14:textFill>
            <w14:solidFill>
              <w14:schemeClr w14:val="tx1"/>
            </w14:solidFill>
          </w14:textFill>
        </w:rPr>
      </w:pPr>
    </w:p>
    <w:p w14:paraId="1AF8AD76">
      <w:pPr>
        <w:pStyle w:val="16"/>
        <w:numPr>
          <w:ilvl w:val="0"/>
          <w:numId w:val="0"/>
        </w:numPr>
        <w:spacing w:beforeLines="0" w:after="156"/>
        <w:rPr>
          <w:rFonts w:hint="eastAsia" w:hAnsi="黑体" w:cs="黑体"/>
          <w:color w:val="000000" w:themeColor="text1"/>
          <w14:textFill>
            <w14:solidFill>
              <w14:schemeClr w14:val="tx1"/>
            </w14:solidFill>
          </w14:textFill>
        </w:rPr>
      </w:pPr>
    </w:p>
    <w:p w14:paraId="12F35B50">
      <w:pPr>
        <w:pStyle w:val="16"/>
        <w:numPr>
          <w:ilvl w:val="0"/>
          <w:numId w:val="0"/>
        </w:numPr>
        <w:spacing w:beforeLines="0" w:after="156"/>
        <w:rPr>
          <w:rFonts w:hint="eastAsia" w:hAnsi="黑体" w:cs="黑体"/>
          <w:color w:val="000000" w:themeColor="text1"/>
          <w14:textFill>
            <w14:solidFill>
              <w14:schemeClr w14:val="tx1"/>
            </w14:solidFill>
          </w14:textFill>
        </w:rPr>
      </w:pPr>
    </w:p>
    <w:p w14:paraId="603A5927">
      <w:pPr>
        <w:pStyle w:val="16"/>
        <w:numPr>
          <w:ilvl w:val="0"/>
          <w:numId w:val="0"/>
        </w:numPr>
        <w:spacing w:beforeLines="0" w:after="156"/>
        <w:rPr>
          <w:rFonts w:hint="eastAsia" w:hAnsi="黑体" w:cs="黑体"/>
          <w:color w:val="000000" w:themeColor="text1"/>
          <w14:textFill>
            <w14:solidFill>
              <w14:schemeClr w14:val="tx1"/>
            </w14:solidFill>
          </w14:textFill>
        </w:rPr>
      </w:pPr>
    </w:p>
    <w:p w14:paraId="3F1077FB">
      <w:pPr>
        <w:pStyle w:val="16"/>
        <w:numPr>
          <w:ilvl w:val="0"/>
          <w:numId w:val="0"/>
        </w:numPr>
        <w:spacing w:beforeLines="0" w:after="156"/>
        <w:rPr>
          <w:rFonts w:hint="eastAsia" w:hAnsi="黑体" w:cs="黑体"/>
          <w:color w:val="000000" w:themeColor="text1"/>
          <w14:textFill>
            <w14:solidFill>
              <w14:schemeClr w14:val="tx1"/>
            </w14:solidFill>
          </w14:textFill>
        </w:rPr>
      </w:pPr>
    </w:p>
    <w:p w14:paraId="006843C2">
      <w:pPr>
        <w:pStyle w:val="16"/>
        <w:numPr>
          <w:ilvl w:val="0"/>
          <w:numId w:val="0"/>
        </w:numPr>
        <w:spacing w:beforeLines="0" w:after="156"/>
        <w:rPr>
          <w:rFonts w:hint="eastAsia" w:hAnsi="黑体" w:cs="黑体"/>
          <w:color w:val="000000" w:themeColor="text1"/>
          <w14:textFill>
            <w14:solidFill>
              <w14:schemeClr w14:val="tx1"/>
            </w14:solidFill>
          </w14:textFill>
        </w:rPr>
      </w:pPr>
    </w:p>
    <w:p w14:paraId="7CA7B834">
      <w:pPr>
        <w:pStyle w:val="16"/>
        <w:numPr>
          <w:ilvl w:val="0"/>
          <w:numId w:val="0"/>
        </w:numPr>
        <w:spacing w:beforeLines="0" w:after="156"/>
        <w:rPr>
          <w:rFonts w:hint="eastAsia" w:hAnsi="黑体" w:cs="黑体"/>
          <w:color w:val="000000" w:themeColor="text1"/>
          <w14:textFill>
            <w14:solidFill>
              <w14:schemeClr w14:val="tx1"/>
            </w14:solidFill>
          </w14:textFill>
        </w:rPr>
      </w:pPr>
    </w:p>
    <w:p w14:paraId="76BAA612">
      <w:pPr>
        <w:pStyle w:val="16"/>
        <w:numPr>
          <w:ilvl w:val="0"/>
          <w:numId w:val="0"/>
        </w:numPr>
        <w:spacing w:beforeLines="0" w:after="156"/>
        <w:rPr>
          <w:rFonts w:hint="eastAsia" w:hAnsi="黑体" w:cs="黑体"/>
          <w:color w:val="000000" w:themeColor="text1"/>
          <w14:textFill>
            <w14:solidFill>
              <w14:schemeClr w14:val="tx1"/>
            </w14:solidFill>
          </w14:textFill>
        </w:rPr>
      </w:pPr>
    </w:p>
    <w:p w14:paraId="13C215FE">
      <w:pPr>
        <w:pStyle w:val="16"/>
        <w:numPr>
          <w:ilvl w:val="0"/>
          <w:numId w:val="0"/>
        </w:numPr>
        <w:spacing w:beforeLines="0" w:after="156"/>
        <w:rPr>
          <w:rFonts w:hint="eastAsia" w:hAnsi="黑体" w:cs="黑体"/>
          <w:color w:val="000000" w:themeColor="text1"/>
          <w14:textFill>
            <w14:solidFill>
              <w14:schemeClr w14:val="tx1"/>
            </w14:solidFill>
          </w14:textFill>
        </w:rPr>
      </w:pPr>
    </w:p>
    <w:p w14:paraId="3EBAD633">
      <w:pPr>
        <w:pStyle w:val="16"/>
        <w:numPr>
          <w:ilvl w:val="0"/>
          <w:numId w:val="0"/>
        </w:numPr>
        <w:spacing w:beforeLines="0" w:after="156"/>
        <w:rPr>
          <w:rFonts w:hint="eastAsia" w:hAnsi="黑体" w:cs="黑体"/>
          <w:color w:val="000000" w:themeColor="text1"/>
          <w14:textFill>
            <w14:solidFill>
              <w14:schemeClr w14:val="tx1"/>
            </w14:solidFill>
          </w14:textFill>
        </w:rPr>
      </w:pPr>
    </w:p>
    <w:p w14:paraId="2B12EE6C">
      <w:pPr>
        <w:pStyle w:val="16"/>
        <w:numPr>
          <w:ilvl w:val="0"/>
          <w:numId w:val="0"/>
        </w:numPr>
        <w:spacing w:beforeLines="0" w:after="156"/>
        <w:rPr>
          <w:rFonts w:hint="eastAsia" w:hAnsi="黑体" w:cs="黑体"/>
          <w:color w:val="000000" w:themeColor="text1"/>
          <w14:textFill>
            <w14:solidFill>
              <w14:schemeClr w14:val="tx1"/>
            </w14:solidFill>
          </w14:textFill>
        </w:rPr>
      </w:pPr>
    </w:p>
    <w:p w14:paraId="62FF5873">
      <w:pPr>
        <w:pStyle w:val="16"/>
        <w:numPr>
          <w:ilvl w:val="0"/>
          <w:numId w:val="0"/>
        </w:numPr>
        <w:spacing w:beforeLines="0" w:after="156"/>
        <w:rPr>
          <w:rFonts w:hint="eastAsia" w:hAnsi="黑体" w:cs="黑体"/>
          <w:color w:val="000000" w:themeColor="text1"/>
          <w14:textFill>
            <w14:solidFill>
              <w14:schemeClr w14:val="tx1"/>
            </w14:solidFill>
          </w14:textFill>
        </w:rPr>
      </w:pPr>
    </w:p>
    <w:p w14:paraId="7818A86D">
      <w:pPr>
        <w:pStyle w:val="16"/>
        <w:numPr>
          <w:ilvl w:val="0"/>
          <w:numId w:val="0"/>
        </w:numPr>
        <w:spacing w:beforeLines="0" w:after="156"/>
        <w:rPr>
          <w:rFonts w:hint="eastAsia" w:hAnsi="黑体" w:cs="黑体"/>
          <w:color w:val="000000" w:themeColor="text1"/>
          <w14:textFill>
            <w14:solidFill>
              <w14:schemeClr w14:val="tx1"/>
            </w14:solidFill>
          </w14:textFill>
        </w:rPr>
      </w:pPr>
    </w:p>
    <w:p w14:paraId="1F7D2489">
      <w:pPr>
        <w:pStyle w:val="16"/>
        <w:numPr>
          <w:ilvl w:val="0"/>
          <w:numId w:val="0"/>
        </w:numPr>
        <w:spacing w:beforeLines="0" w:after="156"/>
        <w:rPr>
          <w:rFonts w:hAnsi="黑体" w:cs="黑体"/>
          <w:color w:val="000000" w:themeColor="text1"/>
          <w14:textFill>
            <w14:solidFill>
              <w14:schemeClr w14:val="tx1"/>
            </w14:solidFill>
          </w14:textFill>
        </w:rPr>
      </w:pPr>
      <w:bookmarkStart w:id="95" w:name="_Toc20430"/>
      <w:r>
        <w:rPr>
          <w:rFonts w:hint="eastAsia" w:hAnsi="黑体" w:cs="黑体"/>
          <w:color w:val="000000" w:themeColor="text1"/>
          <w14:textFill>
            <w14:solidFill>
              <w14:schemeClr w14:val="tx1"/>
            </w14:solidFill>
          </w14:textFill>
        </w:rPr>
        <w:t>参 考 文 献</w:t>
      </w:r>
      <w:bookmarkEnd w:id="92"/>
      <w:bookmarkEnd w:id="93"/>
      <w:bookmarkEnd w:id="94"/>
      <w:bookmarkEnd w:id="95"/>
    </w:p>
    <w:p w14:paraId="669F6582">
      <w:pPr>
        <w:pStyle w:val="17"/>
        <w:numPr>
          <w:ilvl w:val="0"/>
          <w:numId w:val="4"/>
        </w:numPr>
        <w:ind w:firstLine="420"/>
        <w:rPr>
          <w:rFonts w:ascii="Times New Roman"/>
          <w:color w:val="000000" w:themeColor="text1"/>
          <w:kern w:val="2"/>
          <w:szCs w:val="21"/>
          <w14:textFill>
            <w14:solidFill>
              <w14:schemeClr w14:val="tx1"/>
            </w14:solidFill>
          </w14:textFill>
        </w:rPr>
      </w:pPr>
      <w:r>
        <w:rPr>
          <w:rFonts w:hint="eastAsia" w:ascii="Times New Roman"/>
        </w:rPr>
        <w:t>《畜禽养殖污染防治管理办法》（</w:t>
      </w:r>
      <w:r>
        <w:rPr>
          <w:rFonts w:hint="eastAsia" w:hAnsi="宋体" w:cs="宋体"/>
          <w:color w:val="000000" w:themeColor="text1"/>
          <w:kern w:val="2"/>
          <w:szCs w:val="21"/>
          <w14:textFill>
            <w14:solidFill>
              <w14:schemeClr w14:val="tx1"/>
            </w14:solidFill>
          </w14:textFill>
        </w:rPr>
        <w:t>第9号令</w:t>
      </w:r>
      <w:r>
        <w:rPr>
          <w:rFonts w:hint="eastAsia" w:ascii="Times New Roman"/>
        </w:rPr>
        <w:t>）</w:t>
      </w:r>
    </w:p>
    <w:p w14:paraId="50A89683">
      <w:pPr>
        <w:pStyle w:val="17"/>
        <w:numPr>
          <w:ilvl w:val="0"/>
          <w:numId w:val="4"/>
        </w:numPr>
        <w:ind w:firstLine="420"/>
        <w:rPr>
          <w:rFonts w:ascii="Times New Roman"/>
          <w:color w:val="000000" w:themeColor="text1"/>
          <w:kern w:val="2"/>
          <w:szCs w:val="21"/>
          <w14:textFill>
            <w14:solidFill>
              <w14:schemeClr w14:val="tx1"/>
            </w14:solidFill>
          </w14:textFill>
        </w:rPr>
      </w:pPr>
      <w:r>
        <w:rPr>
          <w:rFonts w:hint="eastAsia" w:ascii="Times New Roman"/>
          <w:color w:val="000000" w:themeColor="text1"/>
          <w14:textFill>
            <w14:solidFill>
              <w14:schemeClr w14:val="tx1"/>
            </w14:solidFill>
          </w14:textFill>
        </w:rPr>
        <w:t>《畜禽规模养殖污染防治条例》（</w:t>
      </w:r>
      <w:r>
        <w:rPr>
          <w:rFonts w:hint="eastAsia" w:hAnsi="宋体" w:cs="宋体"/>
          <w:color w:val="000000" w:themeColor="text1"/>
          <w:kern w:val="2"/>
          <w:szCs w:val="21"/>
          <w14:textFill>
            <w14:solidFill>
              <w14:schemeClr w14:val="tx1"/>
            </w14:solidFill>
          </w14:textFill>
        </w:rPr>
        <w:t>国务院令第643号</w:t>
      </w:r>
      <w:r>
        <w:rPr>
          <w:rFonts w:hint="eastAsia"/>
          <w:color w:val="000000" w:themeColor="text1"/>
          <w14:textFill>
            <w14:solidFill>
              <w14:schemeClr w14:val="tx1"/>
            </w14:solidFill>
          </w14:textFill>
        </w:rPr>
        <w:t>）</w:t>
      </w:r>
    </w:p>
    <w:p w14:paraId="6204F655">
      <w:pPr>
        <w:pStyle w:val="17"/>
        <w:numPr>
          <w:ilvl w:val="0"/>
          <w:numId w:val="4"/>
        </w:numPr>
        <w:ind w:firstLine="420"/>
        <w:rPr>
          <w:rFonts w:ascii="Times New Roman"/>
        </w:rPr>
      </w:pPr>
      <w:r>
        <w:rPr>
          <w:rFonts w:hint="eastAsia" w:ascii="Times New Roman"/>
          <w:color w:val="000000" w:themeColor="text1"/>
          <w14:textFill>
            <w14:solidFill>
              <w14:schemeClr w14:val="tx1"/>
            </w14:solidFill>
          </w14:textFill>
        </w:rPr>
        <w:t>《关于加快推进畜禽养殖废弃物资源化利用的实施意见》（</w:t>
      </w:r>
      <w:r>
        <w:rPr>
          <w:rFonts w:hint="eastAsia" w:hAnsi="宋体" w:cs="宋体"/>
          <w:color w:val="000000" w:themeColor="text1"/>
          <w:kern w:val="2"/>
          <w:szCs w:val="21"/>
          <w14:textFill>
            <w14:solidFill>
              <w14:schemeClr w14:val="tx1"/>
            </w14:solidFill>
          </w14:textFill>
        </w:rPr>
        <w:t>国办发[2017]48号</w:t>
      </w:r>
      <w:r>
        <w:rPr>
          <w:rFonts w:hint="eastAsia" w:ascii="Times New Roman"/>
          <w:color w:val="000000" w:themeColor="text1"/>
          <w14:textFill>
            <w14:solidFill>
              <w14:schemeClr w14:val="tx1"/>
            </w14:solidFill>
          </w14:textFill>
        </w:rPr>
        <w:t>）</w:t>
      </w:r>
    </w:p>
    <w:p w14:paraId="1C2301C2">
      <w:pPr>
        <w:pStyle w:val="17"/>
        <w:numPr>
          <w:ilvl w:val="0"/>
          <w:numId w:val="4"/>
        </w:numPr>
        <w:ind w:firstLine="420"/>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《规模猪场综合减臭技术规范》（DB</w:t>
      </w:r>
      <w:r>
        <w:rPr>
          <w:rFonts w:hint="eastAsia" w:hAnsi="宋体" w:cs="宋体"/>
          <w:color w:val="000000" w:themeColor="text1"/>
          <w:kern w:val="2"/>
          <w:szCs w:val="21"/>
          <w14:textFill>
            <w14:solidFill>
              <w14:schemeClr w14:val="tx1"/>
            </w14:solidFill>
          </w14:textFill>
        </w:rPr>
        <w:t>33</w:t>
      </w:r>
      <w:r>
        <w:rPr>
          <w:rFonts w:hint="eastAsia" w:ascii="Times New Roman"/>
          <w:color w:val="000000" w:themeColor="text1"/>
          <w:kern w:val="2"/>
          <w:szCs w:val="21"/>
          <w14:textFill>
            <w14:solidFill>
              <w14:schemeClr w14:val="tx1"/>
            </w14:solidFill>
          </w14:textFill>
        </w:rPr>
        <w:t xml:space="preserve">/T </w:t>
      </w:r>
      <w:r>
        <w:rPr>
          <w:rFonts w:hint="eastAsia" w:hAnsi="宋体" w:cs="宋体"/>
          <w:color w:val="000000" w:themeColor="text1"/>
          <w:kern w:val="2"/>
          <w:szCs w:val="21"/>
          <w14:textFill>
            <w14:solidFill>
              <w14:schemeClr w14:val="tx1"/>
            </w14:solidFill>
          </w14:textFill>
        </w:rPr>
        <w:t>1377—2024</w:t>
      </w:r>
      <w:r>
        <w:rPr>
          <w:rFonts w:hint="eastAsia" w:ascii="Times New Roman"/>
          <w:color w:val="000000" w:themeColor="text1"/>
          <w:kern w:val="2"/>
          <w:szCs w:val="21"/>
          <w14:textFill>
            <w14:solidFill>
              <w14:schemeClr w14:val="tx1"/>
            </w14:solidFill>
          </w14:textFill>
        </w:rPr>
        <w:t>）</w:t>
      </w:r>
    </w:p>
    <w:p w14:paraId="33CCF507">
      <w:pPr>
        <w:pStyle w:val="17"/>
        <w:numPr>
          <w:ilvl w:val="0"/>
          <w:numId w:val="4"/>
        </w:numPr>
        <w:ind w:firstLine="420"/>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《畜禽养殖业污染防治技术规范》（DB</w:t>
      </w:r>
      <w:r>
        <w:rPr>
          <w:rFonts w:hint="eastAsia" w:hAnsi="宋体" w:cs="宋体"/>
          <w:color w:val="000000" w:themeColor="text1"/>
          <w:kern w:val="2"/>
          <w:szCs w:val="21"/>
          <w14:textFill>
            <w14:solidFill>
              <w14:schemeClr w14:val="tx1"/>
            </w14:solidFill>
          </w14:textFill>
        </w:rPr>
        <w:t>34</w:t>
      </w:r>
      <w:r>
        <w:rPr>
          <w:rFonts w:hint="eastAsia" w:ascii="Times New Roman"/>
          <w:color w:val="000000" w:themeColor="text1"/>
          <w:kern w:val="2"/>
          <w:szCs w:val="21"/>
          <w14:textFill>
            <w14:solidFill>
              <w14:schemeClr w14:val="tx1"/>
            </w14:solidFill>
          </w14:textFill>
        </w:rPr>
        <w:t xml:space="preserve">/T </w:t>
      </w:r>
      <w:r>
        <w:rPr>
          <w:rFonts w:hint="eastAsia" w:hAnsi="宋体" w:cs="宋体"/>
          <w:color w:val="000000" w:themeColor="text1"/>
          <w:kern w:val="2"/>
          <w:szCs w:val="21"/>
          <w14:textFill>
            <w14:solidFill>
              <w14:schemeClr w14:val="tx1"/>
            </w14:solidFill>
          </w14:textFill>
        </w:rPr>
        <w:t>4826—2024</w:t>
      </w:r>
      <w:r>
        <w:rPr>
          <w:rFonts w:hint="eastAsia" w:ascii="Times New Roman"/>
          <w:color w:val="000000" w:themeColor="text1"/>
          <w:kern w:val="2"/>
          <w:szCs w:val="21"/>
          <w14:textFill>
            <w14:solidFill>
              <w14:schemeClr w14:val="tx1"/>
            </w14:solidFill>
          </w14:textFill>
        </w:rPr>
        <w:t>）</w:t>
      </w:r>
    </w:p>
    <w:p w14:paraId="27F3AFBB">
      <w:pPr>
        <w:pStyle w:val="17"/>
        <w:numPr>
          <w:ilvl w:val="0"/>
          <w:numId w:val="4"/>
        </w:numPr>
        <w:ind w:firstLine="420"/>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《规模化养猪场臭气防治技术规范》（DB</w:t>
      </w:r>
      <w:r>
        <w:rPr>
          <w:rFonts w:hAnsi="宋体" w:cs="宋体"/>
          <w:color w:val="000000" w:themeColor="text1"/>
          <w:kern w:val="2"/>
          <w:szCs w:val="21"/>
          <w14:textFill>
            <w14:solidFill>
              <w14:schemeClr w14:val="tx1"/>
            </w14:solidFill>
          </w14:textFill>
        </w:rPr>
        <w:t>41</w:t>
      </w:r>
      <w:r>
        <w:rPr>
          <w:rFonts w:hint="eastAsia" w:ascii="Times New Roman"/>
          <w:color w:val="000000" w:themeColor="text1"/>
          <w:kern w:val="2"/>
          <w:szCs w:val="21"/>
          <w14:textFill>
            <w14:solidFill>
              <w14:schemeClr w14:val="tx1"/>
            </w14:solidFill>
          </w14:textFill>
        </w:rPr>
        <w:t xml:space="preserve">/T </w:t>
      </w:r>
      <w:r>
        <w:rPr>
          <w:rFonts w:hAnsi="宋体" w:cs="宋体"/>
          <w:color w:val="000000" w:themeColor="text1"/>
          <w:kern w:val="2"/>
          <w:szCs w:val="21"/>
          <w14:textFill>
            <w14:solidFill>
              <w14:schemeClr w14:val="tx1"/>
            </w14:solidFill>
          </w14:textFill>
        </w:rPr>
        <w:t>2642—2024</w:t>
      </w:r>
      <w:r>
        <w:rPr>
          <w:rFonts w:hint="eastAsia" w:ascii="Times New Roman"/>
          <w:color w:val="000000" w:themeColor="text1"/>
          <w:kern w:val="2"/>
          <w:szCs w:val="21"/>
          <w14:textFill>
            <w14:solidFill>
              <w14:schemeClr w14:val="tx1"/>
            </w14:solidFill>
          </w14:textFill>
        </w:rPr>
        <w:t>）</w:t>
      </w:r>
    </w:p>
    <w:p w14:paraId="743C34AE">
      <w:pPr>
        <w:pStyle w:val="17"/>
        <w:numPr>
          <w:ilvl w:val="0"/>
          <w:numId w:val="4"/>
        </w:numPr>
        <w:ind w:firstLine="420"/>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《规模猪场臭气减控技术规范》（DB</w:t>
      </w:r>
      <w:r>
        <w:rPr>
          <w:rFonts w:hAnsi="宋体" w:cs="宋体"/>
          <w:color w:val="000000" w:themeColor="text1"/>
          <w:kern w:val="2"/>
          <w:szCs w:val="21"/>
          <w14:textFill>
            <w14:solidFill>
              <w14:schemeClr w14:val="tx1"/>
            </w14:solidFill>
          </w14:textFill>
        </w:rPr>
        <w:t>5114</w:t>
      </w:r>
      <w:r>
        <w:rPr>
          <w:rFonts w:hint="eastAsia" w:ascii="Times New Roman"/>
          <w:color w:val="000000" w:themeColor="text1"/>
          <w:kern w:val="2"/>
          <w:szCs w:val="21"/>
          <w14:textFill>
            <w14:solidFill>
              <w14:schemeClr w14:val="tx1"/>
            </w14:solidFill>
          </w14:textFill>
        </w:rPr>
        <w:t xml:space="preserve">/T </w:t>
      </w:r>
      <w:r>
        <w:rPr>
          <w:rFonts w:hAnsi="宋体" w:cs="宋体"/>
          <w:color w:val="000000" w:themeColor="text1"/>
          <w:kern w:val="2"/>
          <w:szCs w:val="21"/>
          <w14:textFill>
            <w14:solidFill>
              <w14:schemeClr w14:val="tx1"/>
            </w14:solidFill>
          </w14:textFill>
        </w:rPr>
        <w:t>58</w:t>
      </w:r>
      <w:r>
        <w:rPr>
          <w:rFonts w:hint="eastAsia" w:hAnsi="宋体" w:cs="宋体"/>
          <w:color w:val="000000" w:themeColor="text1"/>
          <w:kern w:val="2"/>
          <w:szCs w:val="21"/>
          <w14:textFill>
            <w14:solidFill>
              <w14:schemeClr w14:val="tx1"/>
            </w14:solidFill>
          </w14:textFill>
        </w:rPr>
        <w:t>—</w:t>
      </w:r>
      <w:r>
        <w:rPr>
          <w:rFonts w:hAnsi="宋体" w:cs="宋体"/>
          <w:color w:val="000000" w:themeColor="text1"/>
          <w:kern w:val="2"/>
          <w:szCs w:val="21"/>
          <w14:textFill>
            <w14:solidFill>
              <w14:schemeClr w14:val="tx1"/>
            </w14:solidFill>
          </w14:textFill>
        </w:rPr>
        <w:t>2023</w:t>
      </w:r>
      <w:r>
        <w:rPr>
          <w:rFonts w:hint="eastAsia" w:ascii="Times New Roman"/>
          <w:color w:val="000000" w:themeColor="text1"/>
          <w:kern w:val="2"/>
          <w:szCs w:val="21"/>
          <w14:textFill>
            <w14:solidFill>
              <w14:schemeClr w14:val="tx1"/>
            </w14:solidFill>
          </w14:textFill>
        </w:rPr>
        <w:t>）</w:t>
      </w:r>
    </w:p>
    <w:p w14:paraId="44C47776">
      <w:pPr>
        <w:pStyle w:val="17"/>
        <w:numPr>
          <w:ilvl w:val="0"/>
          <w:numId w:val="4"/>
        </w:numPr>
        <w:ind w:firstLine="420"/>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 xml:space="preserve">《滴滤式畜禽舍废气净化系统技术规范》（T/CI </w:t>
      </w:r>
      <w:r>
        <w:rPr>
          <w:rFonts w:hAnsi="宋体" w:cs="宋体"/>
          <w:color w:val="000000" w:themeColor="text1"/>
          <w:kern w:val="2"/>
          <w:szCs w:val="21"/>
          <w14:textFill>
            <w14:solidFill>
              <w14:schemeClr w14:val="tx1"/>
            </w14:solidFill>
          </w14:textFill>
        </w:rPr>
        <w:t>511</w:t>
      </w:r>
      <w:r>
        <w:rPr>
          <w:rFonts w:hint="eastAsia" w:hAnsi="宋体" w:cs="宋体"/>
          <w:color w:val="000000" w:themeColor="text1"/>
          <w:kern w:val="2"/>
          <w:szCs w:val="21"/>
          <w14:textFill>
            <w14:solidFill>
              <w14:schemeClr w14:val="tx1"/>
            </w14:solidFill>
          </w14:textFill>
        </w:rPr>
        <w:t>—</w:t>
      </w:r>
      <w:r>
        <w:rPr>
          <w:rFonts w:hAnsi="宋体" w:cs="宋体"/>
          <w:color w:val="000000" w:themeColor="text1"/>
          <w:kern w:val="2"/>
          <w:szCs w:val="21"/>
          <w14:textFill>
            <w14:solidFill>
              <w14:schemeClr w14:val="tx1"/>
            </w14:solidFill>
          </w14:textFill>
        </w:rPr>
        <w:t>2024</w:t>
      </w:r>
      <w:r>
        <w:rPr>
          <w:rFonts w:hint="eastAsia" w:ascii="Times New Roman"/>
          <w:color w:val="000000" w:themeColor="text1"/>
          <w:kern w:val="2"/>
          <w:szCs w:val="21"/>
          <w14:textFill>
            <w14:solidFill>
              <w14:schemeClr w14:val="tx1"/>
            </w14:solidFill>
          </w14:textFill>
        </w:rPr>
        <w:t>）</w:t>
      </w:r>
    </w:p>
    <w:p w14:paraId="695B50CA">
      <w:pPr>
        <w:pStyle w:val="17"/>
        <w:numPr>
          <w:ilvl w:val="0"/>
          <w:numId w:val="4"/>
        </w:numPr>
        <w:ind w:firstLine="420"/>
        <w:rPr>
          <w:rFonts w:ascii="Times New Roman"/>
          <w:kern w:val="2"/>
          <w:szCs w:val="21"/>
        </w:rPr>
      </w:pPr>
      <w:r>
        <w:rPr>
          <w:rFonts w:hint="eastAsia" w:hAnsi="宋体" w:cs="宋体"/>
        </w:rPr>
        <w:t>《猪禽舍内菌液智能喷淋除臭技术规范》（</w:t>
      </w:r>
      <w:r>
        <w:rPr>
          <w:rFonts w:ascii="Times New Roman"/>
        </w:rPr>
        <w:t>T/SAASS</w:t>
      </w:r>
      <w:r>
        <w:rPr>
          <w:rFonts w:hint="eastAsia"/>
        </w:rPr>
        <w:t xml:space="preserve"> </w:t>
      </w:r>
      <w:r>
        <w:rPr>
          <w:rFonts w:hAnsi="宋体" w:cs="宋体"/>
        </w:rPr>
        <w:t>103</w:t>
      </w:r>
      <w:r>
        <w:rPr>
          <w:rFonts w:hint="eastAsia" w:hAnsi="宋体" w:cs="宋体"/>
        </w:rPr>
        <w:t>—2023）</w:t>
      </w:r>
    </w:p>
    <w:p w14:paraId="17FA2991">
      <w:pPr>
        <w:pStyle w:val="17"/>
        <w:numPr>
          <w:ilvl w:val="0"/>
          <w:numId w:val="4"/>
        </w:numPr>
        <w:ind w:firstLine="420"/>
        <w:rPr>
          <w:rFonts w:ascii="Times New Roman"/>
          <w:kern w:val="2"/>
          <w:szCs w:val="21"/>
        </w:rPr>
      </w:pPr>
      <w:r>
        <w:rPr>
          <w:rFonts w:hint="eastAsia" w:ascii="Times New Roman"/>
          <w:color w:val="000000" w:themeColor="text1"/>
          <w:kern w:val="2"/>
          <w:szCs w:val="21"/>
          <w14:textFill>
            <w14:solidFill>
              <w14:schemeClr w14:val="tx1"/>
            </w14:solidFill>
          </w14:textFill>
        </w:rPr>
        <w:t>《Reference Guide for Poultry and livestock Production Systems》（September 2017）</w:t>
      </w:r>
    </w:p>
    <w:p w14:paraId="670A7D54">
      <w:pPr>
        <w:pStyle w:val="17"/>
        <w:numPr>
          <w:ilvl w:val="0"/>
          <w:numId w:val="4"/>
        </w:numPr>
        <w:kinsoku w:val="0"/>
        <w:topLinePunct/>
        <w:autoSpaceDE/>
        <w:autoSpaceDN/>
        <w:ind w:firstLine="420"/>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《Biotrickling filter for the treatment of exhaust air from a pig rearing building：Ammonia removal performance and its fluctuations》</w:t>
      </w:r>
    </w:p>
    <w:p w14:paraId="0C3BFBB2">
      <w:pPr>
        <w:pStyle w:val="17"/>
        <w:numPr>
          <w:ilvl w:val="0"/>
          <w:numId w:val="4"/>
        </w:numPr>
        <w:topLinePunct/>
        <w:autoSpaceDE/>
        <w:autoSpaceDN/>
        <w:ind w:firstLine="420"/>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《Best Available Techniques (BAT) Reference Document for the Intensive Rearing of Poultry or Pigs》</w:t>
      </w:r>
    </w:p>
    <w:p w14:paraId="45E9A8D3">
      <w:pPr>
        <w:widowControl w:val="0"/>
        <w:adjustRightInd w:val="0"/>
        <w:spacing w:before="156" w:beforeLines="50" w:line="320" w:lineRule="exact"/>
        <w:ind w:firstLine="420" w:firstLineChars="200"/>
        <w:jc w:val="left"/>
        <w:rPr>
          <w:rFonts w:hint="eastAsia" w:ascii="黑体" w:hAnsi="黑体" w:eastAsia="黑体" w:cs="Times New Roman"/>
          <w:color w:val="000000"/>
          <w:kern w:val="2"/>
          <w:sz w:val="21"/>
          <w:szCs w:val="21"/>
          <w:lang w:val="en-US" w:eastAsia="zh-CN" w:bidi="ar-SA"/>
        </w:rPr>
      </w:pPr>
    </w:p>
    <w:p w14:paraId="3FCE6C3E">
      <w:pPr>
        <w:bidi w:val="0"/>
        <w:ind w:left="0" w:leftChars="0" w:firstLine="0" w:firstLineChars="0"/>
        <w:jc w:val="center"/>
        <w:rPr>
          <w:rFonts w:hint="eastAsia"/>
          <w:lang w:val="en-US" w:eastAsia="zh-CN"/>
        </w:rPr>
      </w:pPr>
    </w:p>
    <w:sectPr>
      <w:footerReference r:id="rId10"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79F2B">
    <w:pPr>
      <w:widowControl w:val="0"/>
      <w:tabs>
        <w:tab w:val="center" w:pos="4153"/>
        <w:tab w:val="right" w:pos="8306"/>
      </w:tabs>
      <w:snapToGrid w:val="0"/>
      <w:jc w:val="right"/>
      <w:rPr>
        <w:rFonts w:ascii="Calibri" w:hAnsi="Calibri" w:eastAsia="宋体" w:cs="Times New Roman"/>
        <w:sz w:val="18"/>
        <w:szCs w:val="18"/>
        <w:lang w:val="en-US" w:eastAsia="en-US"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DCECE">
                          <w:pPr>
                            <w:widowControl w:val="0"/>
                            <w:tabs>
                              <w:tab w:val="center" w:pos="4153"/>
                              <w:tab w:val="right" w:pos="8306"/>
                            </w:tabs>
                            <w:snapToGrid w:val="0"/>
                            <w:jc w:val="right"/>
                          </w:pPr>
                          <w:r>
                            <w:rPr>
                              <w:rFonts w:ascii="Times New Roman" w:hAnsi="Times New Roman" w:eastAsia="宋体" w:cs="Times New Roman"/>
                              <w:sz w:val="18"/>
                              <w:szCs w:val="18"/>
                              <w:lang w:val="en-US" w:eastAsia="en-US" w:bidi="ar-SA"/>
                            </w:rPr>
                            <w:fldChar w:fldCharType="begin"/>
                          </w:r>
                          <w:r>
                            <w:rPr>
                              <w:rFonts w:ascii="Times New Roman" w:hAnsi="Times New Roman" w:eastAsia="宋体" w:cs="Times New Roman"/>
                              <w:sz w:val="18"/>
                              <w:szCs w:val="18"/>
                              <w:lang w:val="en-US" w:eastAsia="en-US" w:bidi="ar-SA"/>
                            </w:rPr>
                            <w:instrText xml:space="preserve">PAGE   \* MERGEFORMAT</w:instrText>
                          </w:r>
                          <w:r>
                            <w:rPr>
                              <w:rFonts w:ascii="Times New Roman" w:hAnsi="Times New Roman" w:eastAsia="宋体" w:cs="Times New Roman"/>
                              <w:sz w:val="18"/>
                              <w:szCs w:val="18"/>
                              <w:lang w:val="en-US" w:eastAsia="en-US" w:bidi="ar-SA"/>
                            </w:rPr>
                            <w:fldChar w:fldCharType="separate"/>
                          </w:r>
                          <w:r>
                            <w:rPr>
                              <w:rFonts w:ascii="Times New Roman" w:hAnsi="Times New Roman" w:eastAsia="宋体" w:cs="Times New Roman"/>
                              <w:sz w:val="18"/>
                              <w:szCs w:val="18"/>
                              <w:lang w:val="zh-CN" w:eastAsia="en-US" w:bidi="ar-SA"/>
                            </w:rPr>
                            <w:t>21</w:t>
                          </w:r>
                          <w:r>
                            <w:rPr>
                              <w:rFonts w:ascii="Times New Roman" w:hAnsi="Times New Roman" w:eastAsia="宋体" w:cs="Times New Roman"/>
                              <w:sz w:val="18"/>
                              <w:szCs w:val="18"/>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ADCECE">
                    <w:pPr>
                      <w:widowControl w:val="0"/>
                      <w:tabs>
                        <w:tab w:val="center" w:pos="4153"/>
                        <w:tab w:val="right" w:pos="8306"/>
                      </w:tabs>
                      <w:snapToGrid w:val="0"/>
                      <w:jc w:val="right"/>
                    </w:pPr>
                    <w:r>
                      <w:rPr>
                        <w:rFonts w:ascii="Times New Roman" w:hAnsi="Times New Roman" w:eastAsia="宋体" w:cs="Times New Roman"/>
                        <w:sz w:val="18"/>
                        <w:szCs w:val="18"/>
                        <w:lang w:val="en-US" w:eastAsia="en-US" w:bidi="ar-SA"/>
                      </w:rPr>
                      <w:fldChar w:fldCharType="begin"/>
                    </w:r>
                    <w:r>
                      <w:rPr>
                        <w:rFonts w:ascii="Times New Roman" w:hAnsi="Times New Roman" w:eastAsia="宋体" w:cs="Times New Roman"/>
                        <w:sz w:val="18"/>
                        <w:szCs w:val="18"/>
                        <w:lang w:val="en-US" w:eastAsia="en-US" w:bidi="ar-SA"/>
                      </w:rPr>
                      <w:instrText xml:space="preserve">PAGE   \* MERGEFORMAT</w:instrText>
                    </w:r>
                    <w:r>
                      <w:rPr>
                        <w:rFonts w:ascii="Times New Roman" w:hAnsi="Times New Roman" w:eastAsia="宋体" w:cs="Times New Roman"/>
                        <w:sz w:val="18"/>
                        <w:szCs w:val="18"/>
                        <w:lang w:val="en-US" w:eastAsia="en-US" w:bidi="ar-SA"/>
                      </w:rPr>
                      <w:fldChar w:fldCharType="separate"/>
                    </w:r>
                    <w:r>
                      <w:rPr>
                        <w:rFonts w:ascii="Times New Roman" w:hAnsi="Times New Roman" w:eastAsia="宋体" w:cs="Times New Roman"/>
                        <w:sz w:val="18"/>
                        <w:szCs w:val="18"/>
                        <w:lang w:val="zh-CN" w:eastAsia="en-US" w:bidi="ar-SA"/>
                      </w:rPr>
                      <w:t>21</w:t>
                    </w:r>
                    <w:r>
                      <w:rPr>
                        <w:rFonts w:ascii="Times New Roman" w:hAnsi="Times New Roman" w:eastAsia="宋体" w:cs="Times New Roman"/>
                        <w:sz w:val="18"/>
                        <w:szCs w:val="18"/>
                        <w:lang w:val="en-US" w:eastAsia="en-US"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1D136">
    <w:pPr>
      <w:widowControl w:val="0"/>
      <w:tabs>
        <w:tab w:val="center" w:pos="4153"/>
        <w:tab w:val="right" w:pos="8306"/>
      </w:tabs>
      <w:snapToGrid w:val="0"/>
      <w:rPr>
        <w:rFonts w:ascii="Calibri" w:hAnsi="Calibri" w:eastAsia="宋体" w:cs="Times New Roman"/>
        <w:sz w:val="18"/>
        <w:szCs w:val="18"/>
        <w:lang w:val="en-US" w:eastAsia="en-US"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E7891">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B1150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B1150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90C18">
    <w:pPr>
      <w:widowControl w:val="0"/>
      <w:tabs>
        <w:tab w:val="center" w:pos="4153"/>
        <w:tab w:val="right" w:pos="8306"/>
      </w:tabs>
      <w:snapToGrid w:val="0"/>
      <w:jc w:val="right"/>
      <w:rPr>
        <w:rFonts w:ascii="Calibri" w:hAnsi="Calibri" w:eastAsia="宋体" w:cs="Times New Roman"/>
        <w:sz w:val="18"/>
        <w:szCs w:val="18"/>
        <w:lang w:val="en-US" w:eastAsia="en-US"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F3C2E">
                          <w:pPr>
                            <w:widowControl w:val="0"/>
                            <w:tabs>
                              <w:tab w:val="center" w:pos="4153"/>
                              <w:tab w:val="right" w:pos="8306"/>
                            </w:tabs>
                            <w:snapToGrid w:val="0"/>
                            <w:jc w:val="right"/>
                          </w:pPr>
                          <w:r>
                            <w:rPr>
                              <w:rFonts w:ascii="Times New Roman" w:hAnsi="Times New Roman" w:eastAsia="宋体" w:cs="Times New Roman"/>
                              <w:sz w:val="18"/>
                              <w:szCs w:val="18"/>
                              <w:lang w:val="en-US" w:eastAsia="en-US" w:bidi="ar-SA"/>
                            </w:rPr>
                            <w:fldChar w:fldCharType="begin"/>
                          </w:r>
                          <w:r>
                            <w:rPr>
                              <w:rFonts w:ascii="Times New Roman" w:hAnsi="Times New Roman" w:eastAsia="宋体" w:cs="Times New Roman"/>
                              <w:sz w:val="18"/>
                              <w:szCs w:val="18"/>
                              <w:lang w:val="en-US" w:eastAsia="en-US" w:bidi="ar-SA"/>
                            </w:rPr>
                            <w:instrText xml:space="preserve">PAGE   \* MERGEFORMAT</w:instrText>
                          </w:r>
                          <w:r>
                            <w:rPr>
                              <w:rFonts w:ascii="Times New Roman" w:hAnsi="Times New Roman" w:eastAsia="宋体" w:cs="Times New Roman"/>
                              <w:sz w:val="18"/>
                              <w:szCs w:val="18"/>
                              <w:lang w:val="en-US" w:eastAsia="en-US" w:bidi="ar-SA"/>
                            </w:rPr>
                            <w:fldChar w:fldCharType="separate"/>
                          </w:r>
                          <w:r>
                            <w:rPr>
                              <w:rFonts w:ascii="Times New Roman" w:hAnsi="Times New Roman" w:eastAsia="宋体" w:cs="Times New Roman"/>
                              <w:sz w:val="18"/>
                              <w:szCs w:val="18"/>
                              <w:lang w:val="zh-CN" w:eastAsia="en-US" w:bidi="ar-SA"/>
                            </w:rPr>
                            <w:t>21</w:t>
                          </w:r>
                          <w:r>
                            <w:rPr>
                              <w:rFonts w:ascii="Times New Roman" w:hAnsi="Times New Roman" w:eastAsia="宋体" w:cs="Times New Roman"/>
                              <w:sz w:val="18"/>
                              <w:szCs w:val="18"/>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85F3C2E">
                    <w:pPr>
                      <w:widowControl w:val="0"/>
                      <w:tabs>
                        <w:tab w:val="center" w:pos="4153"/>
                        <w:tab w:val="right" w:pos="8306"/>
                      </w:tabs>
                      <w:snapToGrid w:val="0"/>
                      <w:jc w:val="right"/>
                    </w:pPr>
                    <w:r>
                      <w:rPr>
                        <w:rFonts w:ascii="Times New Roman" w:hAnsi="Times New Roman" w:eastAsia="宋体" w:cs="Times New Roman"/>
                        <w:sz w:val="18"/>
                        <w:szCs w:val="18"/>
                        <w:lang w:val="en-US" w:eastAsia="en-US" w:bidi="ar-SA"/>
                      </w:rPr>
                      <w:fldChar w:fldCharType="begin"/>
                    </w:r>
                    <w:r>
                      <w:rPr>
                        <w:rFonts w:ascii="Times New Roman" w:hAnsi="Times New Roman" w:eastAsia="宋体" w:cs="Times New Roman"/>
                        <w:sz w:val="18"/>
                        <w:szCs w:val="18"/>
                        <w:lang w:val="en-US" w:eastAsia="en-US" w:bidi="ar-SA"/>
                      </w:rPr>
                      <w:instrText xml:space="preserve">PAGE   \* MERGEFORMAT</w:instrText>
                    </w:r>
                    <w:r>
                      <w:rPr>
                        <w:rFonts w:ascii="Times New Roman" w:hAnsi="Times New Roman" w:eastAsia="宋体" w:cs="Times New Roman"/>
                        <w:sz w:val="18"/>
                        <w:szCs w:val="18"/>
                        <w:lang w:val="en-US" w:eastAsia="en-US" w:bidi="ar-SA"/>
                      </w:rPr>
                      <w:fldChar w:fldCharType="separate"/>
                    </w:r>
                    <w:r>
                      <w:rPr>
                        <w:rFonts w:ascii="Times New Roman" w:hAnsi="Times New Roman" w:eastAsia="宋体" w:cs="Times New Roman"/>
                        <w:sz w:val="18"/>
                        <w:szCs w:val="18"/>
                        <w:lang w:val="zh-CN" w:eastAsia="en-US" w:bidi="ar-SA"/>
                      </w:rPr>
                      <w:t>21</w:t>
                    </w:r>
                    <w:r>
                      <w:rPr>
                        <w:rFonts w:ascii="Times New Roman" w:hAnsi="Times New Roman" w:eastAsia="宋体" w:cs="Times New Roman"/>
                        <w:sz w:val="18"/>
                        <w:szCs w:val="18"/>
                        <w:lang w:val="en-US" w:eastAsia="en-US"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CD005">
    <w:pPr>
      <w:widowControl w:val="0"/>
      <w:tabs>
        <w:tab w:val="center" w:pos="4153"/>
        <w:tab w:val="right" w:pos="8306"/>
      </w:tabs>
      <w:snapToGrid w:val="0"/>
      <w:jc w:val="right"/>
      <w:rPr>
        <w:rFonts w:ascii="Calibri" w:hAnsi="Calibri" w:eastAsia="宋体" w:cs="Times New Roman"/>
        <w:sz w:val="18"/>
        <w:szCs w:val="18"/>
        <w:lang w:val="en-US" w:eastAsia="en-US"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B0408">
                          <w:pPr>
                            <w:widowControl w:val="0"/>
                            <w:tabs>
                              <w:tab w:val="center" w:pos="4153"/>
                              <w:tab w:val="right" w:pos="8306"/>
                            </w:tabs>
                            <w:snapToGrid w:val="0"/>
                            <w:jc w:val="right"/>
                          </w:pPr>
                          <w:r>
                            <w:rPr>
                              <w:rFonts w:ascii="Times New Roman" w:hAnsi="Times New Roman" w:eastAsia="宋体" w:cs="Times New Roman"/>
                              <w:sz w:val="18"/>
                              <w:szCs w:val="18"/>
                              <w:lang w:val="en-US" w:eastAsia="en-US" w:bidi="ar-SA"/>
                            </w:rPr>
                            <w:fldChar w:fldCharType="begin"/>
                          </w:r>
                          <w:r>
                            <w:rPr>
                              <w:rFonts w:ascii="Times New Roman" w:hAnsi="Times New Roman" w:eastAsia="宋体" w:cs="Times New Roman"/>
                              <w:sz w:val="18"/>
                              <w:szCs w:val="18"/>
                              <w:lang w:val="en-US" w:eastAsia="en-US" w:bidi="ar-SA"/>
                            </w:rPr>
                            <w:instrText xml:space="preserve">PAGE   \* MERGEFORMAT</w:instrText>
                          </w:r>
                          <w:r>
                            <w:rPr>
                              <w:rFonts w:ascii="Times New Roman" w:hAnsi="Times New Roman" w:eastAsia="宋体" w:cs="Times New Roman"/>
                              <w:sz w:val="18"/>
                              <w:szCs w:val="18"/>
                              <w:lang w:val="en-US" w:eastAsia="en-US" w:bidi="ar-SA"/>
                            </w:rPr>
                            <w:fldChar w:fldCharType="separate"/>
                          </w:r>
                          <w:r>
                            <w:rPr>
                              <w:rFonts w:ascii="Times New Roman" w:hAnsi="Times New Roman" w:eastAsia="宋体" w:cs="Times New Roman"/>
                              <w:sz w:val="18"/>
                              <w:szCs w:val="18"/>
                              <w:lang w:val="zh-CN" w:eastAsia="en-US" w:bidi="ar-SA"/>
                            </w:rPr>
                            <w:t>21</w:t>
                          </w:r>
                          <w:r>
                            <w:rPr>
                              <w:rFonts w:ascii="Times New Roman" w:hAnsi="Times New Roman" w:eastAsia="宋体" w:cs="Times New Roman"/>
                              <w:sz w:val="18"/>
                              <w:szCs w:val="18"/>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4B0408">
                    <w:pPr>
                      <w:widowControl w:val="0"/>
                      <w:tabs>
                        <w:tab w:val="center" w:pos="4153"/>
                        <w:tab w:val="right" w:pos="8306"/>
                      </w:tabs>
                      <w:snapToGrid w:val="0"/>
                      <w:jc w:val="right"/>
                    </w:pPr>
                    <w:r>
                      <w:rPr>
                        <w:rFonts w:ascii="Times New Roman" w:hAnsi="Times New Roman" w:eastAsia="宋体" w:cs="Times New Roman"/>
                        <w:sz w:val="18"/>
                        <w:szCs w:val="18"/>
                        <w:lang w:val="en-US" w:eastAsia="en-US" w:bidi="ar-SA"/>
                      </w:rPr>
                      <w:fldChar w:fldCharType="begin"/>
                    </w:r>
                    <w:r>
                      <w:rPr>
                        <w:rFonts w:ascii="Times New Roman" w:hAnsi="Times New Roman" w:eastAsia="宋体" w:cs="Times New Roman"/>
                        <w:sz w:val="18"/>
                        <w:szCs w:val="18"/>
                        <w:lang w:val="en-US" w:eastAsia="en-US" w:bidi="ar-SA"/>
                      </w:rPr>
                      <w:instrText xml:space="preserve">PAGE   \* MERGEFORMAT</w:instrText>
                    </w:r>
                    <w:r>
                      <w:rPr>
                        <w:rFonts w:ascii="Times New Roman" w:hAnsi="Times New Roman" w:eastAsia="宋体" w:cs="Times New Roman"/>
                        <w:sz w:val="18"/>
                        <w:szCs w:val="18"/>
                        <w:lang w:val="en-US" w:eastAsia="en-US" w:bidi="ar-SA"/>
                      </w:rPr>
                      <w:fldChar w:fldCharType="separate"/>
                    </w:r>
                    <w:r>
                      <w:rPr>
                        <w:rFonts w:ascii="Times New Roman" w:hAnsi="Times New Roman" w:eastAsia="宋体" w:cs="Times New Roman"/>
                        <w:sz w:val="18"/>
                        <w:szCs w:val="18"/>
                        <w:lang w:val="zh-CN" w:eastAsia="en-US" w:bidi="ar-SA"/>
                      </w:rPr>
                      <w:t>21</w:t>
                    </w:r>
                    <w:r>
                      <w:rPr>
                        <w:rFonts w:ascii="Times New Roman" w:hAnsi="Times New Roman" w:eastAsia="宋体" w:cs="Times New Roman"/>
                        <w:sz w:val="18"/>
                        <w:szCs w:val="18"/>
                        <w:lang w:val="en-US" w:eastAsia="en-US"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2A52F">
    <w:pPr>
      <w:widowControl w:val="0"/>
      <w:pBdr>
        <w:bottom w:val="single" w:color="auto" w:sz="6" w:space="1"/>
      </w:pBdr>
      <w:tabs>
        <w:tab w:val="center" w:pos="4153"/>
        <w:tab w:val="right" w:pos="8306"/>
      </w:tabs>
      <w:snapToGrid w:val="0"/>
      <w:jc w:val="center"/>
      <w:rPr>
        <w:rFonts w:ascii="Calibri" w:hAnsi="Calibri" w:eastAsia="宋体" w:cs="Times New Roman"/>
        <w:sz w:val="18"/>
        <w:szCs w:val="18"/>
        <w:lang w:val="en-US" w:eastAsia="en-US"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E0E06"/>
    <w:multiLevelType w:val="singleLevel"/>
    <w:tmpl w:val="95AE0E06"/>
    <w:lvl w:ilvl="0" w:tentative="0">
      <w:start w:val="1"/>
      <w:numFmt w:val="decimal"/>
      <w:suff w:val="space"/>
      <w:lvlText w:val="[%1]"/>
      <w:lvlJc w:val="left"/>
    </w:lvl>
  </w:abstractNum>
  <w:abstractNum w:abstractNumId="1">
    <w:nsid w:val="557C2AF5"/>
    <w:multiLevelType w:val="multilevel"/>
    <w:tmpl w:val="557C2AF5"/>
    <w:lvl w:ilvl="0" w:tentative="0">
      <w:start w:val="1"/>
      <w:numFmt w:val="decimal"/>
      <w:pStyle w:val="14"/>
      <w:suff w:val="nothing"/>
      <w:lvlText w:val="图%1　"/>
      <w:lvlJc w:val="left"/>
      <w:pPr>
        <w:ind w:left="0" w:firstLine="0"/>
      </w:pPr>
      <w:rPr>
        <w:rFonts w:hint="default" w:ascii="黑体" w:hAnsi="黑体" w:eastAsia="黑体" w:cs="黑体"/>
      </w:r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
    <w:nsid w:val="58188F1C"/>
    <w:multiLevelType w:val="singleLevel"/>
    <w:tmpl w:val="58188F1C"/>
    <w:lvl w:ilvl="0" w:tentative="0">
      <w:start w:val="3"/>
      <w:numFmt w:val="decimal"/>
      <w:suff w:val="nothing"/>
      <w:lvlText w:val="（%1）"/>
      <w:lvlJc w:val="left"/>
    </w:lvl>
  </w:abstractNum>
  <w:abstractNum w:abstractNumId="3">
    <w:nsid w:val="657D3FBC"/>
    <w:multiLevelType w:val="multilevel"/>
    <w:tmpl w:val="657D3FBC"/>
    <w:lvl w:ilvl="0" w:tentative="0">
      <w:start w:val="1"/>
      <w:numFmt w:val="upperLetter"/>
      <w:pStyle w:val="16"/>
      <w:suff w:val="nothing"/>
      <w:lvlText w:val="附录%1"/>
      <w:lvlJc w:val="left"/>
      <w:pPr>
        <w:ind w:left="0" w:firstLine="0"/>
      </w:pPr>
      <w:rPr>
        <w:rFonts w:hint="default" w:ascii="Times New Roman" w:hAnsi="Times New Roman" w:cs="Times New Roman"/>
        <w:b w:val="0"/>
        <w:bCs w:val="0"/>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6244D"/>
    <w:rsid w:val="06010B1E"/>
    <w:rsid w:val="077A5187"/>
    <w:rsid w:val="097474D2"/>
    <w:rsid w:val="0BD0797B"/>
    <w:rsid w:val="0D4C0AA4"/>
    <w:rsid w:val="0E9D4E90"/>
    <w:rsid w:val="100F3B6B"/>
    <w:rsid w:val="104507F7"/>
    <w:rsid w:val="108541C1"/>
    <w:rsid w:val="11617981"/>
    <w:rsid w:val="14BC1DE8"/>
    <w:rsid w:val="17636AF8"/>
    <w:rsid w:val="196F17FE"/>
    <w:rsid w:val="1A275099"/>
    <w:rsid w:val="20EF2BFD"/>
    <w:rsid w:val="21486EDD"/>
    <w:rsid w:val="21F77FBB"/>
    <w:rsid w:val="270D6DF0"/>
    <w:rsid w:val="2CD37E5D"/>
    <w:rsid w:val="2EA8720D"/>
    <w:rsid w:val="2EBF1071"/>
    <w:rsid w:val="2F81180C"/>
    <w:rsid w:val="31B859B9"/>
    <w:rsid w:val="349B3370"/>
    <w:rsid w:val="372223E3"/>
    <w:rsid w:val="39A73D93"/>
    <w:rsid w:val="3BF43905"/>
    <w:rsid w:val="40097279"/>
    <w:rsid w:val="41A41AB6"/>
    <w:rsid w:val="42892A5A"/>
    <w:rsid w:val="43421586"/>
    <w:rsid w:val="43E96467"/>
    <w:rsid w:val="45575091"/>
    <w:rsid w:val="470703F1"/>
    <w:rsid w:val="488E4926"/>
    <w:rsid w:val="516B614C"/>
    <w:rsid w:val="51EE0B2B"/>
    <w:rsid w:val="57031405"/>
    <w:rsid w:val="5D861C18"/>
    <w:rsid w:val="5E6C2386"/>
    <w:rsid w:val="5FD776DB"/>
    <w:rsid w:val="62740C56"/>
    <w:rsid w:val="651B358E"/>
    <w:rsid w:val="65744A4C"/>
    <w:rsid w:val="69A32760"/>
    <w:rsid w:val="6DA80E23"/>
    <w:rsid w:val="6F1057E5"/>
    <w:rsid w:val="720B7638"/>
    <w:rsid w:val="77637467"/>
    <w:rsid w:val="77F4039A"/>
    <w:rsid w:val="7B994BC5"/>
    <w:rsid w:val="7CCF09EC"/>
    <w:rsid w:val="7D7B3E5E"/>
    <w:rsid w:val="7DFB58B2"/>
    <w:rsid w:val="7F5E0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240" w:lineRule="auto"/>
      <w:ind w:firstLine="1920" w:firstLineChars="20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2"/>
    <w:qFormat/>
    <w:uiPriority w:val="0"/>
    <w:pPr>
      <w:keepNext/>
      <w:keepLines/>
      <w:spacing w:before="120" w:beforeAutospacing="0" w:after="120" w:afterAutospacing="0" w:line="240" w:lineRule="auto"/>
      <w:ind w:firstLine="0" w:firstLineChars="0"/>
      <w:outlineLvl w:val="0"/>
    </w:pPr>
    <w:rPr>
      <w:rFonts w:ascii="黑体" w:hAnsi="黑体" w:eastAsia="黑体"/>
      <w:kern w:val="44"/>
    </w:rPr>
  </w:style>
  <w:style w:type="paragraph" w:styleId="3">
    <w:name w:val="heading 2"/>
    <w:basedOn w:val="1"/>
    <w:next w:val="1"/>
    <w:unhideWhenUsed/>
    <w:qFormat/>
    <w:uiPriority w:val="0"/>
    <w:pPr>
      <w:keepNext/>
      <w:keepLines/>
      <w:spacing w:before="120" w:beforeLines="0" w:beforeAutospacing="0" w:after="120" w:afterLines="0" w:afterAutospacing="0" w:line="240" w:lineRule="auto"/>
      <w:ind w:firstLine="0" w:firstLineChars="0"/>
      <w:outlineLvl w:val="1"/>
    </w:pPr>
    <w:rPr>
      <w:rFonts w:ascii="黑体" w:hAnsi="黑体" w:eastAsia="黑体"/>
    </w:rPr>
  </w:style>
  <w:style w:type="paragraph" w:styleId="4">
    <w:name w:val="heading 3"/>
    <w:basedOn w:val="1"/>
    <w:next w:val="1"/>
    <w:link w:val="13"/>
    <w:unhideWhenUsed/>
    <w:qFormat/>
    <w:uiPriority w:val="0"/>
    <w:pPr>
      <w:keepNext/>
      <w:keepLines/>
      <w:spacing w:before="120" w:after="120" w:line="240" w:lineRule="auto"/>
      <w:ind w:firstLine="0" w:firstLineChars="0"/>
      <w:outlineLvl w:val="2"/>
    </w:pPr>
    <w:rPr>
      <w:rFonts w:ascii="黑体" w:hAnsi="黑体" w:eastAsia="黑体"/>
      <w:bCs/>
      <w:szCs w:val="32"/>
    </w:rPr>
  </w:style>
  <w:style w:type="character" w:default="1" w:styleId="11">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rPr>
      <w:rFonts w:eastAsia="宋体"/>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字符"/>
    <w:basedOn w:val="11"/>
    <w:link w:val="2"/>
    <w:qFormat/>
    <w:uiPriority w:val="9"/>
    <w:rPr>
      <w:rFonts w:ascii="黑体" w:hAnsi="黑体" w:eastAsia="黑体" w:cs="Times New Roman"/>
      <w:b/>
      <w:bCs/>
      <w:kern w:val="44"/>
      <w:sz w:val="44"/>
      <w:szCs w:val="21"/>
    </w:rPr>
  </w:style>
  <w:style w:type="character" w:customStyle="1" w:styleId="13">
    <w:name w:val="标题 3 字符"/>
    <w:basedOn w:val="11"/>
    <w:link w:val="4"/>
    <w:qFormat/>
    <w:uiPriority w:val="9"/>
    <w:rPr>
      <w:rFonts w:ascii="黑体" w:hAnsi="黑体" w:eastAsia="黑体" w:cs="方正仿宋_GB2312"/>
      <w:bCs/>
      <w:sz w:val="32"/>
      <w:szCs w:val="32"/>
      <w:lang w:val="zh-CN"/>
    </w:rPr>
  </w:style>
  <w:style w:type="paragraph" w:customStyle="1" w:styleId="14">
    <w:name w:val="正文图标题"/>
    <w:next w:val="15"/>
    <w:autoRedefine/>
    <w:qFormat/>
    <w:uiPriority w:val="0"/>
    <w:pPr>
      <w:numPr>
        <w:ilvl w:val="0"/>
        <w:numId w:val="1"/>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16">
    <w:name w:val="标准文件_附录标识"/>
    <w:next w:val="17"/>
    <w:autoRedefine/>
    <w:qFormat/>
    <w:uiPriority w:val="0"/>
    <w:pPr>
      <w:numPr>
        <w:ilvl w:val="0"/>
        <w:numId w:val="2"/>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17">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
    <w:name w:val="标准文件_页脚奇数页"/>
    <w:autoRedefine/>
    <w:qFormat/>
    <w:uiPriority w:val="0"/>
    <w:pPr>
      <w:ind w:right="227"/>
      <w:jc w:val="right"/>
    </w:pPr>
    <w:rPr>
      <w:rFonts w:ascii="宋体"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7468</Words>
  <Characters>8895</Characters>
  <Lines>0</Lines>
  <Paragraphs>0</Paragraphs>
  <TotalTime>0</TotalTime>
  <ScaleCrop>false</ScaleCrop>
  <LinksUpToDate>false</LinksUpToDate>
  <CharactersWithSpaces>9186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2024-10-14T02:00:00Z</dcterms:created>
  <dc:creator>马辉</dc:creator>
  <cp:lastModifiedBy>夏天</cp:lastModifiedBy>
  <dcterms:modified xsi:type="dcterms:W3CDTF">2025-08-12T01:24:26Z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2BFE1892CEA14C02A7F6CB3615D659A1_13</vt:lpwstr>
  </property>
  <property fmtid="{D5CDD505-2E9C-101B-9397-08002B2CF9AE}" pid="4" name="KSOTemplateDocerSaveRecord">
    <vt:lpwstr>eyJoZGlkIjoiZTZmZmYyNDVlYTA0NjE3OTE2NjY2NTRlN2Y4NjNlZmIiLCJ1c2VySWQiOiIzMzk1Mzk0NjgifQ==</vt:lpwstr>
  </property>
</Properties>
</file>