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EB418">
      <w:pPr>
        <w:pStyle w:val="73"/>
        <w:framePr w:wrap="around"/>
        <w:rPr>
          <w:rFonts w:hint="default" w:hAnsi="黑体" w:eastAsia="黑体" w:cs="黑体"/>
          <w:szCs w:val="20"/>
          <w:lang w:val="en-US" w:eastAsia="zh-CN"/>
        </w:rPr>
      </w:pPr>
      <w:r>
        <w:rPr>
          <w:rFonts w:ascii="Times New Roman"/>
          <w:b/>
          <w:bCs/>
          <w:szCs w:val="20"/>
        </w:rPr>
        <w:t>ICS</w:t>
      </w:r>
      <w:r>
        <w:rPr>
          <w:rFonts w:hint="eastAsia" w:hAnsi="黑体" w:cs="黑体"/>
          <w:szCs w:val="20"/>
        </w:rPr>
        <w:t xml:space="preserve"> </w:t>
      </w:r>
      <w:r>
        <w:rPr>
          <w:rFonts w:hint="eastAsia" w:hAnsi="黑体" w:cs="黑体"/>
          <w:szCs w:val="20"/>
          <w:lang w:val="en-US" w:eastAsia="zh-CN"/>
        </w:rPr>
        <w:t>13.020.40</w:t>
      </w:r>
    </w:p>
    <w:p w14:paraId="472BDF50">
      <w:pPr>
        <w:pStyle w:val="73"/>
        <w:framePr w:wrap="around"/>
        <w:rPr>
          <w:rFonts w:hint="eastAsia" w:hAnsi="黑体" w:cs="黑体"/>
          <w:szCs w:val="20"/>
        </w:rPr>
      </w:pPr>
      <w:r>
        <w:rPr>
          <w:rFonts w:ascii="Times New Roman"/>
          <w:b/>
          <w:bCs/>
          <w:szCs w:val="20"/>
        </w:rPr>
        <w:t>CCS</w:t>
      </w:r>
      <w:r>
        <w:rPr>
          <w:rFonts w:hint="eastAsia" w:hAnsi="黑体" w:cs="黑体"/>
          <w:szCs w:val="20"/>
        </w:rPr>
        <w:t xml:space="preserve"> </w:t>
      </w:r>
      <w:r>
        <w:rPr>
          <w:rFonts w:hint="eastAsia" w:ascii="Times New Roman"/>
          <w:b/>
          <w:bCs/>
          <w:szCs w:val="20"/>
          <w:lang w:val="en-US" w:eastAsia="zh-CN"/>
        </w:rPr>
        <w:t>Z</w:t>
      </w:r>
      <w:r>
        <w:rPr>
          <w:rFonts w:hint="eastAsia" w:hAnsi="黑体" w:cs="黑体"/>
          <w:szCs w:val="20"/>
        </w:rPr>
        <w:t xml:space="preserve"> </w:t>
      </w:r>
      <w:r>
        <w:rPr>
          <w:rFonts w:hint="eastAsia" w:hAnsi="黑体" w:cs="黑体"/>
          <w:szCs w:val="20"/>
          <w:lang w:val="en-US" w:eastAsia="zh-CN"/>
        </w:rPr>
        <w:t>05</w:t>
      </w:r>
    </w:p>
    <w:p w14:paraId="014D4F55">
      <w:pPr>
        <w:pStyle w:val="126"/>
        <w:framePr w:w="9405" w:h="1276" w:hRule="exact" w:wrap="around" w:x="1418" w:y="2382"/>
        <w:rPr>
          <w:rFonts w:ascii="Times New Roman" w:eastAsia="黑体"/>
          <w:b w:val="0"/>
          <w:bCs w:val="0"/>
          <w:w w:val="100"/>
          <w:sz w:val="96"/>
          <w:szCs w:val="96"/>
        </w:rPr>
      </w:pPr>
      <w:r>
        <w:rPr>
          <w:rFonts w:ascii="Times New Roman" w:eastAsia="黑体"/>
          <w:b w:val="0"/>
          <w:w w:val="100"/>
          <w:sz w:val="96"/>
          <w:szCs w:val="96"/>
        </w:rPr>
        <w:t>团体标准</w:t>
      </w:r>
    </w:p>
    <w:p w14:paraId="0DE93065">
      <w:pPr>
        <w:pStyle w:val="164"/>
        <w:framePr w:w="9354" w:h="901" w:hRule="exact" w:wrap="around" w:x="1418" w:y="3677"/>
        <w:rPr>
          <w:rFonts w:ascii="Times New Roman"/>
        </w:rPr>
      </w:pPr>
    </w:p>
    <w:p w14:paraId="5C76795E">
      <w:pPr>
        <w:pStyle w:val="164"/>
        <w:keepNext w:val="0"/>
        <w:keepLines w:val="0"/>
        <w:pageBreakBefore w:val="0"/>
        <w:framePr w:w="9354" w:h="901" w:hRule="exact" w:wrap="around" w:x="1418" w:y="3677"/>
        <w:widowControl/>
        <w:kinsoku/>
        <w:wordWrap w:val="0"/>
        <w:overflowPunct/>
        <w:topLinePunct w:val="0"/>
        <w:autoSpaceDE w:val="0"/>
        <w:autoSpaceDN w:val="0"/>
        <w:bidi w:val="0"/>
        <w:adjustRightInd/>
        <w:snapToGrid/>
        <w:ind w:right="0"/>
        <w:textAlignment w:val="auto"/>
        <w:rPr>
          <w:rFonts w:hint="eastAsia" w:ascii="Times New Roman"/>
          <w:lang w:val="en-US" w:eastAsia="zh-CN"/>
        </w:rPr>
      </w:pPr>
      <w:r>
        <w:rPr>
          <w:rFonts w:hint="eastAsia" w:ascii="Times New Roman"/>
          <w:b/>
          <w:bCs w:val="0"/>
        </w:rPr>
        <w:t>T</w:t>
      </w:r>
      <w:r>
        <w:rPr>
          <w:rFonts w:hint="eastAsia" w:ascii="宋体" w:hAnsi="宋体" w:eastAsia="宋体" w:cs="宋体"/>
          <w:b/>
          <w:bCs w:val="0"/>
        </w:rPr>
        <w:t>/</w:t>
      </w:r>
      <w:r>
        <w:rPr>
          <w:rFonts w:hint="eastAsia" w:ascii="Times New Roman"/>
          <w:b/>
          <w:bCs w:val="0"/>
        </w:rPr>
        <w:t xml:space="preserve">ACEF </w:t>
      </w:r>
      <w:r>
        <w:rPr>
          <w:rFonts w:hint="eastAsia" w:ascii="Times New Roman"/>
          <w:lang w:val="en-US" w:eastAsia="zh-CN"/>
        </w:rPr>
        <w:t>XXX</w:t>
      </w:r>
      <w:r>
        <w:rPr>
          <w:rFonts w:hint="eastAsia" w:ascii="Times New Roman"/>
        </w:rPr>
        <w:t>—</w:t>
      </w:r>
      <w:r>
        <w:rPr>
          <w:rFonts w:ascii="Times New Roman"/>
        </w:rPr>
        <w:t>202</w:t>
      </w:r>
      <w:r>
        <w:rPr>
          <w:rFonts w:hint="eastAsia" w:ascii="Times New Roman"/>
          <w:lang w:val="en-US" w:eastAsia="zh-CN"/>
        </w:rPr>
        <w:t>5</w:t>
      </w:r>
    </w:p>
    <w:p w14:paraId="66F2C3D8">
      <w:pPr>
        <w:pStyle w:val="164"/>
        <w:keepNext w:val="0"/>
        <w:keepLines w:val="0"/>
        <w:pageBreakBefore w:val="0"/>
        <w:framePr w:w="9354" w:h="901" w:hRule="exact" w:wrap="around" w:x="1418" w:y="3677"/>
        <w:widowControl/>
        <w:kinsoku/>
        <w:wordWrap w:val="0"/>
        <w:overflowPunct/>
        <w:topLinePunct w:val="0"/>
        <w:autoSpaceDE w:val="0"/>
        <w:autoSpaceDN w:val="0"/>
        <w:bidi w:val="0"/>
        <w:adjustRightInd/>
        <w:snapToGrid/>
        <w:ind w:right="0"/>
        <w:textAlignment w:val="auto"/>
        <w:rPr>
          <w:rFonts w:ascii="宋体"/>
          <w:szCs w:val="21"/>
        </w:rPr>
      </w:pPr>
      <w:r>
        <w:rPr>
          <w:rFonts w:hint="eastAsia" w:hAnsi="黑体" w:cs="黑体"/>
        </w:rPr>
        <mc:AlternateContent>
          <mc:Choice Requires="wps">
            <w:drawing>
              <wp:anchor distT="0" distB="0" distL="114300" distR="114300" simplePos="0" relativeHeight="251667456" behindDoc="0" locked="0" layoutInCell="1" allowOverlap="1">
                <wp:simplePos x="0" y="0"/>
                <wp:positionH relativeFrom="column">
                  <wp:posOffset>43180</wp:posOffset>
                </wp:positionH>
                <wp:positionV relativeFrom="paragraph">
                  <wp:posOffset>330200</wp:posOffset>
                </wp:positionV>
                <wp:extent cx="5863590" cy="0"/>
                <wp:effectExtent l="0" t="6350" r="0" b="6350"/>
                <wp:wrapNone/>
                <wp:docPr id="1"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3.4pt;margin-top:26pt;height:0pt;width:461.7pt;z-index:251667456;mso-width-relative:page;mso-height-relative:page;" filled="f" stroked="t" coordsize="21600,21600" o:gfxdata="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Jr4sj1gAA&#10;AAcBAAAPAAAAAAAAAAEAIAAAACIAAABkcnMvZG93bnJldi54bWxQSwECFAAUAAAACACHTuJAOxRM&#10;3ucBAACsAwAADgAAAAAAAAABACAAAAAlAQAAZHJzL2Uyb0RvYy54bWxQSwUGAAAAAAYABgBZAQAA&#10;fgUAAAAA&#10;">
                <v:fill on="f" focussize="0,0"/>
                <v:stroke weight="1pt" color="#080000" joinstyle="round"/>
                <v:imagedata o:title=""/>
                <o:lock v:ext="edit" aspectratio="f"/>
              </v:line>
            </w:pict>
          </mc:Fallback>
        </mc:AlternateContent>
      </w:r>
      <w:r>
        <w:rPr>
          <w:rFonts w:hint="eastAsia" w:ascii="Times New Roman"/>
          <w:b/>
          <w:bCs w:val="0"/>
        </w:rPr>
        <w:t>T</w:t>
      </w:r>
      <w:r>
        <w:rPr>
          <w:rFonts w:hint="eastAsia" w:ascii="宋体" w:hAnsi="宋体" w:eastAsia="宋体" w:cs="宋体"/>
          <w:b/>
          <w:bCs w:val="0"/>
        </w:rPr>
        <w:t>/</w:t>
      </w:r>
      <w:r>
        <w:rPr>
          <w:rFonts w:hint="eastAsia" w:ascii="Times New Roman"/>
          <w:b/>
          <w:bCs w:val="0"/>
        </w:rPr>
        <w:t xml:space="preserve">CSTE </w:t>
      </w:r>
      <w:r>
        <w:rPr>
          <w:rFonts w:hint="eastAsia" w:ascii="Times New Roman"/>
          <w:lang w:val="en-US" w:eastAsia="zh-CN"/>
        </w:rPr>
        <w:t>XXXX</w:t>
      </w:r>
      <w:r>
        <w:rPr>
          <w:rFonts w:hint="eastAsia" w:ascii="Times New Roman"/>
        </w:rPr>
        <w:t>—</w:t>
      </w:r>
      <w:r>
        <w:rPr>
          <w:rFonts w:ascii="Times New Roman"/>
        </w:rPr>
        <w:t>202</w:t>
      </w:r>
      <w:r>
        <w:rPr>
          <w:rFonts w:hint="eastAsia" w:ascii="Times New Roman"/>
          <w:lang w:val="en-US" w:eastAsia="zh-CN"/>
        </w:rPr>
        <w:t>5</w:t>
      </w:r>
    </w:p>
    <w:p w14:paraId="0A501980">
      <w:pPr>
        <w:pStyle w:val="165"/>
        <w:framePr w:h="6974" w:hRule="exact" w:wrap="around" w:x="1419" w:anchorLock="1"/>
        <w:rPr>
          <w:rFonts w:hint="eastAsia" w:cs="黑体"/>
        </w:rPr>
      </w:pPr>
      <w:bookmarkStart w:id="0" w:name="_Toc525046548"/>
      <w:bookmarkStart w:id="1" w:name="_Toc530051741"/>
      <w:bookmarkStart w:id="2" w:name="_Toc873628"/>
      <w:bookmarkStart w:id="3" w:name="_Toc509826185"/>
      <w:r>
        <w:rPr>
          <w:rFonts w:hint="eastAsia" w:cs="黑体"/>
        </w:rPr>
        <w:t xml:space="preserve">质量分级及“领跑者”评价要求 </w:t>
      </w:r>
    </w:p>
    <w:p w14:paraId="3DEF09C8">
      <w:pPr>
        <w:pStyle w:val="165"/>
        <w:framePr w:h="6974" w:hRule="exact" w:wrap="around" w:x="1419" w:anchorLock="1"/>
        <w:rPr>
          <w:rFonts w:ascii="Calibri" w:hAnsi="Calibri" w:cs="Calibri"/>
        </w:rPr>
      </w:pPr>
      <w:r>
        <w:rPr>
          <w:rFonts w:hint="eastAsia" w:cs="黑体"/>
        </w:rPr>
        <w:t>生物法废气处理装置</w:t>
      </w:r>
    </w:p>
    <w:p w14:paraId="16572609">
      <w:pPr>
        <w:framePr w:w="9639" w:h="6974" w:hRule="exact" w:wrap="around" w:vAnchor="page" w:hAnchor="page" w:x="1419" w:y="6408" w:anchorLock="1"/>
        <w:ind w:left="-1418"/>
        <w:rPr>
          <w:rFonts w:cs="Calibri"/>
        </w:rPr>
      </w:pPr>
    </w:p>
    <w:p w14:paraId="285ADBB9">
      <w:pPr>
        <w:framePr w:w="9639" w:h="6974" w:hRule="exact" w:wrap="around" w:vAnchor="page" w:hAnchor="page" w:x="1419" w:y="6408" w:anchorLock="1"/>
        <w:ind w:left="-1418"/>
        <w:rPr>
          <w:rFonts w:cs="Calibri"/>
        </w:rPr>
      </w:pPr>
    </w:p>
    <w:p w14:paraId="40AC0161">
      <w:pPr>
        <w:pStyle w:val="68"/>
        <w:framePr w:h="6974" w:hRule="exact" w:wrap="around" w:x="1419"/>
        <w:snapToGrid w:val="0"/>
        <w:textAlignment w:val="bottom"/>
        <w:rPr>
          <w:rFonts w:hint="eastAsia" w:ascii="黑体" w:hAnsi="黑体" w:cs="黑体"/>
          <w:b w:val="0"/>
          <w:bCs w:val="0"/>
        </w:rPr>
      </w:pPr>
      <w:bookmarkStart w:id="4" w:name="OLE_LINK1"/>
      <w:r>
        <w:rPr>
          <w:rFonts w:hint="eastAsia" w:ascii="黑体" w:hAnsi="黑体" w:cs="黑体"/>
          <w:b w:val="0"/>
          <w:bCs w:val="0"/>
        </w:rPr>
        <w:t xml:space="preserve">Assessment requirements for quality grading and forerunner </w:t>
      </w:r>
    </w:p>
    <w:p w14:paraId="21BDB06B">
      <w:pPr>
        <w:pStyle w:val="68"/>
        <w:framePr w:h="6974" w:hRule="exact" w:wrap="around" w:x="1419"/>
        <w:snapToGrid w:val="0"/>
        <w:textAlignment w:val="bottom"/>
        <w:rPr>
          <w:rFonts w:hint="default" w:ascii="Times New Roman" w:hAnsi="Times New Roman" w:cs="Times New Roman"/>
          <w:b/>
          <w:bCs/>
        </w:rPr>
      </w:pPr>
      <w:r>
        <w:rPr>
          <w:rFonts w:hint="eastAsia" w:ascii="黑体" w:hAnsi="黑体" w:cs="黑体"/>
          <w:b w:val="0"/>
          <w:bCs w:val="0"/>
        </w:rPr>
        <w:t>-Biopurification device for waste gas treatment</w:t>
      </w:r>
    </w:p>
    <w:p w14:paraId="1C75C0FF">
      <w:pPr>
        <w:pStyle w:val="68"/>
        <w:framePr w:h="6974" w:hRule="exact" w:wrap="around" w:x="1419"/>
        <w:snapToGrid w:val="0"/>
        <w:textAlignment w:val="bottom"/>
        <w:rPr>
          <w:rFonts w:hint="eastAsia" w:ascii="黑体" w:hAnsi="黑体" w:eastAsia="黑体" w:cs="黑体"/>
          <w:b w:val="0"/>
          <w:bCs w:val="0"/>
          <w:lang w:val="en-US" w:eastAsia="zh-CN"/>
        </w:rPr>
      </w:pPr>
      <w:r>
        <w:rPr>
          <w:rFonts w:hint="eastAsia" w:ascii="黑体" w:hAnsi="黑体" w:eastAsia="黑体" w:cs="黑体"/>
          <w:b w:val="0"/>
          <w:bCs w:val="0"/>
          <w:lang w:val="en-US" w:eastAsia="zh-CN"/>
        </w:rPr>
        <w:t>(</w:t>
      </w:r>
      <w:r>
        <w:rPr>
          <w:rFonts w:hint="eastAsia" w:ascii="黑体" w:hAnsi="黑体" w:cs="黑体"/>
          <w:b w:val="0"/>
          <w:bCs w:val="0"/>
          <w:lang w:val="en-US" w:eastAsia="zh-CN"/>
        </w:rPr>
        <w:t>征求意见稿</w:t>
      </w:r>
      <w:r>
        <w:rPr>
          <w:rFonts w:hint="eastAsia" w:ascii="黑体" w:hAnsi="黑体" w:eastAsia="黑体" w:cs="黑体"/>
          <w:b w:val="0"/>
          <w:bCs w:val="0"/>
          <w:lang w:val="en-US" w:eastAsia="zh-CN"/>
        </w:rPr>
        <w:t>）</w:t>
      </w:r>
    </w:p>
    <w:bookmarkEnd w:id="4"/>
    <w:p w14:paraId="160EAD6E">
      <w:pPr>
        <w:pStyle w:val="29"/>
        <w:ind w:firstLine="0" w:firstLineChars="0"/>
        <w:rPr>
          <w:rFonts w:hint="eastAsia" w:ascii="黑体" w:hAnsi="黑体" w:eastAsia="黑体" w:cs="黑体"/>
          <w:sz w:val="18"/>
          <w:szCs w:val="18"/>
        </w:rPr>
      </w:pPr>
    </w:p>
    <w:p w14:paraId="4C20219D">
      <w:pPr>
        <w:pStyle w:val="29"/>
        <w:ind w:firstLine="0" w:firstLineChars="0"/>
        <w:rPr>
          <w:rFonts w:hint="eastAsia" w:ascii="黑体" w:hAnsi="黑体" w:eastAsia="黑体" w:cs="黑体"/>
          <w:sz w:val="18"/>
          <w:szCs w:val="18"/>
        </w:rPr>
      </w:pPr>
    </w:p>
    <w:p w14:paraId="07B656E9">
      <w:pPr>
        <w:pStyle w:val="29"/>
        <w:ind w:firstLine="0" w:firstLineChars="0"/>
        <w:rPr>
          <w:rFonts w:hint="eastAsia" w:ascii="黑体" w:hAnsi="黑体" w:eastAsia="黑体" w:cs="黑体"/>
          <w:sz w:val="18"/>
          <w:szCs w:val="18"/>
        </w:rPr>
      </w:pPr>
    </w:p>
    <w:p w14:paraId="7930D812">
      <w:pPr>
        <w:pStyle w:val="29"/>
        <w:ind w:firstLine="0" w:firstLineChars="0"/>
        <w:rPr>
          <w:rFonts w:hint="eastAsia" w:ascii="黑体" w:hAnsi="黑体" w:eastAsia="黑体" w:cs="黑体"/>
          <w:sz w:val="18"/>
          <w:szCs w:val="18"/>
        </w:rPr>
      </w:pPr>
    </w:p>
    <w:bookmarkEnd w:id="0"/>
    <w:bookmarkEnd w:id="1"/>
    <w:bookmarkEnd w:id="2"/>
    <w:bookmarkEnd w:id="3"/>
    <w:p w14:paraId="61DE29EA">
      <w:pPr>
        <w:framePr w:wrap="around" w:vAnchor="page" w:hAnchor="text" w:y="14022"/>
        <w:ind w:firstLine="0"/>
        <w:rPr>
          <w:rFonts w:eastAsia="黑体"/>
          <w:sz w:val="28"/>
          <w:szCs w:val="28"/>
        </w:rPr>
      </w:pP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eastAsia="黑体"/>
          <w:sz w:val="28"/>
          <w:szCs w:val="28"/>
        </w:rPr>
        <w:t>发布</w:t>
      </w:r>
    </w:p>
    <w:p w14:paraId="22FAEE1F">
      <w:pPr>
        <w:pStyle w:val="148"/>
        <w:framePr w:wrap="around" w:hAnchor="page" w:x="6735" w:y="13993"/>
        <w:rPr>
          <w:szCs w:val="28"/>
        </w:rPr>
      </w:pPr>
      <w:r>
        <w:rPr>
          <w:rFonts w:hint="eastAsia" w:ascii="宋体"/>
          <w:szCs w:val="21"/>
        </w:rPr>
        <w:br w:type="textWrapping"/>
      </w:r>
      <w:r>
        <w:rPr>
          <w:rFonts w:hint="eastAsia" w:ascii="黑体" w:hAnsi="黑体" w:cs="黑体"/>
          <w:szCs w:val="28"/>
        </w:rPr>
        <w:t>2024-□□-□□</w:t>
      </w:r>
      <w:r>
        <w:rPr>
          <w:szCs w:val="28"/>
        </w:rPr>
        <w:t>实施</w:t>
      </w:r>
    </w:p>
    <w:p w14:paraId="0F8DD542">
      <w:pPr>
        <w:framePr w:wrap="around" w:vAnchor="page" w:hAnchor="page" w:x="8653" w:y="14062"/>
        <w:ind w:firstLine="0"/>
        <w:jc w:val="both"/>
        <w:rPr>
          <w:rFonts w:eastAsia="黑体"/>
          <w:sz w:val="28"/>
          <w:szCs w:val="28"/>
        </w:rPr>
      </w:pP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eastAsia="黑体"/>
          <w:sz w:val="28"/>
          <w:szCs w:val="28"/>
        </w:rPr>
        <w:t>实施</w:t>
      </w:r>
    </w:p>
    <w:p w14:paraId="4F3B0F14">
      <w:pPr>
        <w:ind w:left="-424" w:leftChars="-202" w:firstLine="428" w:firstLineChars="153"/>
        <w:jc w:val="left"/>
        <w:rPr>
          <w:rFonts w:hint="eastAsia" w:ascii="黑体" w:hAnsi="微软雅黑" w:eastAsia="黑体"/>
          <w:sz w:val="28"/>
          <w:szCs w:val="28"/>
        </w:rPr>
      </w:pPr>
    </w:p>
    <w:p w14:paraId="27BE64C2">
      <w:pPr>
        <w:pStyle w:val="125"/>
        <w:framePr w:w="2854" w:h="1340" w:hRule="exact" w:wrap="around" w:x="4659" w:y="14617"/>
        <w:spacing w:line="580" w:lineRule="exact"/>
        <w:rPr>
          <w:rFonts w:hint="eastAsia" w:ascii="黑体" w:hAnsi="黑体" w:eastAsia="黑体" w:cs="黑体"/>
          <w:bCs/>
          <w:spacing w:val="0"/>
          <w:w w:val="100"/>
          <w:szCs w:val="28"/>
        </w:rPr>
      </w:pPr>
      <w:bookmarkStart w:id="5" w:name="OLE_LINK4"/>
      <w:r>
        <w:rPr>
          <w:rFonts w:hint="eastAsia" w:ascii="黑体" w:hAnsi="黑体" w:eastAsia="黑体" w:cs="黑体"/>
          <w:bCs/>
          <w:spacing w:val="0"/>
          <w:w w:val="100"/>
          <w:szCs w:val="28"/>
        </w:rPr>
        <w:t>中华环保联合会</w:t>
      </w:r>
    </w:p>
    <w:p w14:paraId="4E2C2EEF">
      <w:pPr>
        <w:pStyle w:val="125"/>
        <w:framePr w:w="2854" w:h="1340" w:hRule="exact" w:wrap="around" w:x="4659" w:y="14617"/>
        <w:spacing w:line="580" w:lineRule="exact"/>
        <w:rPr>
          <w:rFonts w:hint="eastAsia" w:ascii="黑体" w:hAnsi="黑体" w:eastAsia="黑体" w:cs="黑体"/>
          <w:bCs/>
          <w:spacing w:val="0"/>
          <w:w w:val="100"/>
          <w:szCs w:val="28"/>
        </w:rPr>
      </w:pPr>
      <w:r>
        <w:rPr>
          <w:rFonts w:hint="eastAsia" w:ascii="黑体" w:hAnsi="黑体" w:eastAsia="黑体" w:cs="黑体"/>
          <w:bCs/>
          <w:spacing w:val="0"/>
          <w:w w:val="100"/>
          <w:szCs w:val="28"/>
        </w:rPr>
        <w:t>中国技术经济学会</w:t>
      </w:r>
    </w:p>
    <w:p w14:paraId="1011531B">
      <w:pPr>
        <w:pStyle w:val="125"/>
        <w:framePr w:w="2854" w:h="1340" w:hRule="exact" w:wrap="around" w:x="4659" w:y="14617"/>
        <w:spacing w:line="580" w:lineRule="exact"/>
        <w:rPr>
          <w:rFonts w:hint="eastAsia" w:ascii="黑体" w:hAnsi="黑体" w:eastAsia="黑体" w:cs="黑体"/>
          <w:b w:val="0"/>
          <w:spacing w:val="0"/>
          <w:w w:val="100"/>
          <w:szCs w:val="28"/>
        </w:rPr>
      </w:pPr>
    </w:p>
    <w:bookmarkEnd w:id="5"/>
    <w:p w14:paraId="03ADE2D7">
      <w:pPr>
        <w:pStyle w:val="125"/>
        <w:framePr w:w="954" w:h="654" w:hRule="exact" w:wrap="around" w:x="7623" w:y="14851"/>
        <w:spacing w:line="580" w:lineRule="exact"/>
        <w:rPr>
          <w:rFonts w:hint="eastAsia" w:ascii="黑体" w:hAnsi="黑体" w:eastAsia="黑体" w:cs="黑体"/>
          <w:bCs/>
          <w:spacing w:val="0"/>
          <w:w w:val="100"/>
          <w:szCs w:val="28"/>
        </w:rPr>
      </w:pPr>
      <w:bookmarkStart w:id="6" w:name="OLE_LINK25"/>
      <w:bookmarkStart w:id="7" w:name="OLE_LINK26"/>
      <w:r>
        <w:rPr>
          <w:rStyle w:val="60"/>
          <w:rFonts w:ascii="Times New Roman"/>
          <w:b w:val="0"/>
          <w:bCs/>
          <w:position w:val="0"/>
        </w:rPr>
        <w:t>发</w:t>
      </w:r>
      <w:r>
        <w:rPr>
          <w:rStyle w:val="60"/>
          <w:rFonts w:ascii="Times New Roman"/>
          <w:b w:val="0"/>
          <w:bCs/>
          <w:spacing w:val="0"/>
          <w:position w:val="0"/>
        </w:rPr>
        <w:t>布</w:t>
      </w:r>
      <w:bookmarkEnd w:id="6"/>
      <w:r>
        <w:rPr>
          <w:rFonts w:hint="eastAsia" w:ascii="黑体" w:hAnsi="黑体" w:eastAsia="黑体" w:cs="黑体"/>
          <w:bCs/>
          <w:spacing w:val="0"/>
          <w:w w:val="100"/>
          <w:szCs w:val="28"/>
        </w:rPr>
        <w:t>布</w:t>
      </w:r>
    </w:p>
    <w:bookmarkEnd w:id="7"/>
    <w:p w14:paraId="40E41624">
      <w:pPr>
        <w:ind w:firstLine="560"/>
        <w:rPr>
          <w:rFonts w:ascii="宋体"/>
          <w:szCs w:val="21"/>
        </w:rPr>
      </w:pPr>
    </w:p>
    <w:p w14:paraId="09323A39">
      <w:pPr>
        <w:rPr>
          <w:rFonts w:ascii="宋体"/>
          <w:szCs w:val="21"/>
        </w:rPr>
      </w:pPr>
      <w:r>
        <w:rPr>
          <w:rFonts w:hint="eastAsia" w:ascii="黑体" w:hAnsi="黑体" w:cs="黑体"/>
        </w:rPr>
        <mc:AlternateContent>
          <mc:Choice Requires="wps">
            <w:drawing>
              <wp:anchor distT="0" distB="0" distL="114300" distR="114300" simplePos="0" relativeHeight="251668480" behindDoc="0" locked="0" layoutInCell="1" allowOverlap="1">
                <wp:simplePos x="0" y="0"/>
                <wp:positionH relativeFrom="column">
                  <wp:posOffset>-31750</wp:posOffset>
                </wp:positionH>
                <wp:positionV relativeFrom="paragraph">
                  <wp:posOffset>187325</wp:posOffset>
                </wp:positionV>
                <wp:extent cx="5934710" cy="0"/>
                <wp:effectExtent l="0" t="6350" r="0" b="6350"/>
                <wp:wrapNone/>
                <wp:docPr id="2"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2.5pt;margin-top:14.75pt;height:0pt;width:467.3pt;z-index:251668480;mso-width-relative:page;mso-height-relative:page;" filled="f" stroked="t" coordsize="21600,21600" o:gfxdata="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x50r3Y&#10;AAAACAEAAA8AAAAAAAAAAQAgAAAAIgAAAGRycy9kb3ducmV2LnhtbFBLAQIUABQAAAAIAIdO4kBX&#10;3aAL5wEAAKwDAAAOAAAAAAAAAAEAIAAAACcBAABkcnMvZTJvRG9jLnhtbFBLBQYAAAAABgAGAFkB&#10;AACABQAAAAA=&#10;">
                <v:fill on="f" focussize="0,0"/>
                <v:stroke weight="1pt" color="#080000" joinstyle="round"/>
                <v:imagedata o:title=""/>
                <o:lock v:ext="edit" aspectratio="f"/>
              </v:line>
            </w:pict>
          </mc:Fallback>
        </mc:AlternateContent>
      </w:r>
    </w:p>
    <w:p w14:paraId="66F059B2">
      <w:pPr>
        <w:rPr>
          <w:rFonts w:ascii="宋体"/>
          <w:szCs w:val="21"/>
        </w:rPr>
      </w:pPr>
    </w:p>
    <w:p w14:paraId="445EA38D">
      <w:pPr>
        <w:rPr>
          <w:rFonts w:ascii="宋体"/>
          <w:szCs w:val="21"/>
        </w:rPr>
        <w:sectPr>
          <w:headerReference r:id="rId5" w:type="first"/>
          <w:headerReference r:id="rId3" w:type="default"/>
          <w:footerReference r:id="rId6" w:type="default"/>
          <w:headerReference r:id="rId4" w:type="even"/>
          <w:footerReference r:id="rId7" w:type="even"/>
          <w:pgSz w:w="11906" w:h="16838"/>
          <w:pgMar w:top="1417" w:right="1134" w:bottom="1134" w:left="1417" w:header="1417" w:footer="1134" w:gutter="0"/>
          <w:pgNumType w:fmt="upperRoman" w:start="1"/>
          <w:cols w:space="720" w:num="1"/>
          <w:formProt w:val="0"/>
          <w:titlePg/>
          <w:docGrid w:type="lines" w:linePitch="312" w:charSpace="0"/>
        </w:sectPr>
      </w:pPr>
    </w:p>
    <w:p w14:paraId="06B5BCE5">
      <w:r>
        <w:br w:type="page"/>
      </w:r>
    </w:p>
    <w:p w14:paraId="0FE8F07E">
      <w:pPr>
        <w:keepNext/>
        <w:keepLines/>
        <w:spacing w:line="377" w:lineRule="auto"/>
        <w:sectPr>
          <w:headerReference r:id="rId8" w:type="first"/>
          <w:footerReference r:id="rId9" w:type="first"/>
          <w:type w:val="continuous"/>
          <w:pgSz w:w="11906" w:h="16838"/>
          <w:pgMar w:top="1417" w:right="1134" w:bottom="1134" w:left="1417" w:header="1417" w:footer="1134" w:gutter="0"/>
          <w:pgNumType w:fmt="upperRoman" w:start="1"/>
          <w:cols w:space="0" w:num="1"/>
          <w:formProt w:val="0"/>
          <w:docGrid w:type="lines" w:linePitch="312" w:charSpace="0"/>
        </w:sectPr>
      </w:pPr>
    </w:p>
    <w:p w14:paraId="50450298">
      <w:pPr>
        <w:rPr>
          <w:rFonts w:ascii="宋体"/>
          <w:szCs w:val="21"/>
        </w:rPr>
      </w:pPr>
    </w:p>
    <w:p w14:paraId="55323CB2">
      <w:pPr>
        <w:rPr>
          <w:rFonts w:ascii="宋体"/>
          <w:szCs w:val="21"/>
        </w:rPr>
      </w:pPr>
    </w:p>
    <w:p w14:paraId="41FE1C58">
      <w:pPr>
        <w:rPr>
          <w:rFonts w:ascii="宋体"/>
          <w:szCs w:val="21"/>
        </w:rPr>
      </w:pPr>
    </w:p>
    <w:p w14:paraId="48EFF60E">
      <w:pPr>
        <w:rPr>
          <w:rFonts w:ascii="宋体"/>
          <w:szCs w:val="21"/>
        </w:rPr>
      </w:pPr>
    </w:p>
    <w:p w14:paraId="2AB22F84">
      <w:pPr>
        <w:rPr>
          <w:rFonts w:ascii="宋体"/>
          <w:szCs w:val="21"/>
        </w:rPr>
      </w:pPr>
    </w:p>
    <w:p w14:paraId="189B7180">
      <w:pPr>
        <w:rPr>
          <w:rFonts w:ascii="宋体"/>
          <w:szCs w:val="21"/>
        </w:rPr>
      </w:pPr>
    </w:p>
    <w:p w14:paraId="4CFCF522">
      <w:pPr>
        <w:rPr>
          <w:rFonts w:ascii="宋体"/>
          <w:szCs w:val="21"/>
        </w:rPr>
      </w:pPr>
    </w:p>
    <w:p w14:paraId="6BBDB0B7">
      <w:pPr>
        <w:rPr>
          <w:rFonts w:ascii="宋体"/>
          <w:szCs w:val="21"/>
        </w:rPr>
      </w:pPr>
    </w:p>
    <w:p w14:paraId="34E8056E">
      <w:pPr>
        <w:rPr>
          <w:rFonts w:ascii="宋体"/>
          <w:szCs w:val="21"/>
        </w:rPr>
      </w:pPr>
    </w:p>
    <w:p w14:paraId="1FE88995">
      <w:pPr>
        <w:rPr>
          <w:rFonts w:ascii="宋体"/>
          <w:szCs w:val="21"/>
        </w:rPr>
      </w:pPr>
    </w:p>
    <w:p w14:paraId="435BD597">
      <w:pPr>
        <w:rPr>
          <w:rFonts w:ascii="宋体"/>
          <w:szCs w:val="21"/>
        </w:rPr>
      </w:pPr>
    </w:p>
    <w:p w14:paraId="342A6391">
      <w:pPr>
        <w:rPr>
          <w:rFonts w:ascii="宋体"/>
          <w:szCs w:val="21"/>
        </w:rPr>
      </w:pPr>
    </w:p>
    <w:p w14:paraId="62B619CB">
      <w:pPr>
        <w:rPr>
          <w:rFonts w:ascii="宋体"/>
          <w:szCs w:val="21"/>
        </w:rPr>
      </w:pPr>
    </w:p>
    <w:p w14:paraId="3DB05D95">
      <w:pPr>
        <w:rPr>
          <w:rFonts w:ascii="宋体"/>
          <w:szCs w:val="21"/>
        </w:rPr>
      </w:pPr>
    </w:p>
    <w:p w14:paraId="245550C3">
      <w:pPr>
        <w:rPr>
          <w:rFonts w:ascii="宋体"/>
          <w:szCs w:val="21"/>
        </w:rPr>
      </w:pPr>
    </w:p>
    <w:p w14:paraId="7F179B25">
      <w:pPr>
        <w:rPr>
          <w:rFonts w:ascii="宋体"/>
          <w:szCs w:val="21"/>
        </w:rPr>
      </w:pPr>
    </w:p>
    <w:p w14:paraId="6697F2C9">
      <w:pPr>
        <w:rPr>
          <w:rFonts w:ascii="宋体"/>
          <w:szCs w:val="21"/>
        </w:rPr>
      </w:pPr>
    </w:p>
    <w:p w14:paraId="4FAFEFDB">
      <w:pPr>
        <w:rPr>
          <w:rFonts w:ascii="宋体"/>
          <w:szCs w:val="21"/>
        </w:rPr>
      </w:pPr>
    </w:p>
    <w:p w14:paraId="2C321E90">
      <w:pPr>
        <w:rPr>
          <w:rFonts w:ascii="宋体"/>
          <w:szCs w:val="21"/>
        </w:rPr>
      </w:pPr>
    </w:p>
    <w:p w14:paraId="3C0B91D1">
      <w:pPr>
        <w:rPr>
          <w:rFonts w:ascii="宋体"/>
          <w:szCs w:val="21"/>
        </w:rPr>
      </w:pPr>
    </w:p>
    <w:p w14:paraId="02DE54F0">
      <w:pPr>
        <w:rPr>
          <w:rFonts w:ascii="宋体"/>
          <w:szCs w:val="21"/>
        </w:rPr>
      </w:pPr>
    </w:p>
    <w:p w14:paraId="0F0E5981">
      <w:pPr>
        <w:rPr>
          <w:rFonts w:ascii="宋体"/>
          <w:szCs w:val="21"/>
        </w:rPr>
      </w:pPr>
    </w:p>
    <w:p w14:paraId="61BFC862">
      <w:pPr>
        <w:rPr>
          <w:rFonts w:ascii="宋体"/>
          <w:szCs w:val="21"/>
        </w:rPr>
      </w:pPr>
    </w:p>
    <w:p w14:paraId="35CADDF5">
      <w:pPr>
        <w:rPr>
          <w:rFonts w:ascii="宋体"/>
          <w:szCs w:val="21"/>
        </w:rPr>
      </w:pPr>
    </w:p>
    <w:p w14:paraId="05FF8190">
      <w:pPr>
        <w:rPr>
          <w:rFonts w:ascii="宋体"/>
          <w:szCs w:val="21"/>
        </w:rPr>
      </w:pPr>
    </w:p>
    <w:p w14:paraId="5D19E666">
      <w:pPr>
        <w:rPr>
          <w:rFonts w:ascii="宋体"/>
          <w:szCs w:val="21"/>
        </w:rPr>
      </w:pPr>
    </w:p>
    <w:p w14:paraId="3A3E3002">
      <w:pPr>
        <w:rPr>
          <w:rFonts w:ascii="宋体"/>
          <w:szCs w:val="21"/>
        </w:rPr>
      </w:pPr>
    </w:p>
    <w:p w14:paraId="14D086FC">
      <w:pPr>
        <w:rPr>
          <w:rFonts w:ascii="宋体"/>
          <w:szCs w:val="21"/>
        </w:rPr>
      </w:pPr>
    </w:p>
    <w:p w14:paraId="46BF018D">
      <w:pPr>
        <w:rPr>
          <w:rFonts w:ascii="宋体"/>
          <w:szCs w:val="21"/>
        </w:rPr>
      </w:pPr>
    </w:p>
    <w:p w14:paraId="3F33237A">
      <w:pPr>
        <w:rPr>
          <w:rFonts w:ascii="宋体"/>
          <w:szCs w:val="21"/>
        </w:rPr>
      </w:pPr>
    </w:p>
    <w:p w14:paraId="4BF9B812">
      <w:pPr>
        <w:rPr>
          <w:rFonts w:ascii="宋体"/>
          <w:szCs w:val="21"/>
        </w:rPr>
      </w:pPr>
    </w:p>
    <w:p w14:paraId="64EB4D67">
      <w:pPr>
        <w:rPr>
          <w:rFonts w:ascii="宋体"/>
          <w:szCs w:val="21"/>
        </w:rPr>
      </w:pPr>
    </w:p>
    <w:p w14:paraId="262D458F">
      <w:pPr>
        <w:rPr>
          <w:rFonts w:ascii="宋体"/>
          <w:szCs w:val="21"/>
        </w:rPr>
      </w:pPr>
    </w:p>
    <w:p w14:paraId="58180CD2">
      <w:pPr>
        <w:rPr>
          <w:rFonts w:ascii="宋体"/>
          <w:szCs w:val="21"/>
        </w:rPr>
      </w:pPr>
    </w:p>
    <w:p w14:paraId="43D15B35">
      <w:pPr>
        <w:rPr>
          <w:rFonts w:ascii="宋体"/>
          <w:szCs w:val="21"/>
        </w:rPr>
      </w:pPr>
      <w:r>
        <w:rPr>
          <w:rFonts w:ascii="宋体"/>
          <w:szCs w:val="21"/>
        </w:rPr>
        <w:drawing>
          <wp:inline distT="0" distB="0" distL="114300" distR="114300">
            <wp:extent cx="808990" cy="765175"/>
            <wp:effectExtent l="0" t="0" r="635" b="1270"/>
            <wp:docPr id="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
                    <pic:cNvPicPr>
                      <a:picLocks noChangeAspect="1"/>
                    </pic:cNvPicPr>
                  </pic:nvPicPr>
                  <pic:blipFill>
                    <a:blip r:embed="rId24"/>
                    <a:stretch>
                      <a:fillRect/>
                    </a:stretch>
                  </pic:blipFill>
                  <pic:spPr>
                    <a:xfrm>
                      <a:off x="0" y="0"/>
                      <a:ext cx="808990" cy="765175"/>
                    </a:xfrm>
                    <a:prstGeom prst="rect">
                      <a:avLst/>
                    </a:prstGeom>
                    <a:noFill/>
                    <a:ln>
                      <a:noFill/>
                    </a:ln>
                  </pic:spPr>
                </pic:pic>
              </a:graphicData>
            </a:graphic>
          </wp:inline>
        </w:drawing>
      </w:r>
      <w:r>
        <w:rPr>
          <w:rFonts w:ascii="宋体"/>
          <w:szCs w:val="21"/>
        </w:rPr>
        <w:t xml:space="preserve"> </w:t>
      </w:r>
      <w:r>
        <w:rPr>
          <w:rFonts w:hint="eastAsia" w:ascii="宋体"/>
          <w:szCs w:val="21"/>
        </w:rPr>
        <w:t>版权保护文件</w:t>
      </w:r>
    </w:p>
    <w:p w14:paraId="66EBAE60">
      <w:pPr>
        <w:spacing w:before="156" w:beforeLines="50" w:after="156" w:afterLines="50"/>
        <w:ind w:firstLine="420" w:firstLineChars="200"/>
        <w:rPr>
          <w:rFonts w:ascii="宋体"/>
          <w:szCs w:val="21"/>
        </w:rPr>
      </w:pPr>
      <w:r>
        <w:rPr>
          <w:rFonts w:hint="eastAsia" w:ascii="宋体"/>
          <w:szCs w:val="21"/>
        </w:rPr>
        <w:t>版权所有归属于该标准的发布机构。除非有其他规定，否则未经许可，此发行物及其章节不得以其他形式或任何手段进行复制、再版或使用，包括电子版，影印件，或发布在互联网及内部网络等。使用许</w:t>
      </w:r>
      <w:r>
        <w:rPr>
          <w:rFonts w:hint="eastAsia" w:ascii="宋体"/>
          <w:szCs w:val="21"/>
          <w:lang w:val="en-US" w:eastAsia="zh-CN"/>
        </w:rPr>
        <w:t>可请与</w:t>
      </w:r>
      <w:r>
        <w:rPr>
          <w:rFonts w:hint="eastAsia" w:ascii="宋体"/>
          <w:szCs w:val="21"/>
        </w:rPr>
        <w:t>发布机构获取。</w:t>
      </w:r>
    </w:p>
    <w:p w14:paraId="72601983">
      <w:pPr>
        <w:keepNext/>
        <w:keepLines/>
        <w:spacing w:line="377" w:lineRule="auto"/>
        <w:sectPr>
          <w:pgSz w:w="11906" w:h="16838"/>
          <w:pgMar w:top="1417" w:right="1134" w:bottom="1134" w:left="1417" w:header="1417" w:footer="1134" w:gutter="0"/>
          <w:pgNumType w:fmt="upperRoman" w:start="1"/>
          <w:cols w:space="0" w:num="1"/>
          <w:formProt w:val="0"/>
          <w:docGrid w:type="lines" w:linePitch="312" w:charSpace="0"/>
        </w:sectPr>
      </w:pPr>
    </w:p>
    <w:sdt>
      <w:sdtPr>
        <w:rPr>
          <w:rFonts w:ascii="宋体" w:hAnsi="宋体" w:eastAsia="黑体"/>
          <w:sz w:val="32"/>
        </w:rPr>
        <w:id w:val="147454772"/>
        <w15:color w:val="DBDBDB"/>
        <w:docPartObj>
          <w:docPartGallery w:val="Table of Contents"/>
          <w:docPartUnique/>
        </w:docPartObj>
      </w:sdtPr>
      <w:sdtEndPr>
        <w:rPr>
          <w:rFonts w:ascii="Times New Roman" w:hAnsi="Times New Roman" w:eastAsia="黑体"/>
          <w:color w:val="000000" w:themeColor="text1"/>
          <w:sz w:val="32"/>
          <w14:textFill>
            <w14:solidFill>
              <w14:schemeClr w14:val="tx1"/>
            </w14:solidFill>
          </w14:textFill>
        </w:rPr>
      </w:sdtEndPr>
      <w:sdtContent>
        <w:p w14:paraId="792D2CB7">
          <w:pPr>
            <w:pStyle w:val="29"/>
            <w:keepNext w:val="0"/>
            <w:keepLines w:val="0"/>
            <w:pageBreakBefore w:val="0"/>
            <w:widowControl/>
            <w:kinsoku/>
            <w:wordWrap/>
            <w:overflowPunct/>
            <w:topLinePunct w:val="0"/>
            <w:autoSpaceDE w:val="0"/>
            <w:autoSpaceDN w:val="0"/>
            <w:bidi w:val="0"/>
            <w:adjustRightInd/>
            <w:snapToGrid w:val="0"/>
            <w:spacing w:before="850" w:after="680"/>
            <w:ind w:firstLine="0" w:firstLineChars="0"/>
            <w:jc w:val="center"/>
            <w:textAlignment w:val="auto"/>
          </w:pPr>
          <w:r>
            <w:rPr>
              <w:rFonts w:hint="eastAsia" w:ascii="黑体" w:hAnsi="黑体" w:eastAsia="黑体" w:cs="黑体"/>
              <w:color w:val="000000" w:themeColor="text1"/>
              <w:spacing w:val="320"/>
              <w:sz w:val="32"/>
              <w:szCs w:val="32"/>
              <w14:textFill>
                <w14:solidFill>
                  <w14:schemeClr w14:val="tx1"/>
                </w14:solidFill>
              </w14:textFill>
            </w:rPr>
            <w:t>目</w:t>
          </w:r>
          <w:r>
            <w:rPr>
              <w:rFonts w:hint="eastAsia" w:ascii="黑体" w:hAnsi="黑体" w:eastAsia="黑体" w:cs="黑体"/>
              <w:color w:val="000000" w:themeColor="text1"/>
              <w:sz w:val="32"/>
              <w:szCs w:val="32"/>
              <w14:textFill>
                <w14:solidFill>
                  <w14:schemeClr w14:val="tx1"/>
                </w14:solidFill>
              </w14:textFill>
            </w:rPr>
            <w:t>次</w:t>
          </w:r>
        </w:p>
        <w:p w14:paraId="7ED7BEBE">
          <w:pPr>
            <w:pStyle w:val="25"/>
            <w:tabs>
              <w:tab w:val="right" w:leader="dot" w:pos="9355"/>
              <w:tab w:val="clear" w:pos="9242"/>
            </w:tabs>
            <w:rPr>
              <w:rFonts w:hint="default" w:ascii="Times New Roman" w:hAnsi="Times New Roman" w:cs="Times New Roman"/>
            </w:rPr>
          </w:pPr>
          <w:bookmarkStart w:id="8" w:name="OLE_LINK3"/>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TOC \o "1-1" \h \u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rPr>
            <w:instrText xml:space="preserve"> HYPERLINK \l _Toc27490 </w:instrText>
          </w:r>
          <w:r>
            <w:rPr>
              <w:rFonts w:hint="default" w:ascii="Times New Roman" w:hAnsi="Times New Roman" w:cs="Times New Roman"/>
            </w:rPr>
            <w:fldChar w:fldCharType="separate"/>
          </w:r>
          <w:r>
            <w:rPr>
              <w:rFonts w:hint="default" w:ascii="Times New Roman" w:hAnsi="Times New Roman" w:cs="Times New Roman"/>
            </w:rPr>
            <w:t>前言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_Toc27490 \h </w:instrText>
          </w:r>
          <w:r>
            <w:rPr>
              <w:rFonts w:hint="default" w:ascii="Times New Roman" w:hAnsi="Times New Roman" w:cs="Times New Roman"/>
            </w:rPr>
            <w:fldChar w:fldCharType="separate"/>
          </w:r>
          <w:r>
            <w:rPr>
              <w:rFonts w:hint="default" w:ascii="Times New Roman" w:hAnsi="Times New Roman" w:cs="Times New Roman"/>
            </w:rPr>
            <w:t>III</w:t>
          </w:r>
          <w:r>
            <w:rPr>
              <w:rFonts w:hint="default" w:ascii="Times New Roman" w:hAnsi="Times New Roman" w:cs="Times New Roman"/>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567A98D3">
          <w:pPr>
            <w:pStyle w:val="25"/>
            <w:tabs>
              <w:tab w:val="right" w:leader="dot" w:pos="9355"/>
              <w:tab w:val="clear" w:pos="9242"/>
            </w:tabs>
            <w:rPr>
              <w:rFonts w:hint="default" w:ascii="Times New Roman" w:hAnsi="Times New Roman" w:cs="Times New Roman"/>
            </w:rPr>
          </w:pP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rPr>
            <w:instrText xml:space="preserve"> HYPERLINK \l _Toc7288 </w:instrText>
          </w:r>
          <w:r>
            <w:rPr>
              <w:rFonts w:hint="default" w:ascii="Times New Roman" w:hAnsi="Times New Roman" w:eastAsia="宋体" w:cs="Times New Roman"/>
            </w:rPr>
            <w:fldChar w:fldCharType="separate"/>
          </w:r>
          <w:r>
            <w:rPr>
              <w:rFonts w:hint="default" w:ascii="Times New Roman" w:hAnsi="Times New Roman" w:eastAsia="黑体" w:cs="Times New Roman"/>
              <w:i w:val="0"/>
              <w:szCs w:val="21"/>
            </w:rPr>
            <w:t xml:space="preserve">1 </w:t>
          </w:r>
          <w:r>
            <w:rPr>
              <w:rFonts w:hint="default" w:ascii="Times New Roman" w:hAnsi="Times New Roman" w:cs="Times New Roman"/>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_Toc7288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color w:val="000000" w:themeColor="text1"/>
              <w14:textFill>
                <w14:solidFill>
                  <w14:schemeClr w14:val="tx1"/>
                </w14:solidFill>
              </w14:textFill>
            </w:rPr>
            <w:fldChar w:fldCharType="end"/>
          </w:r>
        </w:p>
        <w:p w14:paraId="6C59F31B">
          <w:pPr>
            <w:pStyle w:val="25"/>
            <w:tabs>
              <w:tab w:val="right" w:leader="dot" w:pos="9355"/>
              <w:tab w:val="clear" w:pos="9242"/>
            </w:tabs>
            <w:rPr>
              <w:rFonts w:hint="default" w:ascii="Times New Roman" w:hAnsi="Times New Roman" w:cs="Times New Roman"/>
            </w:rPr>
          </w:pP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rPr>
            <w:instrText xml:space="preserve"> HYPERLINK \l _Toc2435 </w:instrText>
          </w:r>
          <w:r>
            <w:rPr>
              <w:rFonts w:hint="default" w:ascii="Times New Roman" w:hAnsi="Times New Roman" w:eastAsia="宋体" w:cs="Times New Roman"/>
            </w:rPr>
            <w:fldChar w:fldCharType="separate"/>
          </w:r>
          <w:r>
            <w:rPr>
              <w:rFonts w:hint="default" w:ascii="Times New Roman" w:hAnsi="Times New Roman" w:eastAsia="黑体" w:cs="Times New Roman"/>
              <w:i w:val="0"/>
              <w:szCs w:val="21"/>
            </w:rPr>
            <w:t xml:space="preserve">2 </w:t>
          </w:r>
          <w:r>
            <w:rPr>
              <w:rFonts w:hint="default" w:ascii="Times New Roman" w:hAnsi="Times New Roman" w:cs="Times New Roman"/>
            </w:rPr>
            <w:t>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_Toc2435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color w:val="000000" w:themeColor="text1"/>
              <w14:textFill>
                <w14:solidFill>
                  <w14:schemeClr w14:val="tx1"/>
                </w14:solidFill>
              </w14:textFill>
            </w:rPr>
            <w:fldChar w:fldCharType="end"/>
          </w:r>
        </w:p>
        <w:p w14:paraId="2EC28E6D">
          <w:pPr>
            <w:pStyle w:val="25"/>
            <w:tabs>
              <w:tab w:val="right" w:leader="dot" w:pos="9355"/>
              <w:tab w:val="clear" w:pos="9242"/>
            </w:tabs>
            <w:rPr>
              <w:rFonts w:hint="default" w:ascii="Times New Roman" w:hAnsi="Times New Roman" w:cs="Times New Roman"/>
            </w:rPr>
          </w:pP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rPr>
            <w:instrText xml:space="preserve"> HYPERLINK \l _Toc18142 </w:instrText>
          </w:r>
          <w:r>
            <w:rPr>
              <w:rFonts w:hint="default" w:ascii="Times New Roman" w:hAnsi="Times New Roman" w:eastAsia="宋体" w:cs="Times New Roman"/>
            </w:rPr>
            <w:fldChar w:fldCharType="separate"/>
          </w:r>
          <w:r>
            <w:rPr>
              <w:rFonts w:hint="default" w:ascii="Times New Roman" w:hAnsi="Times New Roman" w:eastAsia="黑体" w:cs="Times New Roman"/>
              <w:i w:val="0"/>
              <w:szCs w:val="21"/>
            </w:rPr>
            <w:t xml:space="preserve">3 </w:t>
          </w:r>
          <w:r>
            <w:rPr>
              <w:rFonts w:hint="default" w:ascii="Times New Roman" w:hAnsi="Times New Roman" w:cs="Times New Roman"/>
            </w:rPr>
            <w:t>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_Toc18142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color w:val="000000" w:themeColor="text1"/>
              <w14:textFill>
                <w14:solidFill>
                  <w14:schemeClr w14:val="tx1"/>
                </w14:solidFill>
              </w14:textFill>
            </w:rPr>
            <w:fldChar w:fldCharType="end"/>
          </w:r>
        </w:p>
        <w:p w14:paraId="7ACB95F1">
          <w:pPr>
            <w:pStyle w:val="25"/>
            <w:tabs>
              <w:tab w:val="right" w:leader="dot" w:pos="9355"/>
              <w:tab w:val="clear" w:pos="9242"/>
            </w:tabs>
            <w:rPr>
              <w:rFonts w:hint="default" w:ascii="Times New Roman" w:hAnsi="Times New Roman" w:cs="Times New Roman"/>
            </w:rPr>
          </w:pP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rPr>
            <w:instrText xml:space="preserve"> HYPERLINK \l _Toc26374 </w:instrText>
          </w:r>
          <w:r>
            <w:rPr>
              <w:rFonts w:hint="default" w:ascii="Times New Roman" w:hAnsi="Times New Roman" w:eastAsia="宋体" w:cs="Times New Roman"/>
            </w:rPr>
            <w:fldChar w:fldCharType="separate"/>
          </w:r>
          <w:r>
            <w:rPr>
              <w:rFonts w:hint="default" w:ascii="Times New Roman" w:hAnsi="Times New Roman" w:eastAsia="黑体" w:cs="Times New Roman"/>
              <w:i w:val="0"/>
              <w:szCs w:val="21"/>
            </w:rPr>
            <w:t xml:space="preserve">4 </w:t>
          </w:r>
          <w:r>
            <w:rPr>
              <w:rFonts w:hint="default" w:ascii="Times New Roman" w:hAnsi="Times New Roman" w:cs="Times New Roman"/>
            </w:rPr>
            <w:t>基本要求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_Toc26374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color w:val="000000" w:themeColor="text1"/>
              <w14:textFill>
                <w14:solidFill>
                  <w14:schemeClr w14:val="tx1"/>
                </w14:solidFill>
              </w14:textFill>
            </w:rPr>
            <w:fldChar w:fldCharType="end"/>
          </w:r>
        </w:p>
        <w:p w14:paraId="7EDE52B4">
          <w:pPr>
            <w:pStyle w:val="25"/>
            <w:tabs>
              <w:tab w:val="right" w:leader="dot" w:pos="9355"/>
              <w:tab w:val="clear" w:pos="9242"/>
            </w:tabs>
            <w:rPr>
              <w:rFonts w:hint="default" w:ascii="Times New Roman" w:hAnsi="Times New Roman" w:cs="Times New Roman"/>
            </w:rPr>
          </w:pP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rPr>
            <w:instrText xml:space="preserve"> HYPERLINK \l _Toc3289 </w:instrText>
          </w:r>
          <w:r>
            <w:rPr>
              <w:rFonts w:hint="default" w:ascii="Times New Roman" w:hAnsi="Times New Roman" w:eastAsia="宋体" w:cs="Times New Roman"/>
            </w:rPr>
            <w:fldChar w:fldCharType="separate"/>
          </w:r>
          <w:r>
            <w:rPr>
              <w:rFonts w:hint="default" w:ascii="Times New Roman" w:hAnsi="Times New Roman" w:eastAsia="黑体" w:cs="Times New Roman"/>
              <w:i w:val="0"/>
              <w:szCs w:val="21"/>
            </w:rPr>
            <w:t xml:space="preserve">5 </w:t>
          </w:r>
          <w:r>
            <w:rPr>
              <w:rFonts w:hint="default" w:ascii="Times New Roman" w:hAnsi="Times New Roman" w:cs="Times New Roman"/>
            </w:rPr>
            <w:t>评价指标</w:t>
          </w:r>
          <w:r>
            <w:rPr>
              <w:rFonts w:hint="default" w:ascii="Times New Roman" w:hAnsi="Times New Roman" w:cs="Times New Roman"/>
              <w:lang w:val="en-US" w:eastAsia="zh-CN"/>
            </w:rPr>
            <w:t>及要求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_Toc3289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color w:val="000000" w:themeColor="text1"/>
              <w14:textFill>
                <w14:solidFill>
                  <w14:schemeClr w14:val="tx1"/>
                </w14:solidFill>
              </w14:textFill>
            </w:rPr>
            <w:fldChar w:fldCharType="end"/>
          </w:r>
        </w:p>
        <w:p w14:paraId="63B0C62C">
          <w:pPr>
            <w:pStyle w:val="25"/>
            <w:tabs>
              <w:tab w:val="right" w:leader="dot" w:pos="9355"/>
              <w:tab w:val="clear" w:pos="9242"/>
            </w:tabs>
            <w:rPr>
              <w:rFonts w:hint="default" w:ascii="Times New Roman" w:hAnsi="Times New Roman" w:cs="Times New Roman"/>
            </w:rPr>
          </w:pP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rPr>
            <w:instrText xml:space="preserve"> HYPERLINK \l _Toc7087 </w:instrText>
          </w:r>
          <w:r>
            <w:rPr>
              <w:rFonts w:hint="default" w:ascii="Times New Roman" w:hAnsi="Times New Roman" w:eastAsia="宋体" w:cs="Times New Roman"/>
            </w:rPr>
            <w:fldChar w:fldCharType="separate"/>
          </w:r>
          <w:r>
            <w:rPr>
              <w:rFonts w:hint="default" w:ascii="Times New Roman" w:hAnsi="Times New Roman" w:eastAsia="黑体" w:cs="Times New Roman"/>
              <w:i w:val="0"/>
              <w:szCs w:val="21"/>
            </w:rPr>
            <w:t xml:space="preserve">6 </w:t>
          </w:r>
          <w:r>
            <w:rPr>
              <w:rFonts w:hint="default" w:ascii="Times New Roman" w:hAnsi="Times New Roman" w:cs="Times New Roman"/>
            </w:rPr>
            <w:t>评价方法及等级划分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_Toc7087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color w:val="000000" w:themeColor="text1"/>
              <w14:textFill>
                <w14:solidFill>
                  <w14:schemeClr w14:val="tx1"/>
                </w14:solidFill>
              </w14:textFill>
            </w:rPr>
            <w:fldChar w:fldCharType="end"/>
          </w:r>
        </w:p>
        <w:p w14:paraId="5D83E3AD">
          <w:pPr>
            <w:pStyle w:val="25"/>
            <w:tabs>
              <w:tab w:val="right" w:leader="dot" w:pos="9355"/>
              <w:tab w:val="clear" w:pos="9242"/>
            </w:tabs>
            <w:rPr>
              <w:rFonts w:hint="default" w:ascii="Times New Roman" w:hAnsi="Times New Roman" w:cs="Times New Roman"/>
            </w:rPr>
          </w:pP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rPr>
            <w:instrText xml:space="preserve"> HYPERLINK \l _Toc29870 </w:instrText>
          </w:r>
          <w:r>
            <w:rPr>
              <w:rFonts w:hint="default" w:ascii="Times New Roman" w:hAnsi="Times New Roman" w:eastAsia="宋体" w:cs="Times New Roman"/>
            </w:rPr>
            <w:fldChar w:fldCharType="separate"/>
          </w:r>
          <w:r>
            <w:rPr>
              <w:rFonts w:hint="default" w:ascii="Times New Roman" w:hAnsi="Times New Roman" w:cs="Times New Roman"/>
            </w:rPr>
            <w:t>附录</w:t>
          </w:r>
          <w:r>
            <w:rPr>
              <w:rFonts w:hint="default" w:ascii="Times New Roman" w:hAnsi="Times New Roman" w:cs="Times New Roman"/>
              <w:bCs/>
            </w:rPr>
            <w:t>A</w:t>
          </w:r>
          <w:r>
            <w:rPr>
              <w:rFonts w:hint="eastAsia" w:ascii="Times New Roman" w:cs="Times New Roman"/>
              <w:bCs/>
              <w:lang w:eastAsia="zh-CN"/>
            </w:rPr>
            <w:t>（</w:t>
          </w:r>
          <w:r>
            <w:rPr>
              <w:rFonts w:hint="eastAsia" w:ascii="Times New Roman" w:cs="Times New Roman"/>
              <w:bCs/>
              <w:lang w:val="en-US" w:eastAsia="zh-CN"/>
            </w:rPr>
            <w:t>资料性</w:t>
          </w:r>
          <w:r>
            <w:rPr>
              <w:rFonts w:hint="eastAsia" w:ascii="Times New Roman" w:cs="Times New Roman"/>
              <w:bCs/>
              <w:lang w:eastAsia="zh-CN"/>
            </w:rPr>
            <w:t>）</w:t>
          </w:r>
          <w:r>
            <w:rPr>
              <w:rFonts w:hint="eastAsia" w:ascii="Times New Roman" w:cs="Times New Roman"/>
              <w:bCs/>
              <w:lang w:val="en-US" w:eastAsia="zh-CN"/>
            </w:rPr>
            <w:t xml:space="preserve"> 自控程序组成及要求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_Toc29870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宋体" w:cs="Times New Roman"/>
              <w:color w:val="000000" w:themeColor="text1"/>
              <w14:textFill>
                <w14:solidFill>
                  <w14:schemeClr w14:val="tx1"/>
                </w14:solidFill>
              </w14:textFill>
            </w:rPr>
            <w:fldChar w:fldCharType="end"/>
          </w:r>
        </w:p>
        <w:p w14:paraId="1EADD5FE">
          <w:pPr>
            <w:pStyle w:val="25"/>
            <w:tabs>
              <w:tab w:val="right" w:leader="dot" w:pos="9355"/>
              <w:tab w:val="clear" w:pos="9242"/>
            </w:tabs>
            <w:rPr>
              <w:rFonts w:hint="default" w:ascii="Times New Roman" w:hAnsi="Times New Roman" w:cs="Times New Roman"/>
            </w:rPr>
          </w:pP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rPr>
            <w:instrText xml:space="preserve"> HYPERLINK \l _Toc1495 </w:instrText>
          </w:r>
          <w:r>
            <w:rPr>
              <w:rFonts w:hint="default" w:ascii="Times New Roman" w:hAnsi="Times New Roman" w:eastAsia="宋体" w:cs="Times New Roman"/>
            </w:rPr>
            <w:fldChar w:fldCharType="separate"/>
          </w:r>
          <w:r>
            <w:rPr>
              <w:rFonts w:hint="default" w:ascii="Times New Roman" w:hAnsi="Times New Roman" w:cs="Times New Roman"/>
            </w:rPr>
            <w:t>附录</w:t>
          </w:r>
          <w:r>
            <w:rPr>
              <w:rFonts w:hint="default" w:ascii="Times New Roman" w:hAnsi="Times New Roman" w:cs="Times New Roman"/>
              <w:bCs/>
            </w:rPr>
            <w:t>B</w:t>
          </w:r>
          <w:r>
            <w:rPr>
              <w:rFonts w:hint="eastAsia" w:ascii="Times New Roman" w:cs="Times New Roman"/>
              <w:bCs/>
              <w:lang w:eastAsia="zh-CN"/>
            </w:rPr>
            <w:t>（</w:t>
          </w:r>
          <w:r>
            <w:rPr>
              <w:rFonts w:hint="eastAsia" w:ascii="Times New Roman" w:cs="Times New Roman"/>
              <w:bCs/>
              <w:lang w:val="en-US" w:eastAsia="zh-CN"/>
            </w:rPr>
            <w:t>资料性</w:t>
          </w:r>
          <w:r>
            <w:rPr>
              <w:rFonts w:hint="eastAsia" w:ascii="Times New Roman" w:cs="Times New Roman"/>
              <w:bCs/>
              <w:lang w:eastAsia="zh-CN"/>
            </w:rPr>
            <w:t>）</w:t>
          </w:r>
          <w:r>
            <w:rPr>
              <w:rFonts w:hint="eastAsia" w:ascii="Times New Roman" w:cs="Times New Roman"/>
              <w:bCs/>
              <w:lang w:val="en-US" w:eastAsia="zh-CN"/>
            </w:rPr>
            <w:t xml:space="preserve"> 复合菌剂要求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_Toc1495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宋体" w:cs="Times New Roman"/>
              <w:color w:val="000000" w:themeColor="text1"/>
              <w14:textFill>
                <w14:solidFill>
                  <w14:schemeClr w14:val="tx1"/>
                </w14:solidFill>
              </w14:textFill>
            </w:rPr>
            <w:fldChar w:fldCharType="end"/>
          </w:r>
        </w:p>
        <w:p w14:paraId="4C6F7975">
          <w:pPr>
            <w:pStyle w:val="25"/>
            <w:tabs>
              <w:tab w:val="right" w:leader="dot" w:pos="9355"/>
              <w:tab w:val="clear" w:pos="9242"/>
            </w:tabs>
            <w:rPr>
              <w:rFonts w:hint="default" w:ascii="Times New Roman" w:hAnsi="Times New Roman" w:cs="Times New Roman"/>
            </w:rPr>
          </w:pP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rPr>
            <w:instrText xml:space="preserve"> HYPERLINK \l _Toc14299 </w:instrText>
          </w:r>
          <w:r>
            <w:rPr>
              <w:rFonts w:hint="default" w:ascii="Times New Roman" w:hAnsi="Times New Roman" w:eastAsia="宋体" w:cs="Times New Roman"/>
            </w:rPr>
            <w:fldChar w:fldCharType="separate"/>
          </w:r>
          <w:r>
            <w:rPr>
              <w:rFonts w:hint="default" w:ascii="Times New Roman" w:hAnsi="Times New Roman" w:cs="Times New Roman"/>
            </w:rPr>
            <w:t>附录</w:t>
          </w:r>
          <w:r>
            <w:rPr>
              <w:rFonts w:hint="default" w:ascii="Times New Roman" w:hAnsi="Times New Roman" w:cs="Times New Roman"/>
              <w:bCs/>
            </w:rPr>
            <w:t>C</w:t>
          </w:r>
          <w:r>
            <w:rPr>
              <w:rFonts w:hint="eastAsia" w:ascii="Times New Roman" w:cs="Times New Roman"/>
              <w:bCs/>
              <w:lang w:eastAsia="zh-CN"/>
            </w:rPr>
            <w:t>（</w:t>
          </w:r>
          <w:r>
            <w:rPr>
              <w:rFonts w:hint="eastAsia" w:ascii="Times New Roman" w:cs="Times New Roman"/>
              <w:bCs/>
              <w:lang w:val="en-US" w:eastAsia="zh-CN"/>
            </w:rPr>
            <w:t>资料性</w:t>
          </w:r>
          <w:r>
            <w:rPr>
              <w:rFonts w:hint="eastAsia" w:ascii="Times New Roman" w:cs="Times New Roman"/>
              <w:bCs/>
              <w:lang w:eastAsia="zh-CN"/>
            </w:rPr>
            <w:t>）</w:t>
          </w:r>
          <w:r>
            <w:rPr>
              <w:rFonts w:hint="eastAsia" w:ascii="Times New Roman" w:cs="Times New Roman"/>
              <w:bCs/>
              <w:lang w:val="en-US" w:eastAsia="zh-CN"/>
            </w:rPr>
            <w:t xml:space="preserve"> 新型填料要求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_Toc14299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宋体" w:cs="Times New Roman"/>
              <w:color w:val="000000" w:themeColor="text1"/>
              <w14:textFill>
                <w14:solidFill>
                  <w14:schemeClr w14:val="tx1"/>
                </w14:solidFill>
              </w14:textFill>
            </w:rPr>
            <w:fldChar w:fldCharType="end"/>
          </w:r>
        </w:p>
        <w:p w14:paraId="39726D98">
          <w:pPr>
            <w:pStyle w:val="25"/>
            <w:tabs>
              <w:tab w:val="right" w:leader="dot" w:pos="9355"/>
              <w:tab w:val="clear" w:pos="9242"/>
            </w:tabs>
            <w:rPr>
              <w:rFonts w:hint="default" w:ascii="Times New Roman" w:hAnsi="Times New Roman" w:cs="Times New Roman"/>
            </w:rPr>
          </w:pPr>
          <w:r>
            <w:rPr>
              <w:rFonts w:hint="default" w:ascii="Times New Roman" w:hAnsi="Times New Roman" w:eastAsia="宋体" w:cs="Times New Roman"/>
              <w:color w:val="000000" w:themeColor="text1"/>
              <w14:textFill>
                <w14:solidFill>
                  <w14:schemeClr w14:val="tx1"/>
                </w14:solidFill>
              </w14:textFill>
            </w:rPr>
            <w:fldChar w:fldCharType="begin"/>
          </w:r>
          <w:r>
            <w:rPr>
              <w:rFonts w:hint="default" w:ascii="Times New Roman" w:hAnsi="Times New Roman" w:eastAsia="宋体" w:cs="Times New Roman"/>
            </w:rPr>
            <w:instrText xml:space="preserve"> HYPERLINK \l _Toc898 </w:instrText>
          </w:r>
          <w:r>
            <w:rPr>
              <w:rFonts w:hint="default" w:ascii="Times New Roman" w:hAnsi="Times New Roman" w:eastAsia="宋体" w:cs="Times New Roman"/>
            </w:rPr>
            <w:fldChar w:fldCharType="separate"/>
          </w:r>
          <w:r>
            <w:rPr>
              <w:rFonts w:hint="default" w:ascii="Times New Roman" w:hAnsi="Times New Roman" w:cs="Times New Roman"/>
            </w:rPr>
            <w:t>附录</w:t>
          </w:r>
          <w:r>
            <w:rPr>
              <w:rFonts w:hint="default" w:ascii="Times New Roman" w:hAnsi="Times New Roman" w:cs="Times New Roman"/>
              <w:bCs/>
              <w:lang w:val="en-US" w:eastAsia="zh-CN"/>
            </w:rPr>
            <w:t>D</w:t>
          </w:r>
          <w:r>
            <w:rPr>
              <w:rFonts w:hint="eastAsia" w:ascii="Times New Roman" w:cs="Times New Roman"/>
              <w:bCs/>
              <w:lang w:eastAsia="zh-CN"/>
            </w:rPr>
            <w:t>（</w:t>
          </w:r>
          <w:r>
            <w:rPr>
              <w:rFonts w:hint="eastAsia" w:ascii="Times New Roman" w:cs="Times New Roman"/>
              <w:bCs/>
              <w:lang w:val="en-US" w:eastAsia="zh-CN"/>
            </w:rPr>
            <w:t>资料性</w:t>
          </w:r>
          <w:r>
            <w:rPr>
              <w:rFonts w:hint="eastAsia" w:ascii="Times New Roman" w:cs="Times New Roman"/>
              <w:bCs/>
              <w:lang w:eastAsia="zh-CN"/>
            </w:rPr>
            <w:t>）</w:t>
          </w:r>
          <w:r>
            <w:rPr>
              <w:rFonts w:hint="eastAsia" w:ascii="Times New Roman" w:cs="Times New Roman"/>
              <w:bCs/>
              <w:lang w:val="en-US" w:eastAsia="zh-CN"/>
            </w:rPr>
            <w:t xml:space="preserve"> 新型反应器结构要求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_Toc898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宋体" w:cs="Times New Roman"/>
              <w:color w:val="000000" w:themeColor="text1"/>
              <w14:textFill>
                <w14:solidFill>
                  <w14:schemeClr w14:val="tx1"/>
                </w14:solidFill>
              </w14:textFill>
            </w:rPr>
            <w:fldChar w:fldCharType="end"/>
          </w:r>
        </w:p>
        <w:p w14:paraId="1840E025">
          <w:pPr>
            <w:pStyle w:val="163"/>
            <w:spacing w:before="156" w:after="680" w:afterLines="0"/>
            <w:jc w:val="both"/>
            <w:rPr>
              <w:rFonts w:ascii="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fldChar w:fldCharType="end"/>
          </w:r>
        </w:p>
      </w:sdtContent>
    </w:sdt>
    <w:bookmarkEnd w:id="8"/>
    <w:p w14:paraId="0BE3A06B"/>
    <w:p w14:paraId="368DEC75"/>
    <w:p w14:paraId="7DB51832"/>
    <w:p w14:paraId="276E323F"/>
    <w:p w14:paraId="498A6CEF"/>
    <w:p w14:paraId="5E81E2B1">
      <w:pPr>
        <w:tabs>
          <w:tab w:val="left" w:pos="769"/>
        </w:tabs>
        <w:jc w:val="left"/>
      </w:pPr>
      <w:r>
        <w:rPr>
          <w:rFonts w:hint="eastAsia"/>
        </w:rPr>
        <w:tab/>
      </w:r>
    </w:p>
    <w:p w14:paraId="37E28049"/>
    <w:p w14:paraId="07603E26"/>
    <w:p w14:paraId="123CF22D"/>
    <w:p w14:paraId="3C84810D">
      <w:pPr>
        <w:pStyle w:val="150"/>
        <w:spacing w:before="850" w:after="680"/>
        <w:rPr>
          <w:rFonts w:hint="eastAsia" w:hAnsi="黑体" w:cs="黑体"/>
        </w:rPr>
        <w:sectPr>
          <w:headerReference r:id="rId12" w:type="first"/>
          <w:footerReference r:id="rId15" w:type="first"/>
          <w:headerReference r:id="rId10" w:type="default"/>
          <w:footerReference r:id="rId13" w:type="default"/>
          <w:headerReference r:id="rId11" w:type="even"/>
          <w:footerReference r:id="rId14" w:type="even"/>
          <w:pgSz w:w="11906" w:h="16838"/>
          <w:pgMar w:top="1417" w:right="1134" w:bottom="1134" w:left="1417" w:header="1417" w:footer="1134" w:gutter="0"/>
          <w:pgNumType w:fmt="upperRoman" w:start="1"/>
          <w:cols w:space="720" w:num="1"/>
          <w:formProt w:val="0"/>
          <w:titlePg/>
          <w:docGrid w:type="lines" w:linePitch="312" w:charSpace="0"/>
        </w:sectPr>
      </w:pPr>
    </w:p>
    <w:p w14:paraId="35637E59">
      <w:pPr>
        <w:pStyle w:val="150"/>
        <w:spacing w:before="850" w:after="680"/>
        <w:rPr>
          <w:rFonts w:hint="eastAsia" w:hAnsi="黑体" w:cs="黑体"/>
        </w:rPr>
      </w:pPr>
      <w:bookmarkStart w:id="9" w:name="_Toc9443"/>
      <w:bookmarkStart w:id="10" w:name="_Toc27490"/>
      <w:r>
        <w:rPr>
          <w:rFonts w:hint="eastAsia" w:hAnsi="黑体" w:cs="黑体"/>
        </w:rPr>
        <w:t>前</w:t>
      </w:r>
      <w:bookmarkStart w:id="11" w:name="BKQY"/>
      <w:r>
        <w:rPr>
          <w:rFonts w:hint="eastAsia" w:hAnsi="黑体" w:cs="黑体"/>
        </w:rPr>
        <w:t>  言</w:t>
      </w:r>
      <w:bookmarkEnd w:id="9"/>
      <w:bookmarkEnd w:id="10"/>
      <w:bookmarkEnd w:id="11"/>
    </w:p>
    <w:p w14:paraId="44F2E6A9">
      <w:pPr>
        <w:pStyle w:val="29"/>
        <w:tabs>
          <w:tab w:val="left" w:pos="7980"/>
        </w:tabs>
        <w:rPr>
          <w:rFonts w:ascii="Times New Roman"/>
          <w:kern w:val="21"/>
          <w:szCs w:val="21"/>
        </w:rPr>
      </w:pPr>
      <w:bookmarkStart w:id="12" w:name="OLE_LINK6"/>
      <w:r>
        <w:rPr>
          <w:rFonts w:hint="eastAsia" w:ascii="Times New Roman"/>
          <w:kern w:val="21"/>
          <w:szCs w:val="21"/>
        </w:rPr>
        <w:t>本文件按照</w:t>
      </w:r>
      <w:r>
        <w:rPr>
          <w:rFonts w:ascii="Times New Roman"/>
          <w:kern w:val="21"/>
          <w:szCs w:val="21"/>
        </w:rPr>
        <w:t>GB/T</w:t>
      </w:r>
      <w:r>
        <w:rPr>
          <w:rFonts w:hint="eastAsia" w:ascii="Times New Roman"/>
          <w:kern w:val="21"/>
          <w:szCs w:val="21"/>
        </w:rPr>
        <w:t xml:space="preserve"> 1.1—2020《标准化工作导则 第1部分：标准化文件的结构和起草规则》和</w:t>
      </w:r>
      <w:r>
        <w:rPr>
          <w:rFonts w:ascii="Times New Roman"/>
          <w:kern w:val="21"/>
          <w:szCs w:val="21"/>
        </w:rPr>
        <w:t>T/CAS</w:t>
      </w:r>
      <w:r>
        <w:rPr>
          <w:rFonts w:hint="eastAsia" w:ascii="Times New Roman"/>
          <w:kern w:val="21"/>
          <w:szCs w:val="21"/>
        </w:rPr>
        <w:t xml:space="preserve"> 700—2023、</w:t>
      </w:r>
      <w:r>
        <w:rPr>
          <w:rFonts w:ascii="Times New Roman"/>
          <w:kern w:val="21"/>
          <w:szCs w:val="21"/>
        </w:rPr>
        <w:t xml:space="preserve">T/CSTE </w:t>
      </w:r>
      <w:r>
        <w:rPr>
          <w:rFonts w:hint="eastAsia" w:ascii="Times New Roman"/>
          <w:kern w:val="21"/>
          <w:szCs w:val="21"/>
        </w:rPr>
        <w:t>0321—2023《质量分级及“领跑者”评价标准编制通则》的规定起草。</w:t>
      </w:r>
    </w:p>
    <w:bookmarkEnd w:id="12"/>
    <w:p w14:paraId="3587C26D">
      <w:pPr>
        <w:pStyle w:val="29"/>
        <w:tabs>
          <w:tab w:val="left" w:pos="7980"/>
        </w:tabs>
        <w:rPr>
          <w:rFonts w:hint="eastAsia" w:hAnsi="宋体"/>
          <w:kern w:val="21"/>
          <w:szCs w:val="21"/>
        </w:rPr>
      </w:pPr>
      <w:r>
        <w:rPr>
          <w:rFonts w:hint="eastAsia" w:hAnsi="宋体"/>
          <w:kern w:val="21"/>
          <w:szCs w:val="21"/>
        </w:rPr>
        <w:t>请注意本文件的某些内容可能涉及专利。本文件的发布机构不承担识别专利的责任。</w:t>
      </w:r>
    </w:p>
    <w:p w14:paraId="292B50B4">
      <w:pPr>
        <w:ind w:firstLine="420" w:firstLineChars="200"/>
        <w:rPr>
          <w:rFonts w:hint="eastAsia"/>
          <w:lang w:val="en-US" w:eastAsia="zh-CN"/>
        </w:rPr>
      </w:pPr>
      <w:r>
        <w:rPr>
          <w:rFonts w:hint="eastAsia" w:hAnsi="宋体"/>
          <w:kern w:val="21"/>
          <w:szCs w:val="21"/>
        </w:rPr>
        <w:t>本文件由</w:t>
      </w:r>
      <w:r>
        <w:rPr>
          <w:rFonts w:hint="eastAsia"/>
        </w:rPr>
        <w:t>中华环保联合会</w:t>
      </w:r>
      <w:r>
        <w:rPr>
          <w:rFonts w:hint="eastAsia"/>
          <w:lang w:val="en-US" w:eastAsia="zh-CN"/>
        </w:rPr>
        <w:t>VOCs污染防治专业委员会提出。</w:t>
      </w:r>
    </w:p>
    <w:p w14:paraId="343AB20E">
      <w:pPr>
        <w:ind w:firstLine="420" w:firstLineChars="200"/>
        <w:rPr>
          <w:rFonts w:hint="eastAsia" w:hAnsi="宋体"/>
          <w:kern w:val="21"/>
          <w:szCs w:val="21"/>
        </w:rPr>
      </w:pPr>
      <w:r>
        <w:rPr>
          <w:rFonts w:hint="eastAsia" w:hAnsi="宋体"/>
          <w:kern w:val="21"/>
          <w:szCs w:val="21"/>
        </w:rPr>
        <w:t>本文件由</w:t>
      </w:r>
      <w:r>
        <w:rPr>
          <w:rFonts w:hint="eastAsia"/>
        </w:rPr>
        <w:t>中华环保联合会</w:t>
      </w:r>
      <w:r>
        <w:rPr>
          <w:rFonts w:hint="eastAsia"/>
          <w:szCs w:val="21"/>
        </w:rPr>
        <w:t>和</w:t>
      </w:r>
      <w:r>
        <w:rPr>
          <w:rFonts w:hint="eastAsia"/>
        </w:rPr>
        <w:t>中国技术经济学会</w:t>
      </w:r>
      <w:r>
        <w:rPr>
          <w:rFonts w:hint="eastAsia" w:hAnsi="宋体"/>
          <w:kern w:val="21"/>
          <w:szCs w:val="21"/>
        </w:rPr>
        <w:t>归口。</w:t>
      </w:r>
    </w:p>
    <w:p w14:paraId="01140260">
      <w:pPr>
        <w:ind w:firstLine="420" w:firstLineChars="200"/>
        <w:rPr>
          <w:rFonts w:hint="eastAsia" w:hAnsi="宋体"/>
          <w:kern w:val="21"/>
          <w:szCs w:val="21"/>
          <w:highlight w:val="none"/>
        </w:rPr>
      </w:pPr>
      <w:r>
        <w:rPr>
          <w:rFonts w:hAnsi="宋体"/>
          <w:kern w:val="21"/>
          <w:szCs w:val="21"/>
        </w:rPr>
        <w:t>本文件</w:t>
      </w:r>
      <w:r>
        <w:rPr>
          <w:rFonts w:hAnsi="宋体"/>
          <w:kern w:val="21"/>
          <w:szCs w:val="21"/>
          <w:highlight w:val="none"/>
        </w:rPr>
        <w:t>起草</w:t>
      </w:r>
      <w:r>
        <w:rPr>
          <w:rFonts w:hint="eastAsia" w:hAnsi="宋体"/>
          <w:kern w:val="21"/>
          <w:szCs w:val="21"/>
          <w:highlight w:val="none"/>
        </w:rPr>
        <w:t>单位：浙江工业大学</w:t>
      </w:r>
      <w:r>
        <w:rPr>
          <w:rFonts w:hint="eastAsia" w:hAnsi="宋体"/>
          <w:kern w:val="21"/>
          <w:szCs w:val="21"/>
          <w:highlight w:val="none"/>
          <w:lang w:eastAsia="zh-CN"/>
        </w:rPr>
        <w:t>、</w:t>
      </w:r>
      <w:r>
        <w:rPr>
          <w:rFonts w:hint="eastAsia" w:hAnsi="宋体"/>
          <w:kern w:val="21"/>
          <w:szCs w:val="21"/>
          <w:highlight w:val="none"/>
          <w:lang w:val="en-US" w:eastAsia="zh-CN"/>
        </w:rPr>
        <w:t>中华环保联合会VOCs污染防治专业委员会、深圳市利源水务设计咨询有限公司、广州华科环保工程有限公司、生态环境部华南环境科学研究所、浙江海洋大学</w:t>
      </w:r>
      <w:r>
        <w:rPr>
          <w:rFonts w:hint="eastAsia" w:hAnsi="宋体"/>
          <w:kern w:val="21"/>
          <w:szCs w:val="21"/>
          <w:highlight w:val="none"/>
        </w:rPr>
        <w:t>。</w:t>
      </w:r>
    </w:p>
    <w:p w14:paraId="3CE0B043">
      <w:pPr>
        <w:ind w:firstLine="420" w:firstLineChars="200"/>
        <w:rPr>
          <w:rFonts w:hint="default" w:hAnsi="宋体"/>
          <w:kern w:val="21"/>
          <w:szCs w:val="21"/>
          <w:highlight w:val="none"/>
          <w:lang w:val="en-US"/>
        </w:rPr>
      </w:pPr>
      <w:r>
        <w:rPr>
          <w:rFonts w:hAnsi="宋体"/>
          <w:kern w:val="21"/>
          <w:szCs w:val="21"/>
          <w:highlight w:val="none"/>
        </w:rPr>
        <w:t>本文件主要起草人</w:t>
      </w:r>
      <w:r>
        <w:rPr>
          <w:rFonts w:hint="default" w:hAnsi="宋体"/>
          <w:kern w:val="21"/>
          <w:szCs w:val="21"/>
          <w:highlight w:val="none"/>
        </w:rPr>
        <w:t>：</w:t>
      </w:r>
    </w:p>
    <w:p w14:paraId="124A121C">
      <w:pPr>
        <w:pStyle w:val="29"/>
        <w:tabs>
          <w:tab w:val="left" w:pos="7980"/>
        </w:tabs>
        <w:rPr>
          <w:rFonts w:hint="eastAsia" w:hAnsi="宋体"/>
          <w:kern w:val="21"/>
          <w:szCs w:val="21"/>
          <w:highlight w:val="none"/>
        </w:rPr>
      </w:pPr>
      <w:r>
        <w:rPr>
          <w:rFonts w:hint="eastAsia" w:hAnsi="宋体"/>
          <w:kern w:val="21"/>
          <w:szCs w:val="21"/>
          <w:highlight w:val="none"/>
        </w:rPr>
        <w:t>本文件为首次发布。</w:t>
      </w:r>
    </w:p>
    <w:p w14:paraId="6ABD1074">
      <w:pPr>
        <w:pStyle w:val="29"/>
        <w:tabs>
          <w:tab w:val="left" w:pos="7980"/>
        </w:tabs>
        <w:rPr>
          <w:rFonts w:hint="eastAsia" w:hAnsi="宋体" w:eastAsia="宋体"/>
          <w:kern w:val="21"/>
          <w:szCs w:val="21"/>
          <w:lang w:eastAsia="zh-CN"/>
        </w:rPr>
        <w:sectPr>
          <w:footerReference r:id="rId18" w:type="first"/>
          <w:footerReference r:id="rId16" w:type="default"/>
          <w:footerReference r:id="rId17" w:type="even"/>
          <w:pgSz w:w="11906" w:h="16838"/>
          <w:pgMar w:top="1417" w:right="1134" w:bottom="1134" w:left="1417" w:header="1417" w:footer="1134" w:gutter="0"/>
          <w:pgNumType w:fmt="upperRoman" w:start="3"/>
          <w:cols w:space="720" w:num="1"/>
          <w:formProt w:val="0"/>
          <w:titlePg/>
          <w:docGrid w:type="lines" w:linePitch="312" w:charSpace="0"/>
        </w:sectPr>
      </w:pPr>
    </w:p>
    <w:p w14:paraId="6C291FEE">
      <w:pPr>
        <w:pStyle w:val="122"/>
        <w:keepNext/>
        <w:keepLines w:val="0"/>
        <w:pageBreakBefore/>
        <w:widowControl/>
        <w:kinsoku/>
        <w:wordWrap/>
        <w:overflowPunct/>
        <w:topLinePunct w:val="0"/>
        <w:autoSpaceDE/>
        <w:autoSpaceDN/>
        <w:bidi w:val="0"/>
        <w:adjustRightInd/>
        <w:snapToGrid w:val="0"/>
        <w:spacing w:before="850" w:after="680" w:line="240" w:lineRule="auto"/>
        <w:ind w:firstLine="0"/>
        <w:textAlignment w:val="auto"/>
        <w:rPr>
          <w:rFonts w:ascii="Times New Roman"/>
        </w:rPr>
      </w:pPr>
      <w:bookmarkStart w:id="13" w:name="_Toc14988"/>
      <w:bookmarkStart w:id="14" w:name="_Toc2180"/>
      <w:bookmarkStart w:id="15" w:name="_Toc2640"/>
      <w:bookmarkStart w:id="16" w:name="_Toc31642"/>
      <w:r>
        <w:rPr>
          <w:rFonts w:hint="eastAsia" w:ascii="Times New Roman"/>
        </w:rPr>
        <w:t xml:space="preserve">质量分级及“领跑者”评价要求 </w:t>
      </w:r>
      <w:bookmarkEnd w:id="13"/>
      <w:bookmarkEnd w:id="14"/>
      <w:bookmarkEnd w:id="15"/>
      <w:r>
        <w:rPr>
          <w:rFonts w:hint="eastAsia"/>
        </w:rPr>
        <w:t>生物法废气处理装置</w:t>
      </w:r>
      <w:bookmarkEnd w:id="16"/>
    </w:p>
    <w:p w14:paraId="00BAE5F3">
      <w:pPr>
        <w:pStyle w:val="79"/>
        <w:spacing w:before="312" w:after="312"/>
        <w:outlineLvl w:val="0"/>
        <w:rPr>
          <w:rFonts w:ascii="Times New Roman"/>
        </w:rPr>
      </w:pPr>
      <w:bookmarkStart w:id="17" w:name="_Toc7288"/>
      <w:bookmarkStart w:id="18" w:name="_Toc29750"/>
      <w:r>
        <w:rPr>
          <w:rFonts w:hint="eastAsia" w:ascii="Times New Roman"/>
        </w:rPr>
        <w:t>范围</w:t>
      </w:r>
      <w:bookmarkEnd w:id="17"/>
      <w:bookmarkEnd w:id="18"/>
    </w:p>
    <w:p w14:paraId="5AE2ACD7">
      <w:pPr>
        <w:pStyle w:val="29"/>
        <w:rPr>
          <w:rFonts w:hint="eastAsia" w:ascii="Times New Roman"/>
        </w:rPr>
      </w:pPr>
      <w:r>
        <w:rPr>
          <w:rFonts w:hint="eastAsia" w:ascii="Times New Roman"/>
        </w:rPr>
        <w:t>本文件规定了生物法废气处理装置产品质量分级及企业标准水平的基本要求、评价指标</w:t>
      </w:r>
      <w:r>
        <w:rPr>
          <w:rFonts w:hint="eastAsia" w:ascii="Times New Roman"/>
          <w:lang w:val="en-US" w:eastAsia="zh-CN"/>
        </w:rPr>
        <w:t>及要求</w:t>
      </w:r>
      <w:r>
        <w:rPr>
          <w:rFonts w:hint="eastAsia" w:ascii="Times New Roman"/>
        </w:rPr>
        <w:t>、评价方法及等级划分。</w:t>
      </w:r>
    </w:p>
    <w:p w14:paraId="2F910E9D">
      <w:pPr>
        <w:pStyle w:val="29"/>
        <w:ind w:left="0" w:leftChars="0" w:firstLine="420" w:firstLineChars="200"/>
        <w:rPr>
          <w:rFonts w:ascii="Times New Roman"/>
        </w:rPr>
      </w:pPr>
      <w:r>
        <w:rPr>
          <w:rFonts w:hint="eastAsia" w:ascii="Times New Roman"/>
        </w:rPr>
        <w:t>本文件适用于生物洗涤、生物滴滤</w:t>
      </w:r>
      <w:r>
        <w:rPr>
          <w:rFonts w:hint="eastAsia" w:ascii="Times New Roman"/>
          <w:lang w:val="en-US" w:eastAsia="zh-CN"/>
        </w:rPr>
        <w:t>和</w:t>
      </w:r>
      <w:r>
        <w:rPr>
          <w:rFonts w:hint="eastAsia" w:ascii="Times New Roman"/>
        </w:rPr>
        <w:t>生物过滤等生物法废气处理装置产品质量</w:t>
      </w:r>
      <w:r>
        <w:rPr>
          <w:rFonts w:hint="eastAsia" w:ascii="Times New Roman"/>
          <w:lang w:val="en-US" w:eastAsia="zh-CN"/>
        </w:rPr>
        <w:t>分级</w:t>
      </w:r>
      <w:r>
        <w:rPr>
          <w:rFonts w:hint="eastAsia" w:ascii="Times New Roman"/>
        </w:rPr>
        <w:t>及企业标准水平评价，其他类型的废气</w:t>
      </w:r>
      <w:r>
        <w:rPr>
          <w:rFonts w:hint="eastAsia" w:ascii="Times New Roman"/>
          <w:lang w:val="en-US" w:eastAsia="zh-CN"/>
        </w:rPr>
        <w:t>处理</w:t>
      </w:r>
      <w:r>
        <w:rPr>
          <w:rFonts w:hint="eastAsia" w:ascii="Times New Roman"/>
        </w:rPr>
        <w:t>装置可参考使用。本文件涉及的生物法废气处理装置适用于中低浓度（&lt;2000</w:t>
      </w:r>
      <w:r>
        <w:rPr>
          <w:rFonts w:hint="eastAsia" w:ascii="Times New Roman"/>
          <w:lang w:val="en-US" w:eastAsia="zh-CN"/>
        </w:rPr>
        <w:t xml:space="preserve"> </w:t>
      </w:r>
      <w:r>
        <w:rPr>
          <w:rFonts w:hint="eastAsia" w:ascii="Times New Roman"/>
        </w:rPr>
        <w:t>mg/m</w:t>
      </w:r>
      <w:r>
        <w:rPr>
          <w:rFonts w:hint="eastAsia" w:ascii="Times New Roman"/>
          <w:vertAlign w:val="superscript"/>
        </w:rPr>
        <w:t>3</w:t>
      </w:r>
      <w:r>
        <w:rPr>
          <w:rFonts w:hint="eastAsia" w:ascii="Times New Roman"/>
        </w:rPr>
        <w:t>）的有机废气和恶臭气体的净化。相关机构开展质量分级和企业标准水平评估、“领跑”产品</w:t>
      </w:r>
      <w:r>
        <w:rPr>
          <w:rFonts w:hint="eastAsia" w:ascii="Times New Roman"/>
          <w:lang w:eastAsia="zh-CN"/>
        </w:rPr>
        <w:t>（</w:t>
      </w:r>
      <w:r>
        <w:rPr>
          <w:rFonts w:hint="eastAsia" w:ascii="Times New Roman"/>
          <w:lang w:val="en-US" w:eastAsia="zh-CN"/>
        </w:rPr>
        <w:t>服务</w:t>
      </w:r>
      <w:r>
        <w:rPr>
          <w:rFonts w:hint="eastAsia" w:ascii="Times New Roman"/>
          <w:lang w:eastAsia="zh-CN"/>
        </w:rPr>
        <w:t>）</w:t>
      </w:r>
      <w:r>
        <w:rPr>
          <w:rFonts w:hint="eastAsia" w:ascii="Times New Roman"/>
        </w:rPr>
        <w:t>评价以及相关认证或评价时可参照使用，相关企业在制定企业标准时也可参照本文件。</w:t>
      </w:r>
    </w:p>
    <w:p w14:paraId="6AEA7689">
      <w:pPr>
        <w:pStyle w:val="79"/>
        <w:spacing w:before="312" w:after="312"/>
        <w:outlineLvl w:val="0"/>
        <w:rPr>
          <w:rFonts w:ascii="Times New Roman"/>
        </w:rPr>
      </w:pPr>
      <w:bookmarkStart w:id="19" w:name="_Toc2435"/>
      <w:bookmarkStart w:id="20" w:name="_Toc1681"/>
      <w:r>
        <w:rPr>
          <w:rFonts w:hint="eastAsia" w:ascii="Times New Roman"/>
        </w:rPr>
        <w:t>规范性引用文件</w:t>
      </w:r>
      <w:bookmarkEnd w:id="19"/>
      <w:bookmarkEnd w:id="20"/>
    </w:p>
    <w:p w14:paraId="3FD251A1">
      <w:pPr>
        <w:pStyle w:val="29"/>
        <w:rPr>
          <w:rFonts w:hint="eastAsia" w:hAnsi="宋体" w:cs="宋体"/>
        </w:rPr>
      </w:pPr>
      <w:r>
        <w:rPr>
          <w:rFonts w:hint="eastAsia" w:hAnsi="宋体" w:cs="宋体"/>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740FDBD">
      <w:pPr>
        <w:spacing w:line="240" w:lineRule="auto"/>
        <w:ind w:firstLine="420" w:firstLineChars="200"/>
        <w:rPr>
          <w:rFonts w:hint="eastAsia" w:ascii="Times New Roman" w:hAnsi="Times New Roman" w:cs="Times New Roman"/>
          <w:color w:val="auto"/>
        </w:rPr>
      </w:pPr>
      <w:bookmarkStart w:id="21" w:name="OLE_LINK7"/>
      <w:r>
        <w:rPr>
          <w:rFonts w:hint="eastAsia" w:ascii="Times New Roman" w:hAnsi="Times New Roman" w:cs="Times New Roman"/>
          <w:color w:val="auto"/>
        </w:rPr>
        <w:t>GB/T 3836.1  爆炸性环境 第1部分：设备 通用要求</w:t>
      </w:r>
    </w:p>
    <w:p w14:paraId="7FC40350">
      <w:pPr>
        <w:spacing w:line="240" w:lineRule="auto"/>
        <w:ind w:firstLine="420" w:firstLineChars="200"/>
        <w:rPr>
          <w:rFonts w:ascii="Times New Roman" w:hAnsi="Times New Roman" w:cs="Times New Roman"/>
          <w:color w:val="auto"/>
        </w:rPr>
      </w:pPr>
      <w:r>
        <w:rPr>
          <w:rFonts w:hint="eastAsia" w:ascii="Times New Roman" w:hAnsi="Times New Roman" w:cs="Times New Roman"/>
          <w:color w:val="auto"/>
        </w:rPr>
        <w:t>GB/T</w:t>
      </w:r>
      <w:r>
        <w:rPr>
          <w:rFonts w:hint="eastAsia" w:cs="Times New Roman"/>
          <w:color w:val="auto"/>
          <w:lang w:val="en-US" w:eastAsia="zh-CN"/>
        </w:rPr>
        <w:t xml:space="preserve"> </w:t>
      </w:r>
      <w:r>
        <w:rPr>
          <w:rFonts w:hint="eastAsia" w:ascii="Times New Roman" w:hAnsi="Times New Roman" w:cs="Times New Roman"/>
          <w:color w:val="auto"/>
        </w:rPr>
        <w:t>4208  外壳防护等级（IP代码）</w:t>
      </w:r>
    </w:p>
    <w:p w14:paraId="0F058A32">
      <w:pPr>
        <w:spacing w:line="240" w:lineRule="auto"/>
        <w:ind w:firstLine="420" w:firstLineChars="200"/>
        <w:rPr>
          <w:rFonts w:hint="eastAsia" w:ascii="Times New Roman" w:hAnsi="Times New Roman" w:cs="Times New Roman"/>
          <w:color w:val="auto"/>
        </w:rPr>
      </w:pPr>
      <w:r>
        <w:rPr>
          <w:rFonts w:hint="eastAsia" w:ascii="Times New Roman" w:hAnsi="Times New Roman" w:cs="Times New Roman"/>
          <w:color w:val="auto"/>
        </w:rPr>
        <w:t>GB/T 5226.1</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 xml:space="preserve"> </w:t>
      </w:r>
      <w:r>
        <w:rPr>
          <w:rFonts w:hint="eastAsia"/>
          <w:color w:val="auto"/>
          <w:highlight w:val="none"/>
        </w:rPr>
        <w:t>机械电气安全 机械电气设备 第1部分:通用技术条件</w:t>
      </w:r>
    </w:p>
    <w:p w14:paraId="7BF2B4F3">
      <w:pPr>
        <w:spacing w:line="240" w:lineRule="auto"/>
        <w:ind w:firstLine="420" w:firstLineChars="200"/>
        <w:rPr>
          <w:rFonts w:hint="eastAsia" w:ascii="Times New Roman" w:hAnsi="Times New Roman" w:cs="Times New Roman"/>
          <w:color w:val="auto"/>
        </w:rPr>
      </w:pPr>
      <w:r>
        <w:rPr>
          <w:rFonts w:hint="eastAsia" w:ascii="Times New Roman" w:hAnsi="Times New Roman" w:cs="Times New Roman"/>
          <w:color w:val="auto"/>
        </w:rPr>
        <w:t>GB/T 6672</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rPr>
        <w:t>塑料薄膜和薄片厚度测定 机械测量法</w:t>
      </w:r>
    </w:p>
    <w:p w14:paraId="015EBF0C">
      <w:pPr>
        <w:spacing w:line="240" w:lineRule="auto"/>
        <w:ind w:firstLine="420" w:firstLineChars="200"/>
        <w:rPr>
          <w:rFonts w:hint="eastAsia" w:ascii="Times New Roman" w:hAnsi="Times New Roman" w:cs="Times New Roman"/>
          <w:color w:val="auto"/>
        </w:rPr>
      </w:pPr>
      <w:r>
        <w:rPr>
          <w:rFonts w:hint="eastAsia" w:ascii="Times New Roman" w:hAnsi="Times New Roman" w:cs="Times New Roman"/>
          <w:color w:val="auto"/>
        </w:rPr>
        <w:t xml:space="preserve">GB/T 9963  </w:t>
      </w:r>
      <w:r>
        <w:rPr>
          <w:rFonts w:hint="eastAsia" w:cs="Times New Roman"/>
          <w:color w:val="auto"/>
          <w:lang w:val="en-US" w:eastAsia="zh-CN"/>
        </w:rPr>
        <w:t>钢化玻璃</w:t>
      </w:r>
    </w:p>
    <w:p w14:paraId="571F1F76">
      <w:pPr>
        <w:spacing w:line="240" w:lineRule="auto"/>
        <w:ind w:firstLine="420" w:firstLineChars="200"/>
        <w:rPr>
          <w:rFonts w:ascii="Times New Roman" w:hAnsi="Times New Roman" w:cs="Times New Roman"/>
          <w:color w:val="auto"/>
        </w:rPr>
      </w:pPr>
      <w:r>
        <w:rPr>
          <w:rFonts w:hint="eastAsia" w:ascii="Times New Roman" w:hAnsi="Times New Roman" w:cs="Times New Roman"/>
          <w:color w:val="auto"/>
        </w:rPr>
        <w:t>GB/T 19001  质量管理体系要求</w:t>
      </w:r>
    </w:p>
    <w:p w14:paraId="335CE284">
      <w:pPr>
        <w:spacing w:line="240" w:lineRule="auto"/>
        <w:ind w:firstLine="420" w:firstLineChars="200"/>
        <w:rPr>
          <w:rFonts w:hint="eastAsia" w:ascii="Times New Roman" w:hAnsi="Times New Roman" w:cs="Times New Roman"/>
          <w:color w:val="auto"/>
        </w:rPr>
      </w:pPr>
      <w:r>
        <w:rPr>
          <w:rFonts w:hint="eastAsia" w:ascii="Times New Roman" w:hAnsi="Times New Roman" w:cs="Times New Roman"/>
          <w:highlight w:val="none"/>
        </w:rPr>
        <w:t xml:space="preserve">GB/T 23331  能源管理体系 </w:t>
      </w:r>
      <w:r>
        <w:rPr>
          <w:rFonts w:ascii="Times New Roman" w:hAnsi="Times New Roman" w:cs="Times New Roman"/>
          <w:highlight w:val="none"/>
        </w:rPr>
        <w:t xml:space="preserve"> </w:t>
      </w:r>
      <w:r>
        <w:rPr>
          <w:rFonts w:hint="eastAsia" w:ascii="Times New Roman" w:hAnsi="Times New Roman" w:cs="Times New Roman"/>
          <w:highlight w:val="none"/>
        </w:rPr>
        <w:t>要求及使用指南</w:t>
      </w:r>
    </w:p>
    <w:p w14:paraId="604EFE15">
      <w:pPr>
        <w:spacing w:line="240" w:lineRule="auto"/>
        <w:ind w:firstLine="420" w:firstLineChars="200"/>
        <w:rPr>
          <w:rFonts w:ascii="Times New Roman" w:hAnsi="Times New Roman" w:cs="Times New Roman"/>
          <w:color w:val="auto"/>
        </w:rPr>
      </w:pPr>
      <w:r>
        <w:rPr>
          <w:rFonts w:hint="eastAsia" w:ascii="Times New Roman" w:hAnsi="Times New Roman" w:cs="Times New Roman"/>
          <w:color w:val="auto"/>
        </w:rPr>
        <w:t>GB/T 24001  环境管理体系要求及使用指南</w:t>
      </w:r>
    </w:p>
    <w:p w14:paraId="718B10B2">
      <w:pPr>
        <w:spacing w:line="240" w:lineRule="auto"/>
        <w:ind w:firstLine="420" w:firstLineChars="200"/>
        <w:rPr>
          <w:rFonts w:hint="eastAsia" w:ascii="Times New Roman" w:hAnsi="Times New Roman" w:cs="Times New Roman"/>
          <w:color w:val="auto"/>
        </w:rPr>
      </w:pPr>
      <w:r>
        <w:rPr>
          <w:rFonts w:hint="eastAsia" w:ascii="Times New Roman" w:hAnsi="Times New Roman" w:cs="Times New Roman"/>
          <w:color w:val="auto"/>
        </w:rPr>
        <w:t>GB/T 45001  职业健康安全管理体系要求及使用指南</w:t>
      </w:r>
    </w:p>
    <w:p w14:paraId="32AA6B96">
      <w:pPr>
        <w:spacing w:line="240" w:lineRule="auto"/>
        <w:ind w:firstLine="420" w:firstLineChars="200"/>
        <w:rPr>
          <w:rFonts w:hint="eastAsia"/>
          <w:color w:val="auto"/>
        </w:rPr>
      </w:pPr>
      <w:r>
        <w:rPr>
          <w:rFonts w:hint="eastAsia"/>
          <w:color w:val="auto"/>
        </w:rPr>
        <w:t>GB</w:t>
      </w:r>
      <w:r>
        <w:rPr>
          <w:rFonts w:hint="eastAsia"/>
          <w:color w:val="auto"/>
          <w:lang w:val="en-US" w:eastAsia="zh-CN"/>
        </w:rPr>
        <w:t xml:space="preserve"> </w:t>
      </w:r>
      <w:r>
        <w:rPr>
          <w:rFonts w:hint="eastAsia"/>
          <w:color w:val="auto"/>
        </w:rPr>
        <w:t>12348</w:t>
      </w:r>
      <w:r>
        <w:rPr>
          <w:rFonts w:hint="eastAsia"/>
          <w:color w:val="auto"/>
          <w:lang w:val="en-US" w:eastAsia="zh-CN"/>
        </w:rPr>
        <w:t xml:space="preserve">  </w:t>
      </w:r>
      <w:r>
        <w:rPr>
          <w:rFonts w:hint="eastAsia"/>
          <w:color w:val="auto"/>
        </w:rPr>
        <w:t>工业企业厂界环境噪声排放标准</w:t>
      </w:r>
    </w:p>
    <w:p w14:paraId="298918CE">
      <w:pPr>
        <w:spacing w:line="240" w:lineRule="auto"/>
        <w:ind w:firstLine="420" w:firstLineChars="200"/>
        <w:rPr>
          <w:rFonts w:hint="eastAsia" w:ascii="Times New Roman" w:hAnsi="Times New Roman" w:cs="Times New Roman"/>
          <w:color w:val="auto"/>
        </w:rPr>
      </w:pPr>
      <w:r>
        <w:rPr>
          <w:rFonts w:hint="eastAsia"/>
          <w:color w:val="auto"/>
        </w:rPr>
        <w:t>CJ/T 355</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 xml:space="preserve"> </w:t>
      </w:r>
      <w:r>
        <w:rPr>
          <w:rFonts w:hint="eastAsia"/>
          <w:color w:val="auto"/>
        </w:rPr>
        <w:t>小型生活污水处理成套设备</w:t>
      </w:r>
    </w:p>
    <w:p w14:paraId="705D8FAF">
      <w:pPr>
        <w:spacing w:line="240" w:lineRule="auto"/>
        <w:ind w:firstLine="420" w:firstLineChars="200"/>
        <w:rPr>
          <w:rFonts w:ascii="Times New Roman" w:hAnsi="Times New Roman" w:cs="Times New Roman"/>
          <w:color w:val="auto"/>
        </w:rPr>
      </w:pPr>
      <w:r>
        <w:rPr>
          <w:rFonts w:hint="eastAsia" w:ascii="Times New Roman" w:hAnsi="Times New Roman" w:cs="Times New Roman"/>
          <w:color w:val="auto"/>
        </w:rPr>
        <w:t>HJ/T</w:t>
      </w:r>
      <w:r>
        <w:rPr>
          <w:rFonts w:ascii="Times New Roman" w:hAnsi="Times New Roman" w:cs="Times New Roman"/>
          <w:color w:val="auto"/>
        </w:rPr>
        <w:t xml:space="preserve"> </w:t>
      </w:r>
      <w:r>
        <w:rPr>
          <w:rFonts w:hint="eastAsia" w:ascii="Times New Roman" w:hAnsi="Times New Roman" w:cs="Times New Roman"/>
          <w:color w:val="auto"/>
        </w:rPr>
        <w:t>373</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rPr>
        <w:t>固定污染源监测质量保证与质量控制技术规范（试行）</w:t>
      </w:r>
    </w:p>
    <w:p w14:paraId="0C39FAF2">
      <w:pPr>
        <w:spacing w:line="240" w:lineRule="auto"/>
        <w:ind w:firstLine="420" w:firstLineChars="200"/>
        <w:rPr>
          <w:rFonts w:ascii="Times New Roman" w:hAnsi="Times New Roman" w:cs="Times New Roman"/>
          <w:color w:val="auto"/>
        </w:rPr>
      </w:pPr>
      <w:r>
        <w:rPr>
          <w:rFonts w:hint="eastAsia" w:ascii="Times New Roman" w:hAnsi="Times New Roman" w:cs="Times New Roman"/>
          <w:color w:val="auto"/>
        </w:rPr>
        <w:t>HJ/T</w:t>
      </w:r>
      <w:r>
        <w:rPr>
          <w:rFonts w:ascii="Times New Roman" w:hAnsi="Times New Roman" w:cs="Times New Roman"/>
          <w:color w:val="auto"/>
        </w:rPr>
        <w:t xml:space="preserve"> </w:t>
      </w:r>
      <w:r>
        <w:rPr>
          <w:rFonts w:hint="eastAsia" w:ascii="Times New Roman" w:hAnsi="Times New Roman" w:cs="Times New Roman"/>
          <w:color w:val="auto"/>
        </w:rPr>
        <w:t>397</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rPr>
        <w:t>固定源废气监测技术规范</w:t>
      </w:r>
    </w:p>
    <w:p w14:paraId="4A7C5D2F">
      <w:pPr>
        <w:spacing w:line="240" w:lineRule="auto"/>
        <w:ind w:firstLine="420" w:firstLineChars="200"/>
        <w:rPr>
          <w:rFonts w:hint="eastAsia" w:ascii="Times New Roman" w:hAnsi="Times New Roman" w:cs="Times New Roman"/>
          <w:color w:val="auto"/>
        </w:rPr>
      </w:pPr>
      <w:r>
        <w:rPr>
          <w:rFonts w:hint="eastAsia" w:ascii="Times New Roman" w:hAnsi="Times New Roman" w:cs="Times New Roman"/>
          <w:color w:val="auto"/>
        </w:rPr>
        <w:t>HJ 38</w:t>
      </w:r>
      <w:r>
        <w:rPr>
          <w:rFonts w:hint="eastAsia" w:ascii="Times New Roman" w:hAnsi="Times New Roman" w:cs="Times New Roman"/>
          <w:color w:val="auto"/>
          <w:lang w:val="en-US" w:eastAsia="zh-CN"/>
        </w:rPr>
        <w:t xml:space="preserve">  </w:t>
      </w:r>
      <w:r>
        <w:rPr>
          <w:rFonts w:hint="eastAsia" w:ascii="Times New Roman" w:hAnsi="Times New Roman" w:cs="Times New Roman"/>
          <w:color w:val="auto"/>
        </w:rPr>
        <w:t>固定污染源废气总烃、甲烷和非甲烷总烃的测定气相色谱法</w:t>
      </w:r>
    </w:p>
    <w:p w14:paraId="56415D7B">
      <w:pPr>
        <w:spacing w:line="240" w:lineRule="auto"/>
        <w:ind w:firstLine="420" w:firstLineChars="200"/>
        <w:rPr>
          <w:rFonts w:ascii="Times New Roman" w:hAnsi="Times New Roman" w:cs="Times New Roman"/>
          <w:color w:val="auto"/>
        </w:rPr>
      </w:pPr>
      <w:r>
        <w:rPr>
          <w:rFonts w:hint="eastAsia" w:ascii="Times New Roman" w:hAnsi="Times New Roman" w:cs="Times New Roman"/>
          <w:color w:val="auto"/>
        </w:rPr>
        <w:t>HJ</w:t>
      </w:r>
      <w:r>
        <w:rPr>
          <w:rFonts w:ascii="Times New Roman" w:hAnsi="Times New Roman" w:cs="Times New Roman"/>
          <w:color w:val="auto"/>
        </w:rPr>
        <w:t xml:space="preserve"> </w:t>
      </w:r>
      <w:r>
        <w:rPr>
          <w:rFonts w:hint="eastAsia" w:ascii="Times New Roman" w:hAnsi="Times New Roman" w:cs="Times New Roman"/>
          <w:color w:val="auto"/>
        </w:rPr>
        <w:t>732</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rPr>
        <w:t>固定污染源废气</w:t>
      </w:r>
      <w:r>
        <w:rPr>
          <w:rFonts w:hint="eastAsia" w:cs="Times New Roman"/>
          <w:color w:val="auto"/>
          <w:lang w:val="en-US" w:eastAsia="zh-CN"/>
        </w:rPr>
        <w:t xml:space="preserve"> </w:t>
      </w:r>
      <w:r>
        <w:rPr>
          <w:rFonts w:hint="eastAsia" w:ascii="Times New Roman" w:hAnsi="Times New Roman" w:cs="Times New Roman"/>
          <w:color w:val="auto"/>
        </w:rPr>
        <w:t>挥发性有机物的采样</w:t>
      </w:r>
      <w:r>
        <w:rPr>
          <w:rFonts w:hint="eastAsia" w:cs="Times New Roman"/>
          <w:color w:val="auto"/>
          <w:lang w:val="en-US" w:eastAsia="zh-CN"/>
        </w:rPr>
        <w:t xml:space="preserve"> </w:t>
      </w:r>
      <w:r>
        <w:rPr>
          <w:rFonts w:hint="eastAsia" w:ascii="Times New Roman" w:hAnsi="Times New Roman" w:cs="Times New Roman"/>
          <w:color w:val="auto"/>
        </w:rPr>
        <w:t>气袋法</w:t>
      </w:r>
    </w:p>
    <w:p w14:paraId="17C3FBE7">
      <w:pPr>
        <w:spacing w:line="240" w:lineRule="auto"/>
        <w:ind w:firstLine="420" w:firstLineChars="200"/>
        <w:rPr>
          <w:rFonts w:hint="eastAsia" w:ascii="Times New Roman" w:hAnsi="Times New Roman" w:cs="Times New Roman"/>
          <w:color w:val="auto"/>
        </w:rPr>
      </w:pPr>
      <w:r>
        <w:rPr>
          <w:rFonts w:hint="eastAsia" w:ascii="Times New Roman" w:hAnsi="Times New Roman" w:cs="Times New Roman"/>
          <w:color w:val="auto"/>
        </w:rPr>
        <w:t>HJ</w:t>
      </w:r>
      <w:r>
        <w:rPr>
          <w:rFonts w:ascii="Times New Roman" w:hAnsi="Times New Roman" w:cs="Times New Roman"/>
          <w:color w:val="auto"/>
        </w:rPr>
        <w:t xml:space="preserve"> </w:t>
      </w:r>
      <w:r>
        <w:rPr>
          <w:rFonts w:hint="eastAsia" w:ascii="Times New Roman" w:hAnsi="Times New Roman" w:cs="Times New Roman"/>
          <w:color w:val="auto"/>
        </w:rPr>
        <w:t>1006</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rPr>
        <w:t>固定污染源废气</w:t>
      </w:r>
      <w:r>
        <w:rPr>
          <w:rFonts w:hint="eastAsia" w:cs="Times New Roman"/>
          <w:color w:val="auto"/>
          <w:lang w:val="en-US" w:eastAsia="zh-CN"/>
        </w:rPr>
        <w:t xml:space="preserve"> </w:t>
      </w:r>
      <w:r>
        <w:rPr>
          <w:rFonts w:hint="eastAsia" w:ascii="Times New Roman" w:hAnsi="Times New Roman" w:cs="Times New Roman"/>
          <w:color w:val="auto"/>
        </w:rPr>
        <w:t>挥发性卤代烃的测定</w:t>
      </w:r>
      <w:r>
        <w:rPr>
          <w:rFonts w:hint="eastAsia" w:cs="Times New Roman"/>
          <w:color w:val="auto"/>
          <w:lang w:val="en-US" w:eastAsia="zh-CN"/>
        </w:rPr>
        <w:t xml:space="preserve"> </w:t>
      </w:r>
      <w:r>
        <w:rPr>
          <w:rFonts w:hint="eastAsia" w:ascii="Times New Roman" w:hAnsi="Times New Roman" w:cs="Times New Roman"/>
          <w:color w:val="auto"/>
        </w:rPr>
        <w:t>气袋采样-气相色谱法</w:t>
      </w:r>
    </w:p>
    <w:p w14:paraId="15F91D38">
      <w:pPr>
        <w:spacing w:line="240" w:lineRule="auto"/>
        <w:ind w:firstLine="420" w:firstLineChars="200"/>
        <w:rPr>
          <w:rFonts w:ascii="Times New Roman" w:hAnsi="Times New Roman" w:cs="Times New Roman"/>
          <w:color w:val="auto"/>
        </w:rPr>
      </w:pPr>
      <w:r>
        <w:rPr>
          <w:rFonts w:hint="eastAsia" w:ascii="Times New Roman" w:hAnsi="Times New Roman" w:cs="Times New Roman"/>
          <w:color w:val="auto"/>
        </w:rPr>
        <w:t>HJ 2000</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rPr>
        <w:t>大气污染治理工程技术导则</w:t>
      </w:r>
    </w:p>
    <w:p w14:paraId="4B41247F">
      <w:pPr>
        <w:spacing w:line="240" w:lineRule="auto"/>
        <w:ind w:firstLine="420" w:firstLineChars="200"/>
        <w:rPr>
          <w:rFonts w:ascii="Times New Roman" w:hAnsi="Times New Roman" w:cs="Times New Roman"/>
          <w:color w:val="auto"/>
        </w:rPr>
      </w:pPr>
      <w:r>
        <w:rPr>
          <w:rFonts w:hint="eastAsia" w:ascii="Times New Roman" w:hAnsi="Times New Roman" w:cs="Times New Roman"/>
          <w:color w:val="auto"/>
        </w:rPr>
        <w:t>HJ</w:t>
      </w:r>
      <w:r>
        <w:rPr>
          <w:rFonts w:ascii="Times New Roman" w:hAnsi="Times New Roman" w:cs="Times New Roman"/>
          <w:color w:val="auto"/>
        </w:rPr>
        <w:t xml:space="preserve"> </w:t>
      </w:r>
      <w:r>
        <w:rPr>
          <w:rFonts w:hint="eastAsia" w:ascii="Times New Roman" w:hAnsi="Times New Roman" w:cs="Times New Roman"/>
          <w:color w:val="auto"/>
        </w:rPr>
        <w:t>2026</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rPr>
        <w:t>吸附法工业有机废气治理工程技术规范</w:t>
      </w:r>
    </w:p>
    <w:p w14:paraId="59F20388">
      <w:pPr>
        <w:ind w:firstLine="420" w:firstLineChars="200"/>
      </w:pPr>
      <w:r>
        <w:rPr>
          <w:rFonts w:hint="eastAsia" w:ascii="Times New Roman" w:hAnsi="Times New Roman" w:cs="Times New Roman"/>
          <w:color w:val="auto"/>
        </w:rPr>
        <w:t>T/</w:t>
      </w:r>
      <w:r>
        <w:rPr>
          <w:rFonts w:ascii="Times New Roman" w:hAnsi="Times New Roman" w:cs="Times New Roman"/>
          <w:color w:val="auto"/>
        </w:rPr>
        <w:t>ACEF 035</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rPr>
        <w:t>工业企业挥发性有机物末端治理效果综合评价指南</w:t>
      </w:r>
    </w:p>
    <w:p w14:paraId="13440366">
      <w:pPr>
        <w:spacing w:line="240" w:lineRule="auto"/>
        <w:ind w:firstLine="420" w:firstLineChars="200"/>
        <w:rPr>
          <w:rFonts w:ascii="Times New Roman" w:hAnsi="Times New Roman" w:cs="Times New Roman"/>
          <w:color w:val="auto"/>
        </w:rPr>
      </w:pPr>
      <w:r>
        <w:rPr>
          <w:rFonts w:hint="eastAsia" w:ascii="Times New Roman" w:hAnsi="Times New Roman" w:cs="Times New Roman"/>
          <w:color w:val="auto"/>
        </w:rPr>
        <w:t>T/CAEPI 29</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rPr>
        <w:t>废气生物净化装置技术要求</w:t>
      </w:r>
    </w:p>
    <w:p w14:paraId="4D70C60C">
      <w:pPr>
        <w:spacing w:line="240" w:lineRule="auto"/>
        <w:ind w:firstLine="420" w:firstLineChars="200"/>
        <w:rPr>
          <w:rFonts w:hint="eastAsia" w:ascii="Times New Roman" w:hAnsi="Times New Roman" w:cs="Times New Roman"/>
          <w:color w:val="auto"/>
        </w:rPr>
      </w:pPr>
      <w:r>
        <w:rPr>
          <w:rFonts w:hint="eastAsia" w:ascii="Times New Roman" w:hAnsi="Times New Roman" w:cs="Times New Roman"/>
          <w:color w:val="auto"/>
        </w:rPr>
        <w:t>T</w:t>
      </w:r>
      <w:r>
        <w:rPr>
          <w:rFonts w:ascii="Times New Roman" w:hAnsi="Times New Roman" w:cs="Times New Roman"/>
          <w:color w:val="auto"/>
        </w:rPr>
        <w:t>/EERT 012.3</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rPr>
        <w:t>工业低浓度有机废气协同处理技术指南第3部分：以生物法为主体</w:t>
      </w:r>
    </w:p>
    <w:p w14:paraId="0320E0ED">
      <w:pPr>
        <w:ind w:firstLine="420" w:firstLineChars="200"/>
        <w:rPr>
          <w:rFonts w:ascii="Times New Roman" w:hAnsi="Times New Roman" w:cs="Times New Roman"/>
        </w:rPr>
      </w:pPr>
      <w:r>
        <w:rPr>
          <w:rFonts w:hint="eastAsia" w:ascii="Times New Roman" w:hAnsi="Times New Roman" w:cs="Times New Roman"/>
        </w:rPr>
        <w:t>T/CSTE 0321  质量分级及“领跑者”评价标准编制通则</w:t>
      </w:r>
    </w:p>
    <w:p w14:paraId="1F618DD6">
      <w:pPr>
        <w:ind w:firstLine="420" w:firstLineChars="200"/>
      </w:pPr>
      <w:r>
        <w:rPr>
          <w:rFonts w:hint="eastAsia" w:ascii="Times New Roman" w:hAnsi="Times New Roman" w:cs="Times New Roman"/>
        </w:rPr>
        <w:t>T/CSTE 0421—2023  质量分级及“领跑者”产品标识</w:t>
      </w:r>
    </w:p>
    <w:bookmarkEnd w:id="21"/>
    <w:p w14:paraId="772FC526">
      <w:pPr>
        <w:pStyle w:val="79"/>
        <w:spacing w:before="312" w:after="312"/>
        <w:outlineLvl w:val="0"/>
        <w:rPr>
          <w:rFonts w:ascii="Times New Roman"/>
        </w:rPr>
      </w:pPr>
      <w:bookmarkStart w:id="22" w:name="_Toc18142"/>
      <w:bookmarkStart w:id="23" w:name="_Toc17306"/>
      <w:r>
        <w:rPr>
          <w:rFonts w:hint="eastAsia" w:ascii="Times New Roman"/>
        </w:rPr>
        <w:t>术语和定义</w:t>
      </w:r>
      <w:bookmarkEnd w:id="22"/>
      <w:bookmarkEnd w:id="23"/>
    </w:p>
    <w:p w14:paraId="558E7D52">
      <w:pPr>
        <w:pStyle w:val="29"/>
        <w:autoSpaceDE/>
        <w:autoSpaceDN/>
        <w:rPr>
          <w:rFonts w:hint="eastAsia" w:ascii="Times New Roman"/>
        </w:rPr>
      </w:pPr>
      <w:r>
        <w:rPr>
          <w:rFonts w:hint="eastAsia" w:ascii="Times New Roman"/>
        </w:rPr>
        <w:t>HJ</w:t>
      </w:r>
      <w:r>
        <w:rPr>
          <w:rFonts w:hint="eastAsia" w:ascii="Times New Roman"/>
          <w:lang w:val="en-US" w:eastAsia="zh-CN"/>
        </w:rPr>
        <w:t xml:space="preserve"> </w:t>
      </w:r>
      <w:r>
        <w:rPr>
          <w:rFonts w:hint="eastAsia" w:ascii="Times New Roman"/>
        </w:rPr>
        <w:t>38、HJ/T</w:t>
      </w:r>
      <w:r>
        <w:rPr>
          <w:rFonts w:hint="eastAsia" w:ascii="Times New Roman"/>
          <w:lang w:val="en-US" w:eastAsia="zh-CN"/>
        </w:rPr>
        <w:t xml:space="preserve"> </w:t>
      </w:r>
      <w:r>
        <w:rPr>
          <w:rFonts w:hint="eastAsia" w:ascii="Times New Roman"/>
        </w:rPr>
        <w:t>373、HJ/T</w:t>
      </w:r>
      <w:r>
        <w:rPr>
          <w:rFonts w:hint="eastAsia" w:ascii="Times New Roman"/>
          <w:lang w:val="en-US" w:eastAsia="zh-CN"/>
        </w:rPr>
        <w:t xml:space="preserve"> </w:t>
      </w:r>
      <w:r>
        <w:rPr>
          <w:rFonts w:hint="eastAsia" w:ascii="Times New Roman"/>
        </w:rPr>
        <w:t>397、HJ</w:t>
      </w:r>
      <w:r>
        <w:rPr>
          <w:rFonts w:hint="eastAsia" w:ascii="Times New Roman"/>
          <w:lang w:val="en-US" w:eastAsia="zh-CN"/>
        </w:rPr>
        <w:t xml:space="preserve"> </w:t>
      </w:r>
      <w:r>
        <w:rPr>
          <w:rFonts w:hint="eastAsia" w:ascii="Times New Roman"/>
        </w:rPr>
        <w:t>732、HJ</w:t>
      </w:r>
      <w:r>
        <w:rPr>
          <w:rFonts w:hint="eastAsia" w:ascii="Times New Roman"/>
          <w:lang w:val="en-US" w:eastAsia="zh-CN"/>
        </w:rPr>
        <w:t xml:space="preserve"> </w:t>
      </w:r>
      <w:r>
        <w:rPr>
          <w:rFonts w:hint="eastAsia" w:ascii="Times New Roman"/>
        </w:rPr>
        <w:t>1006、HJ 2000、HJ</w:t>
      </w:r>
      <w:r>
        <w:rPr>
          <w:rFonts w:hint="eastAsia" w:ascii="Times New Roman"/>
          <w:lang w:val="en-US" w:eastAsia="zh-CN"/>
        </w:rPr>
        <w:t xml:space="preserve"> </w:t>
      </w:r>
      <w:r>
        <w:rPr>
          <w:rFonts w:hint="eastAsia" w:ascii="Times New Roman"/>
        </w:rPr>
        <w:t>2026、T/ACEF 035</w:t>
      </w:r>
      <w:r>
        <w:rPr>
          <w:rFonts w:hint="eastAsia" w:ascii="Times New Roman"/>
          <w:lang w:eastAsia="zh-CN"/>
        </w:rPr>
        <w:t>、</w:t>
      </w:r>
      <w:r>
        <w:rPr>
          <w:rFonts w:hint="eastAsia" w:ascii="Times New Roman"/>
        </w:rPr>
        <w:t>T/CAEPI 29、T/EERT 012.3界定的以及下列术语和定义适用于本文件。</w:t>
      </w:r>
    </w:p>
    <w:p w14:paraId="0B84120F">
      <w:pPr>
        <w:pStyle w:val="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rPr>
      </w:pPr>
      <w:r>
        <w:rPr>
          <w:rFonts w:hint="eastAsia" w:ascii="黑体" w:hAnsi="黑体" w:eastAsia="黑体" w:cs="黑体"/>
        </w:rPr>
        <w:t>3.1</w:t>
      </w:r>
    </w:p>
    <w:p w14:paraId="64B58E4E">
      <w:pPr>
        <w:ind w:firstLine="420" w:firstLineChars="200"/>
        <w:rPr>
          <w:b/>
          <w:bCs/>
        </w:rPr>
      </w:pPr>
      <w:r>
        <w:rPr>
          <w:rFonts w:hint="eastAsia" w:ascii="黑体" w:hAnsi="黑体" w:eastAsia="黑体" w:cs="黑体"/>
        </w:rPr>
        <w:t>复合微生态制剂</w:t>
      </w:r>
      <w:r>
        <w:rPr>
          <w:rFonts w:eastAsia="黑体"/>
        </w:rPr>
        <w:t xml:space="preserve"> </w:t>
      </w:r>
      <w:r>
        <w:rPr>
          <w:rFonts w:hint="eastAsia" w:ascii="黑体" w:hAnsi="黑体" w:eastAsia="黑体" w:cs="黑体"/>
          <w:b w:val="0"/>
          <w:bCs w:val="0"/>
          <w:lang w:val="en-US" w:eastAsia="zh-CN"/>
        </w:rPr>
        <w:t>c</w:t>
      </w:r>
      <w:r>
        <w:rPr>
          <w:rFonts w:hint="eastAsia" w:ascii="黑体" w:hAnsi="黑体" w:eastAsia="黑体" w:cs="黑体"/>
          <w:b w:val="0"/>
          <w:bCs w:val="0"/>
        </w:rPr>
        <w:t>omposite microbial ecological agent</w:t>
      </w:r>
    </w:p>
    <w:p w14:paraId="323B397E">
      <w:pPr>
        <w:pStyle w:val="2"/>
        <w:ind w:firstLine="420" w:firstLineChars="200"/>
      </w:pPr>
      <w:r>
        <w:rPr>
          <w:rFonts w:hint="eastAsia"/>
        </w:rPr>
        <w:t>由特定污染物降解性能的微生物和其附着载体（固态或液态）组成</w:t>
      </w:r>
      <w:r>
        <w:rPr>
          <w:rFonts w:hint="eastAsia"/>
          <w:lang w:val="en-US" w:eastAsia="zh-CN"/>
        </w:rPr>
        <w:t>的制剂</w:t>
      </w:r>
      <w:r>
        <w:rPr>
          <w:rFonts w:hint="eastAsia"/>
        </w:rPr>
        <w:t>。</w:t>
      </w:r>
    </w:p>
    <w:p w14:paraId="1ACCD939">
      <w:pPr>
        <w:pStyle w:val="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lang w:eastAsia="zh-CN"/>
        </w:rPr>
      </w:pPr>
      <w:r>
        <w:rPr>
          <w:rFonts w:hint="eastAsia" w:ascii="黑体" w:hAnsi="黑体" w:eastAsia="黑体" w:cs="黑体"/>
        </w:rPr>
        <w:t>3.</w:t>
      </w:r>
      <w:r>
        <w:rPr>
          <w:rFonts w:hint="eastAsia" w:ascii="黑体" w:hAnsi="黑体" w:eastAsia="黑体" w:cs="黑体"/>
          <w:lang w:val="en-US" w:eastAsia="zh-CN"/>
        </w:rPr>
        <w:t>2</w:t>
      </w:r>
    </w:p>
    <w:p w14:paraId="59E6F754">
      <w:pPr>
        <w:ind w:firstLine="420" w:firstLineChars="200"/>
        <w:rPr>
          <w:b/>
          <w:bCs/>
        </w:rPr>
      </w:pPr>
      <w:r>
        <w:rPr>
          <w:rFonts w:hint="eastAsia" w:ascii="黑体" w:hAnsi="黑体" w:eastAsia="黑体" w:cs="黑体"/>
        </w:rPr>
        <w:t>新型填料</w:t>
      </w:r>
      <w:r>
        <w:rPr>
          <w:rFonts w:eastAsia="黑体"/>
        </w:rPr>
        <w:t xml:space="preserve"> </w:t>
      </w:r>
      <w:r>
        <w:rPr>
          <w:rFonts w:hint="eastAsia" w:ascii="黑体" w:hAnsi="黑体" w:eastAsia="黑体" w:cs="黑体"/>
          <w:b w:val="0"/>
          <w:bCs w:val="0"/>
          <w:lang w:val="en-US" w:eastAsia="zh-CN"/>
        </w:rPr>
        <w:t>n</w:t>
      </w:r>
      <w:r>
        <w:rPr>
          <w:rFonts w:hint="eastAsia" w:ascii="黑体" w:hAnsi="黑体" w:eastAsia="黑体" w:cs="黑体"/>
          <w:b w:val="0"/>
          <w:bCs w:val="0"/>
        </w:rPr>
        <w:t>ew packing materials</w:t>
      </w:r>
    </w:p>
    <w:p w14:paraId="5D625974">
      <w:pPr>
        <w:pStyle w:val="2"/>
        <w:ind w:firstLine="420" w:firstLineChars="200"/>
      </w:pPr>
      <w:r>
        <w:rPr>
          <w:rFonts w:hint="eastAsia"/>
        </w:rPr>
        <w:t>具有特定功能（如营养缓释、pH缓释能力）的废气生物净化用填料。</w:t>
      </w:r>
    </w:p>
    <w:p w14:paraId="71095AB1">
      <w:pPr>
        <w:pStyle w:val="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lang w:eastAsia="zh-CN"/>
        </w:rPr>
      </w:pPr>
      <w:r>
        <w:rPr>
          <w:rFonts w:hint="eastAsia" w:ascii="黑体" w:hAnsi="黑体" w:eastAsia="黑体" w:cs="黑体"/>
        </w:rPr>
        <w:t>3.</w:t>
      </w:r>
      <w:r>
        <w:rPr>
          <w:rFonts w:hint="eastAsia" w:ascii="黑体" w:hAnsi="黑体" w:eastAsia="黑体" w:cs="黑体"/>
          <w:lang w:val="en-US" w:eastAsia="zh-CN"/>
        </w:rPr>
        <w:t>3</w:t>
      </w:r>
    </w:p>
    <w:p w14:paraId="0EE92879">
      <w:pPr>
        <w:ind w:firstLine="420" w:firstLineChars="200"/>
      </w:pPr>
      <w:r>
        <w:rPr>
          <w:rFonts w:hint="eastAsia" w:ascii="黑体" w:hAnsi="黑体" w:eastAsia="黑体" w:cs="黑体"/>
        </w:rPr>
        <w:t>净化</w:t>
      </w:r>
      <w:r>
        <w:rPr>
          <w:rFonts w:hint="eastAsia" w:ascii="黑体" w:hAnsi="黑体" w:eastAsia="黑体" w:cs="黑体"/>
          <w:b w:val="0"/>
          <w:bCs w:val="0"/>
        </w:rPr>
        <w:t>效率</w:t>
      </w:r>
      <w:r>
        <w:rPr>
          <w:rFonts w:hint="eastAsia" w:ascii="黑体" w:hAnsi="黑体" w:eastAsia="黑体" w:cs="黑体"/>
        </w:rPr>
        <w:t xml:space="preserve"> </w:t>
      </w:r>
      <w:r>
        <w:rPr>
          <w:rFonts w:hint="eastAsia" w:ascii="黑体" w:hAnsi="黑体" w:eastAsia="黑体" w:cs="黑体"/>
          <w:b w:val="0"/>
          <w:bCs w:val="0"/>
          <w:lang w:val="en-US" w:eastAsia="zh-CN"/>
        </w:rPr>
        <w:t>p</w:t>
      </w:r>
      <w:r>
        <w:rPr>
          <w:rFonts w:hint="eastAsia" w:ascii="黑体" w:hAnsi="黑体" w:eastAsia="黑体" w:cs="黑体"/>
          <w:b w:val="0"/>
          <w:bCs w:val="0"/>
        </w:rPr>
        <w:t>urification efficiency</w:t>
      </w:r>
    </w:p>
    <w:p w14:paraId="21C25A4A">
      <w:pPr>
        <w:pStyle w:val="2"/>
        <w:ind w:firstLine="420" w:firstLineChars="200"/>
      </w:pPr>
      <w:r>
        <w:rPr>
          <w:rFonts w:hint="eastAsia"/>
          <w:lang w:val="en-US" w:eastAsia="zh-CN"/>
        </w:rPr>
        <w:t>指生物处理装置处理的VOCs质量流量与进入生物处理装置的VOCs质量流量之比，以百分比计，按公式（1）进行计算</w:t>
      </w:r>
      <w:r>
        <w:rPr>
          <w:rFonts w:hint="eastAsia"/>
        </w:rPr>
        <w:t>。</w:t>
      </w:r>
    </w:p>
    <w:p w14:paraId="380E826E">
      <w:pPr>
        <w:tabs>
          <w:tab w:val="left" w:leader="dot" w:pos="4200"/>
          <w:tab w:val="right" w:leader="middleDot" w:pos="7360"/>
        </w:tabs>
        <w:ind w:left="1259" w:firstLine="420" w:firstLineChars="200"/>
        <w:jc w:val="right"/>
      </w:pPr>
      <w:r>
        <w:rPr>
          <w:position w:val="-30"/>
        </w:rPr>
        <w:object>
          <v:shape id="_x0000_i1025" o:spt="75" type="#_x0000_t75" style="height:30.2pt;width:157.15pt;" o:ole="t" filled="f" o:preferrelative="t" stroked="f" coordsize="21600,21600">
            <v:path/>
            <v:fill on="f" focussize="0,0"/>
            <v:stroke on="f" joinstyle="miter"/>
            <v:imagedata r:id="rId26" o:title=""/>
            <o:lock v:ext="edit" aspectratio="t"/>
            <w10:wrap type="none"/>
            <w10:anchorlock/>
          </v:shape>
          <o:OLEObject Type="Embed" ProgID="Equations" ShapeID="_x0000_i1025" DrawAspect="Content" ObjectID="_1468075725" r:id="rId25">
            <o:LockedField>false</o:LockedField>
          </o:OLEObject>
        </w:object>
      </w:r>
      <w:r>
        <w:rPr>
          <w:rFonts w:hint="eastAsia"/>
          <w:szCs w:val="21"/>
        </w:rPr>
        <w:tab/>
      </w:r>
      <w:r>
        <w:rPr>
          <w:rFonts w:hint="eastAsia"/>
          <w:szCs w:val="21"/>
        </w:rPr>
        <w:t>（1）</w:t>
      </w:r>
    </w:p>
    <w:p w14:paraId="1FAE7C9F">
      <w:pPr>
        <w:ind w:firstLine="420" w:firstLineChars="200"/>
      </w:pPr>
      <w:r>
        <w:rPr>
          <w:rFonts w:hint="eastAsia"/>
        </w:rPr>
        <w:t>式中：</w:t>
      </w:r>
    </w:p>
    <w:p w14:paraId="03EF9E42">
      <w:pPr>
        <w:ind w:firstLine="420" w:firstLineChars="200"/>
      </w:pPr>
      <w:r>
        <w:rPr>
          <w:rFonts w:hint="eastAsia"/>
        </w:rPr>
        <w:t>C</w:t>
      </w:r>
      <w:r>
        <w:rPr>
          <w:rFonts w:hint="eastAsia"/>
          <w:vertAlign w:val="subscript"/>
        </w:rPr>
        <w:t>in</w:t>
      </w:r>
      <w:r>
        <w:rPr>
          <w:rFonts w:hint="eastAsia"/>
          <w:sz w:val="24"/>
          <w:szCs w:val="32"/>
          <w:vertAlign w:val="subscript"/>
        </w:rPr>
        <w:t xml:space="preserve"> </w:t>
      </w:r>
      <w:r>
        <w:rPr>
          <w:rFonts w:hint="eastAsia"/>
          <w:sz w:val="2"/>
          <w:szCs w:val="6"/>
          <w:vertAlign w:val="subscript"/>
        </w:rPr>
        <w:t xml:space="preserve"> </w:t>
      </w:r>
      <w:r>
        <w:rPr>
          <w:color w:val="000000" w:themeColor="text1"/>
          <w:kern w:val="0"/>
          <w14:textFill>
            <w14:solidFill>
              <w14:schemeClr w14:val="tx1"/>
            </w14:solidFill>
          </w14:textFill>
        </w:rPr>
        <w:t>——</w:t>
      </w:r>
      <w:r>
        <w:rPr>
          <w:rFonts w:hint="eastAsia"/>
          <w:color w:val="000000" w:themeColor="text1"/>
          <w:kern w:val="0"/>
          <w14:textFill>
            <w14:solidFill>
              <w14:schemeClr w14:val="tx1"/>
            </w14:solidFill>
          </w14:textFill>
        </w:rPr>
        <w:t>标准状态下，生物净化装置进口污染物浓度</w:t>
      </w:r>
      <w:r>
        <w:rPr>
          <w:rFonts w:hint="eastAsia"/>
        </w:rPr>
        <w:t>，mg/m</w:t>
      </w:r>
      <w:r>
        <w:rPr>
          <w:rFonts w:hint="default"/>
        </w:rPr>
        <w:t>³</w:t>
      </w:r>
      <w:r>
        <w:rPr>
          <w:rFonts w:hint="eastAsia"/>
        </w:rPr>
        <w:t>；</w:t>
      </w:r>
    </w:p>
    <w:p w14:paraId="1A96E9D3">
      <w:pPr>
        <w:ind w:firstLine="420" w:firstLineChars="200"/>
      </w:pPr>
      <w:r>
        <w:rPr>
          <w:rFonts w:hint="eastAsia"/>
        </w:rPr>
        <w:t>C</w:t>
      </w:r>
      <w:r>
        <w:rPr>
          <w:rFonts w:hint="eastAsia"/>
          <w:vertAlign w:val="subscript"/>
        </w:rPr>
        <w:t>out</w:t>
      </w:r>
      <w:r>
        <w:rPr>
          <w:rFonts w:hint="eastAsia"/>
          <w:sz w:val="11"/>
          <w:szCs w:val="15"/>
          <w:vertAlign w:val="subscript"/>
        </w:rPr>
        <w:t xml:space="preserve"> </w:t>
      </w:r>
      <w:r>
        <w:rPr>
          <w:color w:val="000000" w:themeColor="text1"/>
          <w:kern w:val="0"/>
          <w14:textFill>
            <w14:solidFill>
              <w14:schemeClr w14:val="tx1"/>
            </w14:solidFill>
          </w14:textFill>
        </w:rPr>
        <w:t>——</w:t>
      </w:r>
      <w:r>
        <w:rPr>
          <w:rFonts w:hint="eastAsia"/>
          <w:color w:val="000000" w:themeColor="text1"/>
          <w:kern w:val="0"/>
          <w14:textFill>
            <w14:solidFill>
              <w14:schemeClr w14:val="tx1"/>
            </w14:solidFill>
          </w14:textFill>
        </w:rPr>
        <w:t>标准状态下，</w:t>
      </w:r>
      <w:r>
        <w:rPr>
          <w:rFonts w:hint="eastAsia"/>
          <w:lang w:val="en-US" w:eastAsia="zh-CN"/>
        </w:rPr>
        <w:t>生物净化</w:t>
      </w:r>
      <w:r>
        <w:rPr>
          <w:rFonts w:hint="eastAsia"/>
        </w:rPr>
        <w:t>装置</w:t>
      </w:r>
      <w:r>
        <w:rPr>
          <w:rFonts w:hint="eastAsia"/>
          <w:color w:val="000000" w:themeColor="text1"/>
          <w:kern w:val="0"/>
          <w14:textFill>
            <w14:solidFill>
              <w14:schemeClr w14:val="tx1"/>
            </w14:solidFill>
          </w14:textFill>
        </w:rPr>
        <w:t>出口污染物浓度</w:t>
      </w:r>
      <w:r>
        <w:rPr>
          <w:rFonts w:hint="eastAsia"/>
        </w:rPr>
        <w:t>，mg/m</w:t>
      </w:r>
      <w:r>
        <w:rPr>
          <w:rFonts w:hint="default"/>
        </w:rPr>
        <w:t>³</w:t>
      </w:r>
      <w:r>
        <w:rPr>
          <w:rFonts w:hint="eastAsia"/>
        </w:rPr>
        <w:t>；</w:t>
      </w:r>
    </w:p>
    <w:p w14:paraId="2A94FEB3">
      <w:pPr>
        <w:ind w:firstLine="420" w:firstLineChars="200"/>
      </w:pPr>
      <w:r>
        <w:rPr>
          <w:rFonts w:hint="eastAsia"/>
        </w:rPr>
        <w:t>Q</w:t>
      </w:r>
      <w:r>
        <w:rPr>
          <w:rFonts w:hint="eastAsia"/>
          <w:vertAlign w:val="subscript"/>
        </w:rPr>
        <w:t>in</w:t>
      </w:r>
      <w:r>
        <w:rPr>
          <w:rFonts w:hint="eastAsia"/>
          <w:sz w:val="20"/>
          <w:szCs w:val="22"/>
          <w:vertAlign w:val="subscript"/>
        </w:rPr>
        <w:t xml:space="preserve"> </w:t>
      </w:r>
      <w:r>
        <w:rPr>
          <w:rFonts w:hint="eastAsia"/>
          <w:sz w:val="2"/>
          <w:szCs w:val="6"/>
          <w:vertAlign w:val="subscript"/>
        </w:rPr>
        <w:t xml:space="preserve"> </w:t>
      </w:r>
      <w:r>
        <w:rPr>
          <w:color w:val="000000" w:themeColor="text1"/>
          <w:kern w:val="0"/>
          <w14:textFill>
            <w14:solidFill>
              <w14:schemeClr w14:val="tx1"/>
            </w14:solidFill>
          </w14:textFill>
        </w:rPr>
        <w:t>——</w:t>
      </w:r>
      <w:r>
        <w:rPr>
          <w:rFonts w:hint="eastAsia"/>
          <w:color w:val="000000" w:themeColor="text1"/>
          <w:kern w:val="0"/>
          <w14:textFill>
            <w14:solidFill>
              <w14:schemeClr w14:val="tx1"/>
            </w14:solidFill>
          </w14:textFill>
        </w:rPr>
        <w:t>标准状态下，</w:t>
      </w:r>
      <w:r>
        <w:rPr>
          <w:rFonts w:hint="eastAsia"/>
          <w:lang w:val="en-US" w:eastAsia="zh-CN"/>
        </w:rPr>
        <w:t>生物净化</w:t>
      </w:r>
      <w:r>
        <w:rPr>
          <w:rFonts w:hint="eastAsia"/>
        </w:rPr>
        <w:t>装置</w:t>
      </w:r>
      <w:r>
        <w:rPr>
          <w:rFonts w:hint="eastAsia"/>
          <w:color w:val="000000" w:themeColor="text1"/>
          <w:kern w:val="0"/>
          <w14:textFill>
            <w14:solidFill>
              <w14:schemeClr w14:val="tx1"/>
            </w14:solidFill>
          </w14:textFill>
        </w:rPr>
        <w:t>进口干气体体积流量</w:t>
      </w:r>
      <w:r>
        <w:rPr>
          <w:rFonts w:hint="eastAsia"/>
        </w:rPr>
        <w:t>，m</w:t>
      </w:r>
      <w:r>
        <w:rPr>
          <w:rFonts w:hint="default"/>
        </w:rPr>
        <w:t>³</w:t>
      </w:r>
      <w:r>
        <w:rPr>
          <w:rFonts w:hint="eastAsia"/>
        </w:rPr>
        <w:t>/h；</w:t>
      </w:r>
    </w:p>
    <w:p w14:paraId="30FBD199">
      <w:pPr>
        <w:ind w:firstLine="420" w:firstLineChars="200"/>
      </w:pPr>
      <w:r>
        <w:rPr>
          <w:rFonts w:hint="eastAsia"/>
        </w:rPr>
        <w:t>Q</w:t>
      </w:r>
      <w:r>
        <w:rPr>
          <w:rFonts w:hint="eastAsia"/>
          <w:vertAlign w:val="subscript"/>
        </w:rPr>
        <w:t>out</w:t>
      </w:r>
      <w:r>
        <w:rPr>
          <w:color w:val="000000" w:themeColor="text1"/>
          <w:kern w:val="0"/>
          <w14:textFill>
            <w14:solidFill>
              <w14:schemeClr w14:val="tx1"/>
            </w14:solidFill>
          </w14:textFill>
        </w:rPr>
        <w:t>——</w:t>
      </w:r>
      <w:r>
        <w:rPr>
          <w:rFonts w:hint="eastAsia"/>
          <w:color w:val="000000" w:themeColor="text1"/>
          <w:kern w:val="0"/>
          <w14:textFill>
            <w14:solidFill>
              <w14:schemeClr w14:val="tx1"/>
            </w14:solidFill>
          </w14:textFill>
        </w:rPr>
        <w:t>标准状态下，</w:t>
      </w:r>
      <w:r>
        <w:rPr>
          <w:rFonts w:hint="eastAsia"/>
          <w:lang w:val="en-US" w:eastAsia="zh-CN"/>
        </w:rPr>
        <w:t>生物净化</w:t>
      </w:r>
      <w:r>
        <w:rPr>
          <w:rFonts w:hint="eastAsia"/>
        </w:rPr>
        <w:t>装置</w:t>
      </w:r>
      <w:r>
        <w:rPr>
          <w:rFonts w:hint="eastAsia"/>
          <w:color w:val="000000" w:themeColor="text1"/>
          <w:kern w:val="0"/>
          <w14:textFill>
            <w14:solidFill>
              <w14:schemeClr w14:val="tx1"/>
            </w14:solidFill>
          </w14:textFill>
        </w:rPr>
        <w:t>出口干气体体积流量</w:t>
      </w:r>
      <w:r>
        <w:rPr>
          <w:rFonts w:hint="eastAsia"/>
        </w:rPr>
        <w:t>，m</w:t>
      </w:r>
      <w:r>
        <w:rPr>
          <w:rFonts w:hint="default"/>
        </w:rPr>
        <w:t>³</w:t>
      </w:r>
      <w:r>
        <w:rPr>
          <w:rFonts w:hint="eastAsia"/>
        </w:rPr>
        <w:t>/h。</w:t>
      </w:r>
    </w:p>
    <w:p w14:paraId="1C7ECA25">
      <w:pPr>
        <w:pStyle w:val="79"/>
        <w:spacing w:before="312" w:after="312"/>
        <w:outlineLvl w:val="0"/>
      </w:pPr>
      <w:bookmarkStart w:id="24" w:name="_Toc26374"/>
      <w:bookmarkStart w:id="25" w:name="_Toc4835"/>
      <w:r>
        <w:rPr>
          <w:rFonts w:hint="eastAsia" w:ascii="Times New Roman"/>
        </w:rPr>
        <w:t>基</w:t>
      </w:r>
      <w:r>
        <w:rPr>
          <w:rFonts w:hint="eastAsia"/>
        </w:rPr>
        <w:t>本要求</w:t>
      </w:r>
      <w:bookmarkEnd w:id="24"/>
      <w:bookmarkEnd w:id="25"/>
    </w:p>
    <w:p w14:paraId="471DBB38">
      <w:pPr>
        <w:pStyle w:val="29"/>
        <w:numPr>
          <w:ilvl w:val="1"/>
          <w:numId w:val="5"/>
        </w:numPr>
        <w:tabs>
          <w:tab w:val="left" w:pos="0"/>
        </w:tabs>
        <w:ind w:firstLineChars="0"/>
        <w:rPr>
          <w:rFonts w:ascii="Times New Roman"/>
        </w:rPr>
      </w:pPr>
      <w:bookmarkStart w:id="26" w:name="OLE_LINK9"/>
      <w:r>
        <w:rPr>
          <w:rFonts w:hint="eastAsia" w:ascii="Times New Roman"/>
        </w:rPr>
        <w:t>近三年，生物法废气处理装置生产企业</w:t>
      </w:r>
      <w:r>
        <w:rPr>
          <w:rFonts w:hint="eastAsia" w:ascii="Times New Roman"/>
          <w:lang w:val="en-US" w:eastAsia="zh-CN"/>
        </w:rPr>
        <w:t>应</w:t>
      </w:r>
      <w:r>
        <w:rPr>
          <w:rFonts w:hint="eastAsia" w:ascii="Times New Roman"/>
        </w:rPr>
        <w:t>无较大及以上环境、安全、质量事故。</w:t>
      </w:r>
    </w:p>
    <w:p w14:paraId="5AA41BA6">
      <w:pPr>
        <w:pStyle w:val="29"/>
        <w:numPr>
          <w:ilvl w:val="1"/>
          <w:numId w:val="5"/>
        </w:numPr>
        <w:tabs>
          <w:tab w:val="left" w:pos="0"/>
        </w:tabs>
        <w:ind w:firstLineChars="0"/>
        <w:rPr>
          <w:rFonts w:ascii="Times New Roman"/>
        </w:rPr>
      </w:pPr>
      <w:r>
        <w:rPr>
          <w:rFonts w:hint="eastAsia" w:ascii="Times New Roman"/>
        </w:rPr>
        <w:t>企业</w:t>
      </w:r>
      <w:r>
        <w:rPr>
          <w:rFonts w:hint="eastAsia" w:ascii="Times New Roman"/>
          <w:lang w:val="en-US" w:eastAsia="zh-CN"/>
        </w:rPr>
        <w:t>应</w:t>
      </w:r>
      <w:r>
        <w:rPr>
          <w:rFonts w:hint="eastAsia" w:ascii="Times New Roman"/>
        </w:rPr>
        <w:t>未列入国家信用信息严重失信主体相关名录。</w:t>
      </w:r>
    </w:p>
    <w:p w14:paraId="64C59402">
      <w:pPr>
        <w:pStyle w:val="29"/>
        <w:numPr>
          <w:ilvl w:val="1"/>
          <w:numId w:val="5"/>
        </w:numPr>
        <w:tabs>
          <w:tab w:val="left" w:pos="0"/>
        </w:tabs>
        <w:ind w:firstLineChars="0"/>
        <w:rPr>
          <w:rFonts w:ascii="Times New Roman"/>
        </w:rPr>
      </w:pPr>
      <w:r>
        <w:rPr>
          <w:rFonts w:hint="eastAsia" w:ascii="Times New Roman"/>
        </w:rPr>
        <w:t>企业可根据GB/T 19001、</w:t>
      </w:r>
      <w:r>
        <w:rPr>
          <w:rFonts w:hint="default" w:ascii="Times New Roman" w:hAnsi="Times New Roman" w:cs="Times New Roman"/>
          <w:bCs w:val="0"/>
          <w:sz w:val="21"/>
          <w:szCs w:val="21"/>
          <w:highlight w:val="none"/>
          <w:lang w:eastAsia="zh-CN"/>
        </w:rPr>
        <w:t xml:space="preserve">GB/T </w:t>
      </w:r>
      <w:r>
        <w:rPr>
          <w:rFonts w:hint="default" w:ascii="Times New Roman" w:hAnsi="Times New Roman" w:eastAsia="宋体" w:cs="Times New Roman"/>
          <w:bCs w:val="0"/>
          <w:sz w:val="21"/>
          <w:szCs w:val="21"/>
          <w:highlight w:val="none"/>
          <w:lang w:eastAsia="zh-CN"/>
        </w:rPr>
        <w:t>23331</w:t>
      </w:r>
      <w:r>
        <w:rPr>
          <w:rFonts w:hint="default" w:ascii="Times New Roman" w:hAnsi="Times New Roman" w:cs="Times New Roman"/>
          <w:bCs w:val="0"/>
          <w:sz w:val="21"/>
          <w:szCs w:val="21"/>
          <w:highlight w:val="none"/>
          <w:lang w:eastAsia="zh-CN"/>
        </w:rPr>
        <w:t>、</w:t>
      </w:r>
      <w:r>
        <w:rPr>
          <w:rFonts w:hint="eastAsia" w:ascii="Times New Roman"/>
        </w:rPr>
        <w:t>GB/T 24001、GB/T 45001建立并运行相应质量、</w:t>
      </w:r>
      <w:r>
        <w:rPr>
          <w:rFonts w:hint="eastAsia" w:ascii="Times New Roman"/>
          <w:lang w:val="en-US" w:eastAsia="zh-CN"/>
        </w:rPr>
        <w:t>能源、</w:t>
      </w:r>
      <w:r>
        <w:rPr>
          <w:rFonts w:hint="eastAsia" w:ascii="Times New Roman"/>
        </w:rPr>
        <w:t>环境和职业健康安全</w:t>
      </w:r>
      <w:r>
        <w:rPr>
          <w:rFonts w:hint="eastAsia" w:ascii="Times New Roman"/>
          <w:lang w:val="en-US" w:eastAsia="zh-CN"/>
        </w:rPr>
        <w:t>等管理体系</w:t>
      </w:r>
      <w:r>
        <w:rPr>
          <w:rFonts w:hint="eastAsia" w:ascii="Times New Roman"/>
        </w:rPr>
        <w:t>，鼓励企业根据自身运营情况建立</w:t>
      </w:r>
      <w:r>
        <w:rPr>
          <w:rFonts w:hint="eastAsia" w:ascii="Times New Roman"/>
          <w:lang w:val="en-US" w:eastAsia="zh-CN"/>
        </w:rPr>
        <w:t>其他</w:t>
      </w:r>
      <w:r>
        <w:rPr>
          <w:rFonts w:hint="eastAsia" w:ascii="Times New Roman"/>
        </w:rPr>
        <w:t>高水平的相关管理体系。</w:t>
      </w:r>
    </w:p>
    <w:p w14:paraId="0ACBEF5D">
      <w:pPr>
        <w:pStyle w:val="29"/>
        <w:numPr>
          <w:ilvl w:val="1"/>
          <w:numId w:val="5"/>
        </w:numPr>
        <w:tabs>
          <w:tab w:val="left" w:pos="0"/>
        </w:tabs>
        <w:ind w:firstLineChars="0"/>
        <w:rPr>
          <w:rFonts w:ascii="Times New Roman"/>
        </w:rPr>
      </w:pPr>
      <w:r>
        <w:rPr>
          <w:rFonts w:hint="eastAsia" w:ascii="Times New Roman"/>
        </w:rPr>
        <w:t>产品应为量产产品，生物洗涤、生物滴滤和生物过滤等生物法废气处理装置应满足T/ACEF 035</w:t>
      </w:r>
      <w:r>
        <w:rPr>
          <w:rFonts w:hint="eastAsia" w:ascii="Times New Roman"/>
          <w:lang w:eastAsia="zh-CN"/>
        </w:rPr>
        <w:t>、</w:t>
      </w:r>
      <w:r>
        <w:rPr>
          <w:rFonts w:hint="eastAsia" w:ascii="Times New Roman"/>
        </w:rPr>
        <w:t>T/CAEPI 29、T/EERT 012.3中产品性能的规定要求。</w:t>
      </w:r>
    </w:p>
    <w:bookmarkEnd w:id="26"/>
    <w:p w14:paraId="4CAA8612">
      <w:pPr>
        <w:pStyle w:val="79"/>
        <w:spacing w:before="312" w:after="312"/>
        <w:outlineLvl w:val="0"/>
        <w:rPr>
          <w:rFonts w:ascii="Times New Roman"/>
        </w:rPr>
      </w:pPr>
      <w:bookmarkStart w:id="27" w:name="_Toc10697"/>
      <w:bookmarkStart w:id="28" w:name="_Toc3289"/>
      <w:r>
        <w:rPr>
          <w:rFonts w:hint="eastAsia" w:ascii="Times New Roman"/>
        </w:rPr>
        <w:t>评价指标</w:t>
      </w:r>
      <w:bookmarkEnd w:id="27"/>
      <w:r>
        <w:rPr>
          <w:rFonts w:hint="eastAsia" w:ascii="Times New Roman"/>
          <w:lang w:val="en-US" w:eastAsia="zh-CN"/>
        </w:rPr>
        <w:t>及要求</w:t>
      </w:r>
      <w:bookmarkEnd w:id="28"/>
    </w:p>
    <w:p w14:paraId="44E63EB9">
      <w:pPr>
        <w:pStyle w:val="102"/>
        <w:numPr>
          <w:ilvl w:val="1"/>
          <w:numId w:val="5"/>
        </w:numPr>
        <w:spacing w:before="156" w:after="156"/>
        <w:jc w:val="both"/>
        <w:rPr>
          <w:rFonts w:hint="eastAsia" w:ascii="Times New Roman" w:eastAsia="宋体"/>
        </w:rPr>
      </w:pPr>
      <w:r>
        <w:rPr>
          <w:rFonts w:hint="eastAsia"/>
        </w:rPr>
        <w:t>评价指标分类</w:t>
      </w:r>
    </w:p>
    <w:p w14:paraId="69614B5A">
      <w:pPr>
        <w:pStyle w:val="29"/>
        <w:numPr>
          <w:ilvl w:val="2"/>
          <w:numId w:val="5"/>
        </w:numPr>
        <w:ind w:firstLineChars="0"/>
      </w:pPr>
      <w:bookmarkStart w:id="29" w:name="OLE_LINK10"/>
      <w:r>
        <w:rPr>
          <w:rFonts w:hint="eastAsia"/>
        </w:rPr>
        <w:t>依据</w:t>
      </w:r>
      <w:r>
        <w:rPr>
          <w:rFonts w:hint="default" w:ascii="Times New Roman"/>
        </w:rPr>
        <w:t>T/CSTE 0321</w:t>
      </w:r>
      <w:r>
        <w:rPr>
          <w:rFonts w:hint="eastAsia"/>
        </w:rPr>
        <w:t>，结合本产品特点进行评价指标分类。</w:t>
      </w:r>
    </w:p>
    <w:p w14:paraId="71A92F9B">
      <w:pPr>
        <w:pStyle w:val="29"/>
        <w:numPr>
          <w:ilvl w:val="2"/>
          <w:numId w:val="5"/>
        </w:numPr>
        <w:ind w:firstLineChars="0"/>
      </w:pPr>
      <w:r>
        <w:rPr>
          <w:rFonts w:hint="eastAsia" w:ascii="Times New Roman"/>
        </w:rPr>
        <w:t>生物</w:t>
      </w:r>
      <w:r>
        <w:rPr>
          <w:rFonts w:hint="eastAsia"/>
        </w:rPr>
        <w:t>法废气处理装置评价指标体系包括基础指标、核心指标和创新</w:t>
      </w:r>
      <w:r>
        <w:rPr>
          <w:rFonts w:hint="eastAsia"/>
          <w:lang w:val="en-US" w:eastAsia="zh-CN"/>
        </w:rPr>
        <w:t>性</w:t>
      </w:r>
      <w:r>
        <w:rPr>
          <w:rFonts w:hint="eastAsia"/>
        </w:rPr>
        <w:t>指标。</w:t>
      </w:r>
    </w:p>
    <w:p w14:paraId="78D8F48B">
      <w:pPr>
        <w:pStyle w:val="29"/>
        <w:numPr>
          <w:ilvl w:val="2"/>
          <w:numId w:val="5"/>
        </w:numPr>
        <w:ind w:firstLineChars="0"/>
        <w:rPr>
          <w:rFonts w:ascii="Times New Roman"/>
        </w:rPr>
      </w:pPr>
      <w:r>
        <w:rPr>
          <w:rFonts w:hint="eastAsia" w:ascii="Times New Roman"/>
        </w:rPr>
        <w:t>基础指标包括产品外观、强度与密封性、电气安全、防爆设备加装、产品壁厚和设备噪声。</w:t>
      </w:r>
    </w:p>
    <w:p w14:paraId="362A7DCB">
      <w:pPr>
        <w:pStyle w:val="29"/>
        <w:numPr>
          <w:ilvl w:val="2"/>
          <w:numId w:val="5"/>
        </w:numPr>
        <w:ind w:firstLineChars="0"/>
        <w:rPr>
          <w:rFonts w:ascii="Times New Roman"/>
        </w:rPr>
      </w:pPr>
      <w:r>
        <w:rPr>
          <w:rFonts w:hint="eastAsia" w:ascii="Times New Roman"/>
          <w:lang w:val="en-US" w:eastAsia="zh-CN"/>
        </w:rPr>
        <w:t>核</w:t>
      </w:r>
      <w:r>
        <w:rPr>
          <w:rFonts w:hint="eastAsia" w:ascii="Times New Roman"/>
        </w:rPr>
        <w:t>心指标包括产品主体使用寿命、</w:t>
      </w:r>
      <w:r>
        <w:rPr>
          <w:rFonts w:hint="eastAsia" w:ascii="Times New Roman" w:hAnsi="Times New Roman" w:eastAsia="宋体" w:cs="Times New Roman"/>
          <w:color w:val="auto"/>
          <w:kern w:val="0"/>
          <w:sz w:val="21"/>
          <w:szCs w:val="21"/>
          <w:lang w:val="en-US" w:eastAsia="zh-CN"/>
        </w:rPr>
        <w:t>H</w:t>
      </w:r>
      <w:r>
        <w:rPr>
          <w:rFonts w:hint="eastAsia" w:ascii="Times New Roman" w:hAnsi="Times New Roman" w:eastAsia="宋体" w:cs="Times New Roman"/>
          <w:color w:val="auto"/>
          <w:kern w:val="0"/>
          <w:sz w:val="21"/>
          <w:szCs w:val="21"/>
          <w:vertAlign w:val="subscript"/>
          <w:lang w:val="en-US" w:eastAsia="zh-CN"/>
        </w:rPr>
        <w:t>2</w:t>
      </w:r>
      <w:r>
        <w:rPr>
          <w:rFonts w:hint="eastAsia" w:ascii="Times New Roman" w:hAnsi="Times New Roman" w:eastAsia="宋体" w:cs="Times New Roman"/>
          <w:color w:val="auto"/>
          <w:kern w:val="0"/>
          <w:sz w:val="21"/>
          <w:szCs w:val="21"/>
          <w:lang w:val="en-US" w:eastAsia="zh-CN"/>
        </w:rPr>
        <w:t>S</w:t>
      </w:r>
      <w:r>
        <w:rPr>
          <w:rFonts w:hint="eastAsia" w:ascii="Times New Roman"/>
          <w:szCs w:val="21"/>
        </w:rPr>
        <w:t>净化效率</w:t>
      </w:r>
      <w:r>
        <w:rPr>
          <w:rFonts w:hint="eastAsia" w:ascii="Times New Roman"/>
          <w:szCs w:val="21"/>
          <w:lang w:eastAsia="zh-CN"/>
        </w:rPr>
        <w:t>、</w:t>
      </w:r>
      <w:r>
        <w:rPr>
          <w:rFonts w:hint="eastAsia" w:ascii="Times New Roman" w:hAnsi="Times New Roman" w:eastAsia="宋体" w:cs="Times New Roman"/>
          <w:color w:val="auto"/>
          <w:kern w:val="0"/>
          <w:sz w:val="21"/>
          <w:szCs w:val="21"/>
          <w:lang w:val="en-US" w:eastAsia="zh-CN"/>
        </w:rPr>
        <w:t>醇酯类</w:t>
      </w:r>
      <w:r>
        <w:rPr>
          <w:rFonts w:hint="eastAsia" w:ascii="Times New Roman" w:hAnsi="Times New Roman" w:eastAsia="宋体" w:cs="Times New Roman"/>
          <w:color w:val="auto"/>
          <w:sz w:val="21"/>
          <w:szCs w:val="21"/>
          <w:lang w:val="en-US" w:eastAsia="zh-CN"/>
        </w:rPr>
        <w:t>净化效率、</w:t>
      </w:r>
      <w:r>
        <w:rPr>
          <w:rFonts w:hint="eastAsia" w:ascii="Times New Roman" w:hAnsi="Times New Roman" w:eastAsia="宋体" w:cs="Times New Roman"/>
          <w:color w:val="auto"/>
          <w:kern w:val="0"/>
          <w:sz w:val="21"/>
          <w:szCs w:val="21"/>
          <w:lang w:val="en-US" w:eastAsia="zh-CN"/>
        </w:rPr>
        <w:t>苯系物</w:t>
      </w:r>
      <w:r>
        <w:rPr>
          <w:rFonts w:hint="eastAsia" w:ascii="Times New Roman" w:hAnsi="Times New Roman" w:eastAsia="宋体" w:cs="Times New Roman"/>
          <w:color w:val="auto"/>
          <w:sz w:val="21"/>
          <w:szCs w:val="21"/>
          <w:lang w:val="en-US" w:eastAsia="zh-CN"/>
        </w:rPr>
        <w:t>净化效率</w:t>
      </w:r>
      <w:r>
        <w:rPr>
          <w:rFonts w:hint="eastAsia" w:ascii="Times New Roman"/>
        </w:rPr>
        <w:t>、填料使用寿命、喷淋强度和自动化程度。核心指标分为三个等级，包括领跑水平，相当于</w:t>
      </w:r>
      <w:r>
        <w:rPr>
          <w:rFonts w:hint="eastAsia" w:ascii="Times New Roman"/>
          <w:lang w:val="en-US" w:eastAsia="zh-CN"/>
        </w:rPr>
        <w:t>企业标准</w:t>
      </w:r>
      <w:r>
        <w:rPr>
          <w:rFonts w:hint="eastAsia" w:ascii="Times New Roman"/>
        </w:rPr>
        <w:t>排行榜中5星级水平；优质水平，相当于</w:t>
      </w:r>
      <w:r>
        <w:rPr>
          <w:rFonts w:hint="eastAsia" w:ascii="Times New Roman"/>
          <w:lang w:val="en-US" w:eastAsia="zh-CN"/>
        </w:rPr>
        <w:t>企业标准</w:t>
      </w:r>
      <w:r>
        <w:rPr>
          <w:rFonts w:hint="eastAsia" w:ascii="Times New Roman"/>
        </w:rPr>
        <w:t>排行榜中4星级水平；达标水平，相当于</w:t>
      </w:r>
      <w:r>
        <w:rPr>
          <w:rFonts w:hint="eastAsia" w:ascii="Times New Roman"/>
          <w:lang w:val="en-US" w:eastAsia="zh-CN"/>
        </w:rPr>
        <w:t>企业标准</w:t>
      </w:r>
      <w:r>
        <w:rPr>
          <w:rFonts w:hint="eastAsia" w:ascii="Times New Roman"/>
        </w:rPr>
        <w:t>排行榜中3星级水平。</w:t>
      </w:r>
    </w:p>
    <w:p w14:paraId="1728B3FC">
      <w:pPr>
        <w:pStyle w:val="29"/>
        <w:numPr>
          <w:ilvl w:val="2"/>
          <w:numId w:val="5"/>
        </w:numPr>
        <w:ind w:firstLineChars="0"/>
        <w:rPr>
          <w:rFonts w:ascii="Times New Roman"/>
        </w:rPr>
      </w:pPr>
      <w:r>
        <w:rPr>
          <w:rFonts w:hint="eastAsia" w:ascii="Times New Roman"/>
        </w:rPr>
        <w:t>创新</w:t>
      </w:r>
      <w:r>
        <w:rPr>
          <w:rFonts w:hint="eastAsia" w:ascii="Times New Roman"/>
          <w:lang w:val="en-US" w:eastAsia="zh-CN"/>
        </w:rPr>
        <w:t>性</w:t>
      </w:r>
      <w:r>
        <w:rPr>
          <w:rFonts w:hint="eastAsia" w:ascii="Times New Roman"/>
        </w:rPr>
        <w:t>指标</w:t>
      </w:r>
      <w:r>
        <w:rPr>
          <w:rFonts w:hint="eastAsia" w:ascii="Times New Roman"/>
          <w:lang w:val="en-US" w:eastAsia="zh-CN"/>
        </w:rPr>
        <w:t>包括</w:t>
      </w:r>
      <w:r>
        <w:rPr>
          <w:rFonts w:hint="eastAsia" w:ascii="Times New Roman"/>
        </w:rPr>
        <w:t>复合</w:t>
      </w:r>
      <w:r>
        <w:rPr>
          <w:rFonts w:hint="eastAsia" w:ascii="Times New Roman"/>
          <w:lang w:val="en-US" w:eastAsia="zh-CN"/>
        </w:rPr>
        <w:t>微生态制剂</w:t>
      </w:r>
      <w:r>
        <w:rPr>
          <w:rFonts w:hint="eastAsia" w:ascii="Times New Roman"/>
        </w:rPr>
        <w:t>、新型填料和新型反应器结构，划分成领跑水平和优质水平两个等级，其中领跑水平相当于</w:t>
      </w:r>
      <w:r>
        <w:rPr>
          <w:rFonts w:hint="eastAsia" w:ascii="Times New Roman"/>
          <w:lang w:val="en-US" w:eastAsia="zh-CN"/>
        </w:rPr>
        <w:t>企业标准</w:t>
      </w:r>
      <w:r>
        <w:rPr>
          <w:rFonts w:hint="eastAsia" w:ascii="Times New Roman"/>
        </w:rPr>
        <w:t>排行榜中的5星级水平，优质水平相当于</w:t>
      </w:r>
      <w:r>
        <w:rPr>
          <w:rFonts w:hint="eastAsia" w:ascii="Times New Roman"/>
          <w:lang w:val="en-US" w:eastAsia="zh-CN"/>
        </w:rPr>
        <w:t>企业标准</w:t>
      </w:r>
      <w:r>
        <w:rPr>
          <w:rFonts w:hint="eastAsia" w:ascii="Times New Roman"/>
        </w:rPr>
        <w:t>排行榜中4星级水平。鼓励根据条件成熟情况适时增加与产品性能和消费者关注的相关创新指标</w:t>
      </w:r>
      <w:r>
        <w:rPr>
          <w:rFonts w:hint="eastAsia" w:ascii="Times New Roman"/>
          <w:lang w:eastAsia="zh-CN"/>
        </w:rPr>
        <w:t>。</w:t>
      </w:r>
    </w:p>
    <w:bookmarkEnd w:id="29"/>
    <w:p w14:paraId="0F8D78DB">
      <w:pPr>
        <w:pStyle w:val="102"/>
        <w:numPr>
          <w:ilvl w:val="1"/>
          <w:numId w:val="5"/>
        </w:numPr>
        <w:spacing w:before="156" w:after="156"/>
        <w:jc w:val="both"/>
      </w:pPr>
      <w:r>
        <w:rPr>
          <w:rFonts w:hint="eastAsia"/>
        </w:rPr>
        <w:t>评价指标体系</w:t>
      </w:r>
    </w:p>
    <w:p w14:paraId="416226C6">
      <w:pPr>
        <w:pStyle w:val="2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ascii="Times New Roman"/>
        </w:rPr>
      </w:pPr>
      <w:bookmarkStart w:id="30" w:name="OLE_LINK11"/>
      <w:r>
        <w:rPr>
          <w:rFonts w:hint="eastAsia" w:ascii="Times New Roman"/>
        </w:rPr>
        <w:t>废气生物净化装置评价指标体系</w:t>
      </w:r>
      <w:r>
        <w:rPr>
          <w:rFonts w:hint="eastAsia" w:ascii="Times New Roman"/>
          <w:lang w:val="en-US" w:eastAsia="zh-CN"/>
        </w:rPr>
        <w:t>应符合</w:t>
      </w:r>
      <w:r>
        <w:rPr>
          <w:rFonts w:hint="eastAsia" w:ascii="Times New Roman"/>
        </w:rPr>
        <w:t>表1</w:t>
      </w:r>
      <w:r>
        <w:rPr>
          <w:rFonts w:hint="eastAsia" w:ascii="Times New Roman"/>
          <w:lang w:val="en-US" w:eastAsia="zh-CN"/>
        </w:rPr>
        <w:t>的规定</w:t>
      </w:r>
      <w:r>
        <w:rPr>
          <w:rFonts w:hint="eastAsia" w:ascii="Times New Roman"/>
        </w:rPr>
        <w:t>。</w:t>
      </w:r>
    </w:p>
    <w:bookmarkEnd w:id="30"/>
    <w:p w14:paraId="53055CCF">
      <w:pPr>
        <w:widowControl/>
        <w:tabs>
          <w:tab w:val="center" w:pos="4201"/>
          <w:tab w:val="right" w:leader="dot" w:pos="9298"/>
        </w:tabs>
        <w:autoSpaceDE w:val="0"/>
        <w:autoSpaceDN w:val="0"/>
        <w:spacing w:before="156" w:beforeLines="50" w:after="156" w:afterLines="50"/>
        <w:jc w:val="center"/>
        <w:rPr>
          <w:rFonts w:hint="eastAsia" w:ascii="黑体" w:hAnsi="黑体" w:eastAsia="黑体"/>
          <w:kern w:val="0"/>
          <w:szCs w:val="20"/>
          <w:lang w:val="en-US" w:eastAsia="zh-CN"/>
        </w:rPr>
      </w:pPr>
      <w:r>
        <w:rPr>
          <w:rFonts w:hint="eastAsia" w:ascii="黑体" w:hAnsi="黑体" w:eastAsia="黑体" w:cs="黑体"/>
        </w:rPr>
        <w:t>表1 废气生物净化装置评价指标体系</w:t>
      </w:r>
      <w:r>
        <w:rPr>
          <w:rFonts w:hint="eastAsia" w:ascii="黑体" w:hAnsi="黑体" w:eastAsia="黑体" w:cs="黑体"/>
          <w:lang w:val="en-US" w:eastAsia="zh-CN"/>
        </w:rPr>
        <w:t>框架</w:t>
      </w:r>
    </w:p>
    <w:tbl>
      <w:tblPr>
        <w:tblStyle w:val="40"/>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737"/>
        <w:gridCol w:w="1545"/>
        <w:gridCol w:w="1729"/>
        <w:gridCol w:w="1024"/>
        <w:gridCol w:w="1024"/>
        <w:gridCol w:w="1026"/>
        <w:gridCol w:w="2049"/>
      </w:tblGrid>
      <w:tr w14:paraId="660F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49" w:type="dxa"/>
            <w:vMerge w:val="restart"/>
            <w:shd w:val="clear" w:color="auto" w:fill="auto"/>
            <w:vAlign w:val="center"/>
          </w:tcPr>
          <w:p w14:paraId="0FC66005">
            <w:pPr>
              <w:widowControl/>
              <w:jc w:val="center"/>
              <w:textAlignment w:val="center"/>
              <w:rPr>
                <w:rFonts w:hint="eastAsia" w:ascii="宋体" w:hAnsi="宋体" w:cs="宋体"/>
                <w:b/>
                <w:bCs/>
                <w:color w:val="000000"/>
                <w:sz w:val="18"/>
                <w:szCs w:val="18"/>
              </w:rPr>
            </w:pPr>
            <w:r>
              <w:rPr>
                <w:rFonts w:hint="eastAsia" w:ascii="宋体" w:hAnsi="宋体" w:cs="宋体"/>
                <w:b w:val="0"/>
                <w:bCs w:val="0"/>
                <w:color w:val="000000"/>
                <w:kern w:val="0"/>
                <w:sz w:val="18"/>
                <w:szCs w:val="18"/>
                <w:lang w:bidi="ar"/>
              </w:rPr>
              <w:t>序号</w:t>
            </w:r>
          </w:p>
        </w:tc>
        <w:tc>
          <w:tcPr>
            <w:tcW w:w="737" w:type="dxa"/>
            <w:vMerge w:val="restart"/>
            <w:shd w:val="clear" w:color="auto" w:fill="auto"/>
            <w:vAlign w:val="center"/>
          </w:tcPr>
          <w:p w14:paraId="015B592B">
            <w:pPr>
              <w:widowControl/>
              <w:jc w:val="center"/>
              <w:textAlignment w:val="center"/>
              <w:rPr>
                <w:rFonts w:hint="eastAsia" w:ascii="宋体" w:hAnsi="宋体" w:cs="宋体"/>
                <w:b w:val="0"/>
                <w:bCs w:val="0"/>
                <w:color w:val="000000"/>
                <w:kern w:val="0"/>
                <w:sz w:val="18"/>
                <w:szCs w:val="18"/>
                <w:lang w:bidi="ar"/>
              </w:rPr>
            </w:pPr>
            <w:r>
              <w:rPr>
                <w:rFonts w:hint="eastAsia" w:ascii="宋体" w:hAnsi="宋体" w:cs="宋体"/>
                <w:b w:val="0"/>
                <w:bCs w:val="0"/>
                <w:color w:val="000000"/>
                <w:kern w:val="0"/>
                <w:sz w:val="18"/>
                <w:szCs w:val="18"/>
                <w:lang w:bidi="ar"/>
              </w:rPr>
              <w:t>指标</w:t>
            </w:r>
          </w:p>
          <w:p w14:paraId="485E6C18">
            <w:pPr>
              <w:widowControl/>
              <w:jc w:val="center"/>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类型</w:t>
            </w:r>
          </w:p>
        </w:tc>
        <w:tc>
          <w:tcPr>
            <w:tcW w:w="1545" w:type="dxa"/>
            <w:vMerge w:val="restart"/>
            <w:shd w:val="clear" w:color="auto" w:fill="auto"/>
            <w:noWrap/>
            <w:vAlign w:val="center"/>
          </w:tcPr>
          <w:p w14:paraId="6965AB1C">
            <w:pPr>
              <w:widowControl/>
              <w:jc w:val="center"/>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评价指标</w:t>
            </w:r>
          </w:p>
        </w:tc>
        <w:tc>
          <w:tcPr>
            <w:tcW w:w="1729" w:type="dxa"/>
            <w:vMerge w:val="restart"/>
            <w:shd w:val="clear" w:color="auto" w:fill="auto"/>
            <w:vAlign w:val="center"/>
          </w:tcPr>
          <w:p w14:paraId="7C623B91">
            <w:pPr>
              <w:widowControl/>
              <w:jc w:val="center"/>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指标来源</w:t>
            </w:r>
          </w:p>
        </w:tc>
        <w:tc>
          <w:tcPr>
            <w:tcW w:w="3074" w:type="dxa"/>
            <w:gridSpan w:val="3"/>
            <w:shd w:val="clear" w:color="auto" w:fill="auto"/>
            <w:vAlign w:val="center"/>
          </w:tcPr>
          <w:p w14:paraId="5F94272E">
            <w:pPr>
              <w:widowControl/>
              <w:jc w:val="center"/>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指标水平分级</w:t>
            </w:r>
          </w:p>
        </w:tc>
        <w:tc>
          <w:tcPr>
            <w:tcW w:w="2049" w:type="dxa"/>
            <w:vMerge w:val="restart"/>
            <w:shd w:val="clear" w:color="auto" w:fill="auto"/>
            <w:vAlign w:val="center"/>
          </w:tcPr>
          <w:p w14:paraId="51AFF324">
            <w:pPr>
              <w:widowControl/>
              <w:jc w:val="center"/>
              <w:textAlignment w:val="center"/>
              <w:rPr>
                <w:rFonts w:hint="eastAsia" w:ascii="宋体" w:hAnsi="宋体" w:cs="宋体"/>
                <w:b w:val="0"/>
                <w:bCs w:val="0"/>
                <w:color w:val="000000"/>
                <w:sz w:val="18"/>
                <w:szCs w:val="18"/>
              </w:rPr>
            </w:pPr>
            <w:r>
              <w:rPr>
                <w:rFonts w:hint="eastAsia" w:ascii="宋体" w:hAnsi="宋体" w:cs="宋体"/>
                <w:b w:val="0"/>
                <w:bCs w:val="0"/>
                <w:color w:val="000000"/>
                <w:kern w:val="0"/>
                <w:sz w:val="18"/>
                <w:szCs w:val="18"/>
                <w:lang w:bidi="ar"/>
              </w:rPr>
              <w:t>判定依据/方法</w:t>
            </w:r>
          </w:p>
        </w:tc>
      </w:tr>
      <w:tr w14:paraId="5906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9" w:type="dxa"/>
            <w:vMerge w:val="continue"/>
            <w:shd w:val="clear" w:color="auto" w:fill="auto"/>
            <w:vAlign w:val="center"/>
          </w:tcPr>
          <w:p w14:paraId="7CC7F795">
            <w:pPr>
              <w:widowControl/>
              <w:jc w:val="center"/>
              <w:rPr>
                <w:rFonts w:hint="eastAsia" w:ascii="黑体" w:hAnsi="宋体" w:eastAsia="黑体" w:cs="黑体"/>
                <w:color w:val="000000"/>
                <w:sz w:val="18"/>
                <w:szCs w:val="18"/>
              </w:rPr>
            </w:pPr>
            <w:bookmarkStart w:id="31" w:name="OLE_LINK44" w:colFirst="4" w:colLast="6"/>
          </w:p>
        </w:tc>
        <w:tc>
          <w:tcPr>
            <w:tcW w:w="737" w:type="dxa"/>
            <w:vMerge w:val="continue"/>
            <w:shd w:val="clear" w:color="auto" w:fill="auto"/>
            <w:vAlign w:val="center"/>
          </w:tcPr>
          <w:p w14:paraId="1E720D4F">
            <w:pPr>
              <w:widowControl/>
              <w:jc w:val="center"/>
              <w:rPr>
                <w:rFonts w:hint="eastAsia" w:ascii="黑体" w:hAnsi="宋体" w:eastAsia="黑体" w:cs="黑体"/>
                <w:color w:val="000000"/>
                <w:sz w:val="18"/>
                <w:szCs w:val="18"/>
              </w:rPr>
            </w:pPr>
          </w:p>
        </w:tc>
        <w:tc>
          <w:tcPr>
            <w:tcW w:w="1545" w:type="dxa"/>
            <w:vMerge w:val="continue"/>
            <w:shd w:val="clear" w:color="auto" w:fill="auto"/>
            <w:noWrap/>
            <w:vAlign w:val="center"/>
          </w:tcPr>
          <w:p w14:paraId="1875650C">
            <w:pPr>
              <w:widowControl/>
              <w:jc w:val="center"/>
              <w:rPr>
                <w:rFonts w:hint="eastAsia" w:ascii="黑体" w:hAnsi="宋体" w:eastAsia="黑体" w:cs="黑体"/>
                <w:color w:val="000000"/>
                <w:sz w:val="18"/>
                <w:szCs w:val="18"/>
              </w:rPr>
            </w:pPr>
          </w:p>
        </w:tc>
        <w:tc>
          <w:tcPr>
            <w:tcW w:w="1729" w:type="dxa"/>
            <w:vMerge w:val="continue"/>
            <w:shd w:val="clear" w:color="auto" w:fill="auto"/>
            <w:vAlign w:val="center"/>
          </w:tcPr>
          <w:p w14:paraId="6AB22C90">
            <w:pPr>
              <w:widowControl/>
              <w:jc w:val="center"/>
              <w:rPr>
                <w:rFonts w:hint="eastAsia" w:ascii="黑体" w:hAnsi="宋体" w:eastAsia="黑体" w:cs="黑体"/>
                <w:color w:val="000000"/>
                <w:sz w:val="18"/>
                <w:szCs w:val="18"/>
              </w:rPr>
            </w:pPr>
          </w:p>
        </w:tc>
        <w:tc>
          <w:tcPr>
            <w:tcW w:w="1024" w:type="dxa"/>
            <w:shd w:val="clear" w:color="auto" w:fill="auto"/>
            <w:vAlign w:val="center"/>
          </w:tcPr>
          <w:p w14:paraId="50647AC9">
            <w:pPr>
              <w:widowControl/>
              <w:spacing w:line="240" w:lineRule="exact"/>
              <w:jc w:val="center"/>
              <w:rPr>
                <w:b w:val="0"/>
                <w:bCs w:val="0"/>
                <w:kern w:val="0"/>
                <w:sz w:val="18"/>
                <w:szCs w:val="18"/>
              </w:rPr>
            </w:pPr>
            <w:r>
              <w:rPr>
                <w:rFonts w:hint="eastAsia"/>
                <w:b w:val="0"/>
                <w:bCs w:val="0"/>
                <w:kern w:val="0"/>
                <w:sz w:val="18"/>
                <w:szCs w:val="18"/>
              </w:rPr>
              <w:t>领跑水平</w:t>
            </w:r>
          </w:p>
          <w:p w14:paraId="39C74F21">
            <w:pPr>
              <w:widowControl/>
              <w:jc w:val="center"/>
              <w:textAlignment w:val="center"/>
              <w:rPr>
                <w:rFonts w:eastAsia="黑体"/>
                <w:b w:val="0"/>
                <w:bCs w:val="0"/>
                <w:color w:val="000000"/>
                <w:sz w:val="18"/>
                <w:szCs w:val="18"/>
              </w:rPr>
            </w:pPr>
            <w:r>
              <w:rPr>
                <w:rFonts w:hint="eastAsia"/>
                <w:b w:val="0"/>
                <w:bCs w:val="0"/>
                <w:kern w:val="0"/>
                <w:sz w:val="18"/>
                <w:szCs w:val="18"/>
              </w:rPr>
              <w:t>（</w:t>
            </w:r>
            <w:r>
              <w:rPr>
                <w:rFonts w:hint="default" w:ascii="Times New Roman" w:hAnsi="Times New Roman" w:cs="Times New Roman"/>
                <w:b w:val="0"/>
                <w:bCs w:val="0"/>
                <w:kern w:val="0"/>
                <w:sz w:val="18"/>
                <w:szCs w:val="18"/>
              </w:rPr>
              <w:t>5</w:t>
            </w:r>
            <w:r>
              <w:rPr>
                <w:rFonts w:hint="eastAsia"/>
                <w:b w:val="0"/>
                <w:bCs w:val="0"/>
                <w:kern w:val="0"/>
                <w:sz w:val="18"/>
                <w:szCs w:val="18"/>
              </w:rPr>
              <w:t>星级）</w:t>
            </w:r>
          </w:p>
        </w:tc>
        <w:tc>
          <w:tcPr>
            <w:tcW w:w="1024" w:type="dxa"/>
            <w:shd w:val="clear" w:color="auto" w:fill="auto"/>
            <w:vAlign w:val="center"/>
          </w:tcPr>
          <w:p w14:paraId="2E338439">
            <w:pPr>
              <w:widowControl/>
              <w:spacing w:line="240" w:lineRule="exact"/>
              <w:jc w:val="center"/>
              <w:rPr>
                <w:b w:val="0"/>
                <w:bCs w:val="0"/>
                <w:kern w:val="0"/>
                <w:sz w:val="18"/>
                <w:szCs w:val="18"/>
              </w:rPr>
            </w:pPr>
            <w:r>
              <w:rPr>
                <w:rFonts w:hint="eastAsia"/>
                <w:b w:val="0"/>
                <w:bCs w:val="0"/>
                <w:kern w:val="0"/>
                <w:sz w:val="18"/>
                <w:szCs w:val="18"/>
              </w:rPr>
              <w:t>优质水平</w:t>
            </w:r>
          </w:p>
          <w:p w14:paraId="09645361">
            <w:pPr>
              <w:widowControl/>
              <w:jc w:val="center"/>
              <w:textAlignment w:val="center"/>
              <w:rPr>
                <w:rFonts w:eastAsia="黑体"/>
                <w:b w:val="0"/>
                <w:bCs w:val="0"/>
                <w:color w:val="000000"/>
                <w:sz w:val="18"/>
                <w:szCs w:val="18"/>
              </w:rPr>
            </w:pPr>
            <w:r>
              <w:rPr>
                <w:rFonts w:hint="eastAsia"/>
                <w:b w:val="0"/>
                <w:bCs w:val="0"/>
                <w:kern w:val="0"/>
                <w:sz w:val="18"/>
                <w:szCs w:val="18"/>
              </w:rPr>
              <w:t>（</w:t>
            </w:r>
            <w:r>
              <w:rPr>
                <w:rFonts w:hint="default" w:ascii="Times New Roman" w:hAnsi="Times New Roman" w:cs="Times New Roman"/>
                <w:b w:val="0"/>
                <w:bCs w:val="0"/>
                <w:kern w:val="0"/>
                <w:sz w:val="18"/>
                <w:szCs w:val="18"/>
              </w:rPr>
              <w:t>4</w:t>
            </w:r>
            <w:r>
              <w:rPr>
                <w:rFonts w:hint="eastAsia"/>
                <w:b w:val="0"/>
                <w:bCs w:val="0"/>
                <w:kern w:val="0"/>
                <w:sz w:val="18"/>
                <w:szCs w:val="18"/>
              </w:rPr>
              <w:t>星级）</w:t>
            </w:r>
          </w:p>
        </w:tc>
        <w:tc>
          <w:tcPr>
            <w:tcW w:w="1026" w:type="dxa"/>
            <w:shd w:val="clear" w:color="auto" w:fill="auto"/>
            <w:vAlign w:val="center"/>
          </w:tcPr>
          <w:p w14:paraId="68DF6D74">
            <w:pPr>
              <w:widowControl/>
              <w:spacing w:line="240" w:lineRule="exact"/>
              <w:jc w:val="center"/>
              <w:rPr>
                <w:b w:val="0"/>
                <w:bCs w:val="0"/>
                <w:kern w:val="0"/>
                <w:sz w:val="18"/>
                <w:szCs w:val="18"/>
              </w:rPr>
            </w:pPr>
            <w:r>
              <w:rPr>
                <w:rFonts w:hint="eastAsia"/>
                <w:b w:val="0"/>
                <w:bCs w:val="0"/>
                <w:kern w:val="0"/>
                <w:sz w:val="18"/>
                <w:szCs w:val="18"/>
              </w:rPr>
              <w:t>达标水平</w:t>
            </w:r>
          </w:p>
          <w:p w14:paraId="5E76E457">
            <w:pPr>
              <w:widowControl/>
              <w:jc w:val="center"/>
              <w:textAlignment w:val="center"/>
              <w:rPr>
                <w:rFonts w:eastAsia="黑体"/>
                <w:b w:val="0"/>
                <w:bCs w:val="0"/>
                <w:color w:val="000000"/>
                <w:sz w:val="18"/>
                <w:szCs w:val="18"/>
              </w:rPr>
            </w:pPr>
            <w:r>
              <w:rPr>
                <w:rFonts w:hint="eastAsia" w:ascii="宋体" w:hAnsi="宋体" w:cs="宋体"/>
                <w:b w:val="0"/>
                <w:bCs w:val="0"/>
                <w:kern w:val="0"/>
                <w:sz w:val="18"/>
                <w:szCs w:val="18"/>
              </w:rPr>
              <w:t>（</w:t>
            </w:r>
            <w:r>
              <w:rPr>
                <w:rFonts w:hint="default" w:ascii="Times New Roman" w:hAnsi="Times New Roman" w:cs="Times New Roman"/>
                <w:b w:val="0"/>
                <w:bCs w:val="0"/>
                <w:kern w:val="0"/>
                <w:sz w:val="18"/>
                <w:szCs w:val="18"/>
              </w:rPr>
              <w:t>3</w:t>
            </w:r>
            <w:r>
              <w:rPr>
                <w:rFonts w:hint="eastAsia"/>
                <w:b w:val="0"/>
                <w:bCs w:val="0"/>
                <w:kern w:val="0"/>
                <w:sz w:val="18"/>
                <w:szCs w:val="18"/>
              </w:rPr>
              <w:t>星级）</w:t>
            </w:r>
          </w:p>
        </w:tc>
        <w:tc>
          <w:tcPr>
            <w:tcW w:w="2049" w:type="dxa"/>
            <w:vMerge w:val="continue"/>
            <w:shd w:val="clear" w:color="auto" w:fill="auto"/>
            <w:vAlign w:val="center"/>
          </w:tcPr>
          <w:p w14:paraId="1222B859">
            <w:pPr>
              <w:widowControl/>
              <w:jc w:val="center"/>
              <w:rPr>
                <w:rFonts w:hint="eastAsia" w:ascii="黑体" w:hAnsi="宋体" w:eastAsia="黑体" w:cs="黑体"/>
                <w:color w:val="000000"/>
                <w:sz w:val="18"/>
                <w:szCs w:val="18"/>
              </w:rPr>
            </w:pPr>
          </w:p>
        </w:tc>
      </w:tr>
      <w:tr w14:paraId="0A4D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549" w:type="dxa"/>
            <w:shd w:val="clear" w:color="auto" w:fill="auto"/>
            <w:vAlign w:val="center"/>
          </w:tcPr>
          <w:p w14:paraId="77E0B611">
            <w:pPr>
              <w:widowControl/>
              <w:snapToGrid w:val="0"/>
              <w:jc w:val="center"/>
              <w:textAlignment w:val="center"/>
              <w:rPr>
                <w:color w:val="000000"/>
                <w:kern w:val="0"/>
                <w:sz w:val="18"/>
                <w:szCs w:val="18"/>
                <w:lang w:bidi="ar"/>
              </w:rPr>
            </w:pPr>
            <w:bookmarkStart w:id="32" w:name="OLE_LINK12" w:colFirst="0" w:colLast="7"/>
            <w:r>
              <w:rPr>
                <w:rFonts w:hint="eastAsia"/>
                <w:color w:val="000000"/>
                <w:kern w:val="0"/>
                <w:sz w:val="18"/>
                <w:szCs w:val="18"/>
                <w:lang w:bidi="ar"/>
              </w:rPr>
              <w:t>1</w:t>
            </w:r>
          </w:p>
        </w:tc>
        <w:tc>
          <w:tcPr>
            <w:tcW w:w="737" w:type="dxa"/>
            <w:vMerge w:val="restart"/>
            <w:shd w:val="clear" w:color="auto" w:fill="auto"/>
            <w:vAlign w:val="center"/>
          </w:tcPr>
          <w:p w14:paraId="7B970A61">
            <w:pPr>
              <w:widowControl/>
              <w:snapToGrid w:val="0"/>
              <w:jc w:val="center"/>
              <w:rPr>
                <w:rFonts w:hint="eastAsia"/>
                <w:color w:val="000000"/>
                <w:kern w:val="0"/>
                <w:sz w:val="18"/>
                <w:szCs w:val="18"/>
                <w:lang w:bidi="ar"/>
              </w:rPr>
            </w:pPr>
            <w:r>
              <w:rPr>
                <w:rFonts w:hint="eastAsia"/>
                <w:color w:val="000000"/>
                <w:kern w:val="0"/>
                <w:sz w:val="18"/>
                <w:szCs w:val="18"/>
                <w:lang w:bidi="ar"/>
              </w:rPr>
              <w:t>基础</w:t>
            </w:r>
          </w:p>
          <w:p w14:paraId="02B5A344">
            <w:pPr>
              <w:widowControl/>
              <w:snapToGrid w:val="0"/>
              <w:jc w:val="center"/>
              <w:rPr>
                <w:color w:val="000000"/>
                <w:sz w:val="18"/>
                <w:szCs w:val="18"/>
              </w:rPr>
            </w:pPr>
            <w:r>
              <w:rPr>
                <w:rFonts w:hint="eastAsia"/>
                <w:color w:val="000000"/>
                <w:kern w:val="0"/>
                <w:sz w:val="18"/>
                <w:szCs w:val="18"/>
                <w:lang w:bidi="ar"/>
              </w:rPr>
              <w:t>指标</w:t>
            </w:r>
          </w:p>
        </w:tc>
        <w:tc>
          <w:tcPr>
            <w:tcW w:w="1545" w:type="dxa"/>
            <w:shd w:val="clear" w:color="auto" w:fill="auto"/>
            <w:noWrap/>
            <w:vAlign w:val="center"/>
          </w:tcPr>
          <w:p w14:paraId="0D450933">
            <w:pPr>
              <w:widowControl/>
              <w:snapToGrid w:val="0"/>
              <w:jc w:val="center"/>
              <w:textAlignment w:val="center"/>
              <w:rPr>
                <w:rFonts w:hint="eastAsia"/>
                <w:kern w:val="0"/>
                <w:sz w:val="18"/>
                <w:szCs w:val="18"/>
                <w:lang w:bidi="ar"/>
              </w:rPr>
            </w:pPr>
            <w:r>
              <w:rPr>
                <w:rFonts w:hint="eastAsia"/>
                <w:kern w:val="0"/>
                <w:sz w:val="18"/>
                <w:szCs w:val="18"/>
                <w:lang w:val="en-US" w:eastAsia="zh-CN" w:bidi="ar"/>
              </w:rPr>
              <w:t>产品</w:t>
            </w:r>
            <w:r>
              <w:rPr>
                <w:rFonts w:hint="eastAsia"/>
                <w:kern w:val="0"/>
                <w:sz w:val="18"/>
                <w:szCs w:val="18"/>
                <w:lang w:bidi="ar"/>
              </w:rPr>
              <w:t>外观</w:t>
            </w:r>
          </w:p>
        </w:tc>
        <w:tc>
          <w:tcPr>
            <w:tcW w:w="1729" w:type="dxa"/>
            <w:shd w:val="clear" w:color="auto" w:fill="auto"/>
            <w:vAlign w:val="center"/>
          </w:tcPr>
          <w:p w14:paraId="2C7EA46D">
            <w:pPr>
              <w:widowControl/>
              <w:snapToGrid w:val="0"/>
              <w:jc w:val="center"/>
              <w:textAlignment w:val="center"/>
              <w:rPr>
                <w:rFonts w:hint="eastAsia"/>
                <w:kern w:val="0"/>
                <w:sz w:val="18"/>
                <w:szCs w:val="18"/>
                <w:lang w:val="en-US" w:eastAsia="zh-CN" w:bidi="ar"/>
              </w:rPr>
            </w:pPr>
            <w:r>
              <w:rPr>
                <w:rFonts w:hint="eastAsia"/>
                <w:kern w:val="0"/>
                <w:sz w:val="18"/>
                <w:szCs w:val="18"/>
                <w:lang w:val="en-US" w:eastAsia="zh-CN" w:bidi="ar"/>
              </w:rPr>
              <w:t>CJ/T 355—2010</w:t>
            </w:r>
          </w:p>
        </w:tc>
        <w:tc>
          <w:tcPr>
            <w:tcW w:w="3074" w:type="dxa"/>
            <w:gridSpan w:val="3"/>
            <w:shd w:val="clear" w:color="auto" w:fill="auto"/>
            <w:vAlign w:val="center"/>
          </w:tcPr>
          <w:p w14:paraId="2F7C78F0">
            <w:pPr>
              <w:widowControl/>
              <w:snapToGrid w:val="0"/>
              <w:jc w:val="center"/>
              <w:textAlignment w:val="center"/>
              <w:rPr>
                <w:rFonts w:hint="eastAsia"/>
                <w:kern w:val="0"/>
                <w:sz w:val="18"/>
                <w:szCs w:val="18"/>
                <w:lang w:bidi="ar"/>
              </w:rPr>
            </w:pPr>
            <w:r>
              <w:rPr>
                <w:rFonts w:hint="eastAsia"/>
                <w:kern w:val="0"/>
                <w:sz w:val="18"/>
                <w:szCs w:val="18"/>
                <w:lang w:bidi="ar"/>
              </w:rPr>
              <w:t>外壳表面应光滑平整，不应存在疤痕、凹凸等影响外观的缺陷；</w:t>
            </w:r>
          </w:p>
          <w:p w14:paraId="1176AB3B">
            <w:pPr>
              <w:widowControl/>
              <w:snapToGrid w:val="0"/>
              <w:jc w:val="center"/>
              <w:textAlignment w:val="center"/>
              <w:rPr>
                <w:kern w:val="0"/>
                <w:sz w:val="18"/>
                <w:szCs w:val="18"/>
                <w:lang w:bidi="ar"/>
              </w:rPr>
            </w:pPr>
            <w:r>
              <w:rPr>
                <w:rFonts w:hint="eastAsia"/>
                <w:kern w:val="0"/>
                <w:sz w:val="18"/>
                <w:szCs w:val="18"/>
                <w:lang w:bidi="ar"/>
              </w:rPr>
              <w:t>设备各附属物（件）的安装位置准确，各部分均不应存在妨碍安装、检修、擦拭等的缺陷。</w:t>
            </w:r>
          </w:p>
        </w:tc>
        <w:tc>
          <w:tcPr>
            <w:tcW w:w="2049" w:type="dxa"/>
            <w:shd w:val="clear" w:color="auto" w:fill="auto"/>
            <w:vAlign w:val="center"/>
          </w:tcPr>
          <w:p w14:paraId="28058325">
            <w:pPr>
              <w:widowControl/>
              <w:spacing w:line="240" w:lineRule="exact"/>
              <w:jc w:val="center"/>
              <w:rPr>
                <w:rFonts w:hint="eastAsia" w:eastAsia="宋体"/>
                <w:kern w:val="0"/>
                <w:sz w:val="18"/>
                <w:szCs w:val="18"/>
                <w:lang w:eastAsia="zh-CN" w:bidi="ar"/>
              </w:rPr>
            </w:pPr>
            <w:r>
              <w:rPr>
                <w:rFonts w:hint="eastAsia" w:cs="Times New Roman"/>
                <w:color w:val="auto"/>
                <w:kern w:val="0"/>
                <w:sz w:val="18"/>
                <w:szCs w:val="18"/>
                <w:lang w:val="en-US" w:eastAsia="zh-CN"/>
              </w:rPr>
              <w:t>目测观察</w:t>
            </w:r>
          </w:p>
        </w:tc>
      </w:tr>
      <w:tr w14:paraId="1683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549" w:type="dxa"/>
            <w:shd w:val="clear" w:color="auto" w:fill="auto"/>
            <w:vAlign w:val="center"/>
          </w:tcPr>
          <w:p w14:paraId="5F949E81">
            <w:pPr>
              <w:widowControl/>
              <w:snapToGrid w:val="0"/>
              <w:jc w:val="center"/>
              <w:textAlignment w:val="center"/>
              <w:rPr>
                <w:color w:val="000000"/>
                <w:kern w:val="0"/>
                <w:sz w:val="18"/>
                <w:szCs w:val="18"/>
                <w:lang w:bidi="ar"/>
              </w:rPr>
            </w:pPr>
            <w:r>
              <w:rPr>
                <w:rFonts w:hint="eastAsia"/>
                <w:color w:val="000000"/>
                <w:kern w:val="0"/>
                <w:sz w:val="18"/>
                <w:szCs w:val="18"/>
                <w:lang w:bidi="ar"/>
              </w:rPr>
              <w:t>2</w:t>
            </w:r>
          </w:p>
        </w:tc>
        <w:tc>
          <w:tcPr>
            <w:tcW w:w="737" w:type="dxa"/>
            <w:vMerge w:val="continue"/>
            <w:shd w:val="clear" w:color="auto" w:fill="auto"/>
            <w:vAlign w:val="center"/>
          </w:tcPr>
          <w:p w14:paraId="6391A00D">
            <w:pPr>
              <w:widowControl/>
              <w:snapToGrid w:val="0"/>
              <w:jc w:val="center"/>
              <w:rPr>
                <w:color w:val="000000"/>
                <w:sz w:val="18"/>
                <w:szCs w:val="18"/>
              </w:rPr>
            </w:pPr>
          </w:p>
        </w:tc>
        <w:tc>
          <w:tcPr>
            <w:tcW w:w="1545" w:type="dxa"/>
            <w:shd w:val="clear" w:color="auto" w:fill="auto"/>
            <w:noWrap/>
            <w:vAlign w:val="center"/>
          </w:tcPr>
          <w:p w14:paraId="64B60B81">
            <w:pPr>
              <w:widowControl/>
              <w:snapToGrid w:val="0"/>
              <w:jc w:val="center"/>
              <w:textAlignment w:val="center"/>
              <w:rPr>
                <w:rFonts w:hint="eastAsia"/>
                <w:kern w:val="0"/>
                <w:sz w:val="18"/>
                <w:szCs w:val="18"/>
                <w:lang w:bidi="ar"/>
              </w:rPr>
            </w:pPr>
            <w:r>
              <w:rPr>
                <w:rFonts w:hint="eastAsia"/>
                <w:kern w:val="0"/>
                <w:sz w:val="18"/>
                <w:szCs w:val="18"/>
                <w:lang w:bidi="ar"/>
              </w:rPr>
              <w:t>强度与</w:t>
            </w:r>
            <w:r>
              <w:rPr>
                <w:rFonts w:hint="eastAsia"/>
                <w:kern w:val="0"/>
                <w:sz w:val="18"/>
                <w:szCs w:val="18"/>
                <w:lang w:val="en-US" w:eastAsia="zh-CN" w:bidi="ar"/>
              </w:rPr>
              <w:t>密封</w:t>
            </w:r>
            <w:r>
              <w:rPr>
                <w:rFonts w:hint="eastAsia"/>
                <w:kern w:val="0"/>
                <w:sz w:val="18"/>
                <w:szCs w:val="18"/>
                <w:lang w:bidi="ar"/>
              </w:rPr>
              <w:t>性</w:t>
            </w:r>
          </w:p>
        </w:tc>
        <w:tc>
          <w:tcPr>
            <w:tcW w:w="1729" w:type="dxa"/>
            <w:shd w:val="clear" w:color="auto" w:fill="auto"/>
            <w:vAlign w:val="center"/>
          </w:tcPr>
          <w:p w14:paraId="36E44C93">
            <w:pPr>
              <w:widowControl/>
              <w:snapToGrid w:val="0"/>
              <w:jc w:val="center"/>
              <w:textAlignment w:val="center"/>
              <w:rPr>
                <w:rFonts w:hint="eastAsia"/>
                <w:kern w:val="0"/>
                <w:sz w:val="18"/>
                <w:szCs w:val="18"/>
                <w:lang w:val="en-US" w:eastAsia="zh-CN" w:bidi="ar"/>
              </w:rPr>
            </w:pPr>
            <w:r>
              <w:rPr>
                <w:rFonts w:hint="eastAsia"/>
                <w:kern w:val="0"/>
                <w:sz w:val="18"/>
                <w:szCs w:val="18"/>
                <w:lang w:val="en-US" w:eastAsia="zh-CN" w:bidi="ar"/>
              </w:rPr>
              <w:t>CJ/T 355—2010</w:t>
            </w:r>
          </w:p>
        </w:tc>
        <w:tc>
          <w:tcPr>
            <w:tcW w:w="3074" w:type="dxa"/>
            <w:gridSpan w:val="3"/>
            <w:shd w:val="clear" w:color="auto" w:fill="auto"/>
            <w:vAlign w:val="center"/>
          </w:tcPr>
          <w:p w14:paraId="6F5A6EC7">
            <w:pPr>
              <w:widowControl/>
              <w:snapToGrid w:val="0"/>
              <w:jc w:val="center"/>
              <w:textAlignment w:val="center"/>
              <w:rPr>
                <w:kern w:val="0"/>
                <w:sz w:val="18"/>
                <w:szCs w:val="18"/>
                <w:lang w:bidi="ar"/>
              </w:rPr>
            </w:pPr>
            <w:r>
              <w:rPr>
                <w:rFonts w:ascii="Times New Roman" w:hAnsi="Times New Roman" w:eastAsia="宋体" w:cs="Times New Roman"/>
                <w:color w:val="auto"/>
                <w:kern w:val="0"/>
                <w:sz w:val="18"/>
                <w:szCs w:val="18"/>
              </w:rPr>
              <w:t>生物反应器、管道系统的强度及严密性应满足工艺要求，并应无水（气）泄露</w:t>
            </w:r>
            <w:r>
              <w:rPr>
                <w:rFonts w:hint="eastAsia" w:ascii="Times New Roman" w:hAnsi="Times New Roman" w:eastAsia="宋体" w:cs="Times New Roman"/>
                <w:color w:val="auto"/>
                <w:kern w:val="0"/>
                <w:sz w:val="18"/>
                <w:szCs w:val="18"/>
                <w:lang w:eastAsia="zh-CN"/>
              </w:rPr>
              <w:t>。</w:t>
            </w:r>
          </w:p>
        </w:tc>
        <w:tc>
          <w:tcPr>
            <w:tcW w:w="2049" w:type="dxa"/>
            <w:shd w:val="clear" w:color="auto" w:fill="auto"/>
            <w:vAlign w:val="center"/>
          </w:tcPr>
          <w:p w14:paraId="7B58BE27">
            <w:pPr>
              <w:widowControl/>
              <w:spacing w:line="240" w:lineRule="exact"/>
              <w:jc w:val="center"/>
              <w:rPr>
                <w:rFonts w:hint="default" w:eastAsia="宋体"/>
                <w:kern w:val="0"/>
                <w:sz w:val="18"/>
                <w:szCs w:val="18"/>
                <w:lang w:val="en-US" w:eastAsia="zh-CN" w:bidi="ar"/>
              </w:rPr>
            </w:pPr>
            <w:r>
              <w:rPr>
                <w:rFonts w:hint="eastAsia"/>
                <w:kern w:val="0"/>
                <w:sz w:val="18"/>
                <w:szCs w:val="18"/>
                <w:lang w:val="en-US" w:eastAsia="zh-CN" w:bidi="ar"/>
              </w:rPr>
              <w:t>强度与密封性试验满足CJ/T 355—2010中8.4节相关要求</w:t>
            </w:r>
          </w:p>
        </w:tc>
      </w:tr>
      <w:tr w14:paraId="268F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9" w:type="dxa"/>
            <w:shd w:val="clear" w:color="auto" w:fill="auto"/>
            <w:vAlign w:val="center"/>
          </w:tcPr>
          <w:p w14:paraId="5A5E869F">
            <w:pPr>
              <w:widowControl/>
              <w:snapToGrid w:val="0"/>
              <w:jc w:val="center"/>
              <w:textAlignment w:val="center"/>
              <w:rPr>
                <w:color w:val="000000"/>
                <w:kern w:val="0"/>
                <w:sz w:val="18"/>
                <w:szCs w:val="18"/>
                <w:lang w:bidi="ar"/>
              </w:rPr>
            </w:pPr>
            <w:r>
              <w:rPr>
                <w:rFonts w:hint="eastAsia"/>
                <w:color w:val="000000"/>
                <w:kern w:val="0"/>
                <w:sz w:val="18"/>
                <w:szCs w:val="18"/>
                <w:lang w:bidi="ar"/>
              </w:rPr>
              <w:t>3</w:t>
            </w:r>
          </w:p>
        </w:tc>
        <w:tc>
          <w:tcPr>
            <w:tcW w:w="737" w:type="dxa"/>
            <w:vMerge w:val="continue"/>
            <w:shd w:val="clear" w:color="auto" w:fill="auto"/>
            <w:vAlign w:val="center"/>
          </w:tcPr>
          <w:p w14:paraId="775F6BDB">
            <w:pPr>
              <w:widowControl/>
              <w:snapToGrid w:val="0"/>
              <w:jc w:val="center"/>
              <w:rPr>
                <w:color w:val="000000"/>
                <w:sz w:val="18"/>
                <w:szCs w:val="18"/>
              </w:rPr>
            </w:pPr>
          </w:p>
        </w:tc>
        <w:tc>
          <w:tcPr>
            <w:tcW w:w="1545" w:type="dxa"/>
            <w:shd w:val="clear" w:color="auto" w:fill="auto"/>
            <w:noWrap/>
            <w:vAlign w:val="center"/>
          </w:tcPr>
          <w:p w14:paraId="22B9B88E">
            <w:pPr>
              <w:widowControl/>
              <w:snapToGrid w:val="0"/>
              <w:jc w:val="center"/>
              <w:textAlignment w:val="center"/>
              <w:rPr>
                <w:rFonts w:hint="eastAsia"/>
                <w:kern w:val="0"/>
                <w:sz w:val="18"/>
                <w:szCs w:val="18"/>
                <w:lang w:bidi="ar"/>
              </w:rPr>
            </w:pPr>
            <w:r>
              <w:rPr>
                <w:rFonts w:hint="eastAsia"/>
                <w:kern w:val="0"/>
                <w:sz w:val="18"/>
                <w:szCs w:val="18"/>
                <w:lang w:bidi="ar"/>
              </w:rPr>
              <w:t>电气安全</w:t>
            </w:r>
          </w:p>
        </w:tc>
        <w:tc>
          <w:tcPr>
            <w:tcW w:w="1729" w:type="dxa"/>
            <w:shd w:val="clear" w:color="auto" w:fill="auto"/>
            <w:vAlign w:val="center"/>
          </w:tcPr>
          <w:p w14:paraId="2F494182">
            <w:pPr>
              <w:widowControl/>
              <w:snapToGrid w:val="0"/>
              <w:jc w:val="center"/>
              <w:textAlignment w:val="center"/>
              <w:rPr>
                <w:rFonts w:hint="eastAsia"/>
                <w:kern w:val="0"/>
                <w:sz w:val="18"/>
                <w:szCs w:val="18"/>
                <w:lang w:val="en-US" w:eastAsia="zh-CN" w:bidi="ar"/>
              </w:rPr>
            </w:pPr>
            <w:r>
              <w:rPr>
                <w:rFonts w:hint="eastAsia"/>
                <w:kern w:val="0"/>
                <w:sz w:val="18"/>
                <w:szCs w:val="18"/>
                <w:lang w:val="en-US" w:eastAsia="zh-CN" w:bidi="ar"/>
              </w:rPr>
              <w:t>GB/T 5226.1—2019</w:t>
            </w:r>
          </w:p>
          <w:p w14:paraId="0E707198">
            <w:pPr>
              <w:widowControl/>
              <w:snapToGrid w:val="0"/>
              <w:jc w:val="center"/>
              <w:textAlignment w:val="center"/>
              <w:rPr>
                <w:rFonts w:hint="default"/>
                <w:kern w:val="0"/>
                <w:sz w:val="18"/>
                <w:szCs w:val="18"/>
                <w:lang w:val="en-US" w:eastAsia="zh-CN" w:bidi="ar"/>
              </w:rPr>
            </w:pPr>
            <w:r>
              <w:rPr>
                <w:rFonts w:hint="default"/>
                <w:kern w:val="0"/>
                <w:sz w:val="18"/>
                <w:szCs w:val="18"/>
                <w:lang w:val="en-US" w:eastAsia="zh-CN" w:bidi="ar"/>
              </w:rPr>
              <w:t>GB/T</w:t>
            </w:r>
            <w:r>
              <w:rPr>
                <w:rFonts w:hint="eastAsia"/>
                <w:kern w:val="0"/>
                <w:sz w:val="18"/>
                <w:szCs w:val="18"/>
                <w:lang w:val="en-US" w:eastAsia="zh-CN" w:bidi="ar"/>
              </w:rPr>
              <w:t xml:space="preserve"> </w:t>
            </w:r>
            <w:r>
              <w:rPr>
                <w:rFonts w:hint="default"/>
                <w:kern w:val="0"/>
                <w:sz w:val="18"/>
                <w:szCs w:val="18"/>
                <w:lang w:val="en-US" w:eastAsia="zh-CN" w:bidi="ar"/>
              </w:rPr>
              <w:t>4208</w:t>
            </w:r>
            <w:r>
              <w:rPr>
                <w:rFonts w:hint="eastAsia"/>
                <w:kern w:val="0"/>
                <w:sz w:val="18"/>
                <w:szCs w:val="18"/>
                <w:lang w:val="en-US" w:eastAsia="zh-CN" w:bidi="ar"/>
              </w:rPr>
              <w:t>—2017</w:t>
            </w:r>
          </w:p>
        </w:tc>
        <w:tc>
          <w:tcPr>
            <w:tcW w:w="3074" w:type="dxa"/>
            <w:gridSpan w:val="3"/>
            <w:shd w:val="clear" w:color="auto" w:fill="auto"/>
            <w:vAlign w:val="center"/>
          </w:tcPr>
          <w:p w14:paraId="4FD83F6E">
            <w:pPr>
              <w:widowControl/>
              <w:snapToGrid w:val="0"/>
              <w:jc w:val="center"/>
              <w:textAlignment w:val="center"/>
              <w:rPr>
                <w:rFonts w:hint="eastAsia"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电气安全满足GB/T 5226.1—2019</w:t>
            </w:r>
            <w:r>
              <w:rPr>
                <w:rFonts w:ascii="Times New Roman" w:hAnsi="Times New Roman" w:eastAsia="宋体" w:cs="Times New Roman"/>
                <w:color w:val="auto"/>
                <w:kern w:val="0"/>
                <w:sz w:val="18"/>
                <w:szCs w:val="18"/>
              </w:rPr>
              <w:t xml:space="preserve"> </w:t>
            </w:r>
            <w:r>
              <w:rPr>
                <w:rFonts w:hint="eastAsia" w:cs="Times New Roman"/>
                <w:color w:val="auto"/>
                <w:kern w:val="0"/>
                <w:sz w:val="18"/>
                <w:szCs w:val="18"/>
                <w:lang w:val="en-US" w:eastAsia="zh-CN"/>
              </w:rPr>
              <w:t>中第7章节</w:t>
            </w:r>
            <w:r>
              <w:rPr>
                <w:rFonts w:hint="eastAsia" w:ascii="Times New Roman" w:hAnsi="Times New Roman" w:eastAsia="宋体" w:cs="Times New Roman"/>
                <w:color w:val="auto"/>
                <w:kern w:val="0"/>
                <w:sz w:val="18"/>
                <w:szCs w:val="18"/>
                <w:lang w:val="en-US" w:eastAsia="zh-CN"/>
              </w:rPr>
              <w:t>相关要求</w:t>
            </w:r>
          </w:p>
          <w:p w14:paraId="2E3B317B">
            <w:pPr>
              <w:widowControl/>
              <w:snapToGrid w:val="0"/>
              <w:jc w:val="center"/>
              <w:textAlignment w:val="center"/>
              <w:rPr>
                <w:kern w:val="0"/>
                <w:sz w:val="18"/>
                <w:szCs w:val="18"/>
                <w:lang w:bidi="ar"/>
              </w:rPr>
            </w:pPr>
            <w:r>
              <w:rPr>
                <w:rFonts w:hint="eastAsia" w:ascii="Times New Roman" w:hAnsi="Times New Roman" w:eastAsia="宋体" w:cs="Times New Roman"/>
                <w:color w:val="auto"/>
                <w:kern w:val="0"/>
                <w:sz w:val="18"/>
                <w:szCs w:val="18"/>
              </w:rPr>
              <w:t>电控柜防护等级</w:t>
            </w:r>
            <w:r>
              <w:rPr>
                <w:rFonts w:hint="eastAsia" w:ascii="Times New Roman" w:hAnsi="Times New Roman" w:eastAsia="宋体" w:cs="Times New Roman"/>
                <w:color w:val="auto"/>
                <w:kern w:val="0"/>
                <w:sz w:val="18"/>
                <w:szCs w:val="18"/>
                <w:lang w:val="en-US" w:eastAsia="zh-CN"/>
              </w:rPr>
              <w:t>满足</w:t>
            </w:r>
            <w:r>
              <w:rPr>
                <w:rFonts w:hint="default" w:ascii="Times New Roman" w:hAnsi="Times New Roman" w:eastAsia="宋体" w:cs="Times New Roman"/>
                <w:color w:val="auto"/>
                <w:kern w:val="0"/>
                <w:sz w:val="18"/>
                <w:szCs w:val="18"/>
                <w:lang w:val="en-US" w:eastAsia="zh-CN"/>
              </w:rPr>
              <w:t>GB/T</w:t>
            </w:r>
            <w:r>
              <w:rPr>
                <w:rFonts w:hint="eastAsia" w:cs="Times New Roman"/>
                <w:color w:val="auto"/>
                <w:kern w:val="0"/>
                <w:sz w:val="18"/>
                <w:szCs w:val="18"/>
                <w:lang w:val="en-US" w:eastAsia="zh-CN"/>
              </w:rPr>
              <w:t xml:space="preserve"> </w:t>
            </w:r>
            <w:r>
              <w:rPr>
                <w:rFonts w:hint="default" w:ascii="Times New Roman" w:hAnsi="Times New Roman" w:eastAsia="宋体" w:cs="Times New Roman"/>
                <w:color w:val="auto"/>
                <w:kern w:val="0"/>
                <w:sz w:val="18"/>
                <w:szCs w:val="18"/>
                <w:lang w:val="en-US" w:eastAsia="zh-CN"/>
              </w:rPr>
              <w:t>4208</w:t>
            </w:r>
            <w:r>
              <w:rPr>
                <w:rFonts w:hint="eastAsia" w:ascii="Times New Roman" w:hAnsi="Times New Roman" w:eastAsia="宋体" w:cs="Times New Roman"/>
                <w:color w:val="auto"/>
                <w:kern w:val="0"/>
                <w:sz w:val="18"/>
                <w:szCs w:val="18"/>
                <w:lang w:val="en-US" w:eastAsia="zh-CN"/>
              </w:rPr>
              <w:t>—</w:t>
            </w:r>
            <w:r>
              <w:rPr>
                <w:rFonts w:hint="eastAsia" w:cs="Times New Roman"/>
                <w:color w:val="auto"/>
                <w:kern w:val="0"/>
                <w:sz w:val="18"/>
                <w:szCs w:val="18"/>
                <w:lang w:val="en-US" w:eastAsia="zh-CN"/>
              </w:rPr>
              <w:t>2017</w:t>
            </w:r>
            <w:r>
              <w:rPr>
                <w:rFonts w:hint="eastAsia" w:ascii="Times New Roman" w:hAnsi="Times New Roman" w:eastAsia="宋体" w:cs="Times New Roman"/>
                <w:color w:val="auto"/>
                <w:kern w:val="0"/>
                <w:sz w:val="18"/>
                <w:szCs w:val="18"/>
                <w:lang w:val="en-US" w:eastAsia="zh-CN"/>
              </w:rPr>
              <w:t>相关要求</w:t>
            </w:r>
          </w:p>
        </w:tc>
        <w:tc>
          <w:tcPr>
            <w:tcW w:w="2049" w:type="dxa"/>
            <w:shd w:val="clear" w:color="auto" w:fill="auto"/>
            <w:vAlign w:val="center"/>
          </w:tcPr>
          <w:p w14:paraId="7A4AC6F8">
            <w:pPr>
              <w:widowControl/>
              <w:snapToGrid w:val="0"/>
              <w:spacing w:line="240" w:lineRule="auto"/>
              <w:jc w:val="center"/>
              <w:rPr>
                <w:rFonts w:hint="eastAsia"/>
                <w:kern w:val="0"/>
                <w:sz w:val="18"/>
                <w:szCs w:val="18"/>
                <w:lang w:val="en-US" w:eastAsia="zh-CN" w:bidi="ar"/>
              </w:rPr>
            </w:pPr>
            <w:r>
              <w:rPr>
                <w:rFonts w:hint="eastAsia"/>
                <w:kern w:val="0"/>
                <w:sz w:val="18"/>
                <w:szCs w:val="18"/>
                <w:lang w:bidi="ar"/>
              </w:rPr>
              <w:t>电气安全</w:t>
            </w:r>
            <w:r>
              <w:rPr>
                <w:rFonts w:hint="eastAsia"/>
                <w:kern w:val="0"/>
                <w:sz w:val="18"/>
                <w:szCs w:val="18"/>
                <w:lang w:val="en-US" w:eastAsia="zh-CN" w:bidi="ar"/>
              </w:rPr>
              <w:t>试验满足GB/T 5226.1—2019</w:t>
            </w:r>
          </w:p>
          <w:p w14:paraId="2ED68588">
            <w:pPr>
              <w:widowControl/>
              <w:snapToGrid w:val="0"/>
              <w:spacing w:line="240" w:lineRule="auto"/>
              <w:jc w:val="center"/>
              <w:rPr>
                <w:rFonts w:hint="eastAsia" w:eastAsia="宋体"/>
                <w:kern w:val="0"/>
                <w:sz w:val="18"/>
                <w:szCs w:val="18"/>
                <w:lang w:val="en-US" w:eastAsia="zh-CN" w:bidi="ar"/>
              </w:rPr>
            </w:pPr>
            <w:r>
              <w:rPr>
                <w:rFonts w:hint="eastAsia"/>
                <w:kern w:val="0"/>
                <w:sz w:val="18"/>
                <w:szCs w:val="18"/>
                <w:lang w:val="en-US" w:eastAsia="zh-CN" w:bidi="ar"/>
              </w:rPr>
              <w:t>中第7章节相关要求</w:t>
            </w:r>
          </w:p>
        </w:tc>
      </w:tr>
      <w:tr w14:paraId="3CBE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9" w:type="dxa"/>
            <w:shd w:val="clear" w:color="auto" w:fill="auto"/>
            <w:vAlign w:val="center"/>
          </w:tcPr>
          <w:p w14:paraId="78C9D32B">
            <w:pPr>
              <w:widowControl/>
              <w:snapToGrid w:val="0"/>
              <w:jc w:val="center"/>
              <w:textAlignment w:val="center"/>
              <w:rPr>
                <w:color w:val="000000"/>
                <w:kern w:val="0"/>
                <w:sz w:val="18"/>
                <w:szCs w:val="18"/>
                <w:lang w:bidi="ar"/>
              </w:rPr>
            </w:pPr>
            <w:r>
              <w:rPr>
                <w:rFonts w:hint="eastAsia"/>
                <w:color w:val="000000"/>
                <w:kern w:val="0"/>
                <w:sz w:val="18"/>
                <w:szCs w:val="18"/>
                <w:lang w:bidi="ar"/>
              </w:rPr>
              <w:t>4</w:t>
            </w:r>
          </w:p>
        </w:tc>
        <w:tc>
          <w:tcPr>
            <w:tcW w:w="737" w:type="dxa"/>
            <w:vMerge w:val="continue"/>
            <w:shd w:val="clear" w:color="auto" w:fill="auto"/>
            <w:vAlign w:val="center"/>
          </w:tcPr>
          <w:p w14:paraId="71B70E41">
            <w:pPr>
              <w:widowControl/>
              <w:snapToGrid w:val="0"/>
              <w:jc w:val="center"/>
              <w:rPr>
                <w:color w:val="000000"/>
                <w:sz w:val="18"/>
                <w:szCs w:val="18"/>
              </w:rPr>
            </w:pPr>
          </w:p>
        </w:tc>
        <w:tc>
          <w:tcPr>
            <w:tcW w:w="1545" w:type="dxa"/>
            <w:shd w:val="clear" w:color="auto" w:fill="auto"/>
            <w:noWrap/>
            <w:vAlign w:val="center"/>
          </w:tcPr>
          <w:p w14:paraId="16AADAB6">
            <w:pPr>
              <w:widowControl/>
              <w:snapToGrid w:val="0"/>
              <w:jc w:val="center"/>
              <w:textAlignment w:val="center"/>
              <w:rPr>
                <w:rFonts w:hint="eastAsia"/>
                <w:kern w:val="0"/>
                <w:sz w:val="18"/>
                <w:szCs w:val="18"/>
                <w:lang w:bidi="ar"/>
              </w:rPr>
            </w:pPr>
            <w:r>
              <w:rPr>
                <w:rFonts w:hint="eastAsia"/>
                <w:kern w:val="0"/>
                <w:sz w:val="18"/>
                <w:szCs w:val="18"/>
                <w:lang w:bidi="ar"/>
              </w:rPr>
              <w:t>防爆设备加装</w:t>
            </w:r>
          </w:p>
        </w:tc>
        <w:tc>
          <w:tcPr>
            <w:tcW w:w="1729" w:type="dxa"/>
            <w:shd w:val="clear" w:color="auto" w:fill="auto"/>
            <w:vAlign w:val="center"/>
          </w:tcPr>
          <w:p w14:paraId="33953EC7">
            <w:pPr>
              <w:widowControl/>
              <w:snapToGrid w:val="0"/>
              <w:jc w:val="center"/>
              <w:textAlignment w:val="center"/>
              <w:rPr>
                <w:rFonts w:hint="default"/>
                <w:kern w:val="0"/>
                <w:sz w:val="18"/>
                <w:szCs w:val="18"/>
                <w:lang w:val="en-US" w:eastAsia="zh-CN" w:bidi="ar"/>
              </w:rPr>
            </w:pPr>
            <w:r>
              <w:rPr>
                <w:rFonts w:hint="eastAsia"/>
                <w:kern w:val="0"/>
                <w:sz w:val="18"/>
                <w:szCs w:val="18"/>
                <w:lang w:val="fr-FR" w:eastAsia="zh-CN" w:bidi="ar"/>
              </w:rPr>
              <w:t>GB/T</w:t>
            </w:r>
            <w:r>
              <w:rPr>
                <w:rFonts w:hint="eastAsia"/>
                <w:kern w:val="0"/>
                <w:sz w:val="18"/>
                <w:szCs w:val="18"/>
                <w:lang w:val="en-US" w:eastAsia="zh-CN" w:bidi="ar"/>
              </w:rPr>
              <w:t xml:space="preserve"> </w:t>
            </w:r>
            <w:r>
              <w:rPr>
                <w:rFonts w:hint="eastAsia"/>
                <w:kern w:val="0"/>
                <w:sz w:val="18"/>
                <w:szCs w:val="18"/>
                <w:lang w:val="fr-FR" w:eastAsia="zh-CN" w:bidi="ar"/>
              </w:rPr>
              <w:t>3836</w:t>
            </w:r>
            <w:r>
              <w:rPr>
                <w:rFonts w:hint="eastAsia"/>
                <w:kern w:val="0"/>
                <w:sz w:val="18"/>
                <w:szCs w:val="18"/>
                <w:lang w:val="en-US" w:eastAsia="zh-CN" w:bidi="ar"/>
              </w:rPr>
              <w:t>.1—2021</w:t>
            </w:r>
          </w:p>
        </w:tc>
        <w:tc>
          <w:tcPr>
            <w:tcW w:w="3074" w:type="dxa"/>
            <w:gridSpan w:val="3"/>
            <w:shd w:val="clear" w:color="auto" w:fill="auto"/>
            <w:vAlign w:val="center"/>
          </w:tcPr>
          <w:p w14:paraId="7F9616C8">
            <w:pPr>
              <w:widowControl/>
              <w:snapToGrid w:val="0"/>
              <w:jc w:val="center"/>
              <w:textAlignment w:val="center"/>
              <w:rPr>
                <w:rFonts w:hint="default" w:eastAsia="宋体"/>
                <w:kern w:val="0"/>
                <w:sz w:val="18"/>
                <w:szCs w:val="18"/>
                <w:lang w:val="en-US" w:eastAsia="zh-CN" w:bidi="ar"/>
              </w:rPr>
            </w:pPr>
            <w:r>
              <w:rPr>
                <w:rFonts w:hint="eastAsia"/>
                <w:kern w:val="0"/>
                <w:sz w:val="18"/>
                <w:szCs w:val="18"/>
                <w:lang w:val="en-US" w:eastAsia="zh-CN" w:bidi="ar"/>
              </w:rPr>
              <w:t>/</w:t>
            </w:r>
          </w:p>
        </w:tc>
        <w:tc>
          <w:tcPr>
            <w:tcW w:w="2049" w:type="dxa"/>
            <w:shd w:val="clear" w:color="auto" w:fill="auto"/>
            <w:vAlign w:val="center"/>
          </w:tcPr>
          <w:p w14:paraId="3BF4E33A">
            <w:pPr>
              <w:widowControl/>
              <w:spacing w:line="240" w:lineRule="exact"/>
              <w:jc w:val="center"/>
              <w:rPr>
                <w:kern w:val="0"/>
                <w:sz w:val="18"/>
                <w:szCs w:val="18"/>
                <w:lang w:bidi="ar"/>
              </w:rPr>
            </w:pPr>
            <w:r>
              <w:rPr>
                <w:rFonts w:hint="eastAsia" w:ascii="Times New Roman" w:hAnsi="Times New Roman" w:eastAsia="宋体" w:cs="Times New Roman"/>
                <w:color w:val="auto"/>
                <w:sz w:val="18"/>
                <w:szCs w:val="18"/>
                <w:lang w:val="en-US" w:eastAsia="zh-CN"/>
              </w:rPr>
              <w:t>若安装在石油化工等需要采取防爆措施的区域则电气还需满足</w:t>
            </w:r>
            <w:r>
              <w:rPr>
                <w:rFonts w:hint="eastAsia" w:ascii="Times New Roman" w:hAnsi="Times New Roman" w:eastAsia="宋体" w:cs="Times New Roman"/>
                <w:color w:val="auto"/>
                <w:kern w:val="0"/>
                <w:sz w:val="18"/>
                <w:szCs w:val="18"/>
                <w:lang w:val="fr-FR"/>
              </w:rPr>
              <w:t>GB/T 3836</w:t>
            </w:r>
            <w:r>
              <w:rPr>
                <w:rFonts w:hint="eastAsia" w:cs="Times New Roman"/>
                <w:color w:val="auto"/>
                <w:kern w:val="0"/>
                <w:sz w:val="18"/>
                <w:szCs w:val="18"/>
                <w:lang w:val="en-US" w:eastAsia="zh-CN"/>
              </w:rPr>
              <w:t>.1</w:t>
            </w:r>
            <w:r>
              <w:rPr>
                <w:rFonts w:hint="eastAsia"/>
                <w:kern w:val="0"/>
                <w:sz w:val="18"/>
                <w:szCs w:val="18"/>
                <w:lang w:val="en-US" w:eastAsia="zh-CN" w:bidi="ar"/>
              </w:rPr>
              <w:t>—2021</w:t>
            </w:r>
            <w:r>
              <w:rPr>
                <w:rFonts w:hint="eastAsia" w:ascii="Times New Roman" w:hAnsi="Times New Roman" w:eastAsia="宋体" w:cs="Times New Roman"/>
                <w:color w:val="auto"/>
                <w:kern w:val="0"/>
                <w:sz w:val="18"/>
                <w:szCs w:val="18"/>
                <w:lang w:val="en-US" w:eastAsia="zh-CN"/>
              </w:rPr>
              <w:t>的要求</w:t>
            </w:r>
          </w:p>
        </w:tc>
      </w:tr>
      <w:tr w14:paraId="25DC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49" w:type="dxa"/>
            <w:shd w:val="clear" w:color="auto" w:fill="auto"/>
            <w:vAlign w:val="center"/>
          </w:tcPr>
          <w:p w14:paraId="61814C20">
            <w:pPr>
              <w:widowControl/>
              <w:snapToGrid w:val="0"/>
              <w:jc w:val="center"/>
              <w:textAlignment w:val="center"/>
              <w:rPr>
                <w:color w:val="000000"/>
                <w:kern w:val="0"/>
                <w:sz w:val="18"/>
                <w:szCs w:val="18"/>
                <w:lang w:bidi="ar"/>
              </w:rPr>
            </w:pPr>
            <w:r>
              <w:rPr>
                <w:rFonts w:hint="eastAsia"/>
                <w:color w:val="000000"/>
                <w:kern w:val="0"/>
                <w:sz w:val="18"/>
                <w:szCs w:val="18"/>
                <w:lang w:bidi="ar"/>
              </w:rPr>
              <w:t>5</w:t>
            </w:r>
          </w:p>
        </w:tc>
        <w:tc>
          <w:tcPr>
            <w:tcW w:w="737" w:type="dxa"/>
            <w:vMerge w:val="continue"/>
            <w:shd w:val="clear" w:color="auto" w:fill="auto"/>
            <w:vAlign w:val="center"/>
          </w:tcPr>
          <w:p w14:paraId="385242AA">
            <w:pPr>
              <w:widowControl/>
              <w:snapToGrid w:val="0"/>
              <w:jc w:val="center"/>
              <w:rPr>
                <w:color w:val="000000"/>
                <w:sz w:val="18"/>
                <w:szCs w:val="18"/>
              </w:rPr>
            </w:pPr>
          </w:p>
        </w:tc>
        <w:tc>
          <w:tcPr>
            <w:tcW w:w="1545" w:type="dxa"/>
            <w:shd w:val="clear" w:color="auto" w:fill="auto"/>
            <w:noWrap/>
            <w:vAlign w:val="center"/>
          </w:tcPr>
          <w:p w14:paraId="46D441D5">
            <w:pPr>
              <w:widowControl/>
              <w:snapToGrid w:val="0"/>
              <w:jc w:val="center"/>
              <w:textAlignment w:val="center"/>
              <w:rPr>
                <w:rFonts w:hint="eastAsia"/>
                <w:kern w:val="0"/>
                <w:sz w:val="18"/>
                <w:szCs w:val="18"/>
                <w:lang w:bidi="ar"/>
              </w:rPr>
            </w:pPr>
            <w:r>
              <w:rPr>
                <w:rFonts w:hint="eastAsia"/>
                <w:kern w:val="0"/>
                <w:sz w:val="18"/>
                <w:szCs w:val="18"/>
                <w:lang w:val="en-US" w:eastAsia="zh-CN" w:bidi="ar"/>
              </w:rPr>
              <w:t>产品</w:t>
            </w:r>
            <w:r>
              <w:rPr>
                <w:rFonts w:hint="eastAsia"/>
                <w:kern w:val="0"/>
                <w:sz w:val="18"/>
                <w:szCs w:val="18"/>
                <w:lang w:bidi="ar"/>
              </w:rPr>
              <w:t>壁厚</w:t>
            </w:r>
          </w:p>
        </w:tc>
        <w:tc>
          <w:tcPr>
            <w:tcW w:w="1729" w:type="dxa"/>
            <w:shd w:val="clear" w:color="auto" w:fill="auto"/>
            <w:vAlign w:val="center"/>
          </w:tcPr>
          <w:p w14:paraId="42E84D3E">
            <w:pPr>
              <w:widowControl/>
              <w:snapToGrid w:val="0"/>
              <w:jc w:val="center"/>
              <w:textAlignment w:val="center"/>
              <w:rPr>
                <w:rFonts w:hint="eastAsia"/>
                <w:kern w:val="0"/>
                <w:sz w:val="18"/>
                <w:szCs w:val="18"/>
                <w:lang w:val="en-US" w:eastAsia="zh-CN" w:bidi="ar"/>
              </w:rPr>
            </w:pPr>
            <w:r>
              <w:rPr>
                <w:rFonts w:hint="eastAsia"/>
                <w:kern w:val="0"/>
                <w:sz w:val="18"/>
                <w:szCs w:val="18"/>
                <w:lang w:val="en-US" w:eastAsia="zh-CN" w:bidi="ar"/>
              </w:rPr>
              <w:t>GB/T 6672—2001</w:t>
            </w:r>
          </w:p>
          <w:p w14:paraId="50B859B1">
            <w:pPr>
              <w:widowControl/>
              <w:snapToGrid w:val="0"/>
              <w:jc w:val="center"/>
              <w:textAlignment w:val="center"/>
              <w:rPr>
                <w:rFonts w:hint="eastAsia"/>
                <w:kern w:val="0"/>
                <w:sz w:val="18"/>
                <w:szCs w:val="18"/>
                <w:lang w:val="en-US" w:eastAsia="zh-CN" w:bidi="ar"/>
              </w:rPr>
            </w:pPr>
            <w:r>
              <w:rPr>
                <w:rFonts w:hint="eastAsia"/>
                <w:kern w:val="0"/>
                <w:sz w:val="18"/>
                <w:szCs w:val="18"/>
                <w:highlight w:val="none"/>
                <w:lang w:val="en-US" w:eastAsia="zh-CN" w:bidi="ar"/>
              </w:rPr>
              <w:t>GB/T 9963</w:t>
            </w:r>
            <w:r>
              <w:rPr>
                <w:rFonts w:hint="eastAsia"/>
                <w:kern w:val="0"/>
                <w:sz w:val="18"/>
                <w:szCs w:val="18"/>
                <w:lang w:val="en-US" w:eastAsia="zh-CN" w:bidi="ar"/>
              </w:rPr>
              <w:t>—</w:t>
            </w:r>
            <w:r>
              <w:rPr>
                <w:rFonts w:hint="eastAsia"/>
                <w:kern w:val="0"/>
                <w:sz w:val="18"/>
                <w:szCs w:val="18"/>
                <w:highlight w:val="none"/>
                <w:lang w:val="en-US" w:eastAsia="zh-CN" w:bidi="ar"/>
              </w:rPr>
              <w:t>1998</w:t>
            </w:r>
          </w:p>
        </w:tc>
        <w:tc>
          <w:tcPr>
            <w:tcW w:w="3074" w:type="dxa"/>
            <w:gridSpan w:val="3"/>
            <w:shd w:val="clear" w:color="auto" w:fill="auto"/>
            <w:vAlign w:val="center"/>
          </w:tcPr>
          <w:p w14:paraId="0F5ADA31">
            <w:pPr>
              <w:widowControl/>
              <w:spacing w:line="240" w:lineRule="exact"/>
              <w:jc w:val="center"/>
              <w:rPr>
                <w:rFonts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rPr>
              <w:t>碳钢（Q</w:t>
            </w:r>
            <w:r>
              <w:rPr>
                <w:rFonts w:ascii="Times New Roman" w:hAnsi="Times New Roman" w:eastAsia="宋体" w:cs="Times New Roman"/>
                <w:color w:val="auto"/>
                <w:kern w:val="0"/>
                <w:sz w:val="18"/>
                <w:szCs w:val="18"/>
              </w:rPr>
              <w:t>235</w:t>
            </w:r>
            <w:r>
              <w:rPr>
                <w:rFonts w:hint="eastAsia" w:ascii="Times New Roman" w:hAnsi="Times New Roman" w:eastAsia="宋体" w:cs="Times New Roman"/>
                <w:color w:val="auto"/>
                <w:kern w:val="0"/>
                <w:sz w:val="18"/>
                <w:szCs w:val="18"/>
              </w:rPr>
              <w:t>）≥</w:t>
            </w:r>
            <w:r>
              <w:rPr>
                <w:rFonts w:ascii="Times New Roman" w:hAnsi="Times New Roman" w:eastAsia="宋体" w:cs="Times New Roman"/>
                <w:color w:val="auto"/>
                <w:kern w:val="0"/>
                <w:sz w:val="18"/>
                <w:szCs w:val="18"/>
              </w:rPr>
              <w:t>5</w:t>
            </w:r>
            <w:r>
              <w:rPr>
                <w:rFonts w:hint="eastAsia" w:cs="Times New Roman"/>
                <w:color w:val="auto"/>
                <w:kern w:val="0"/>
                <w:sz w:val="18"/>
                <w:szCs w:val="18"/>
                <w:lang w:val="en-US" w:eastAsia="zh-CN"/>
              </w:rPr>
              <w:t xml:space="preserve"> </w:t>
            </w:r>
            <w:r>
              <w:rPr>
                <w:rFonts w:hint="eastAsia" w:ascii="Times New Roman" w:hAnsi="Times New Roman" w:eastAsia="宋体" w:cs="Times New Roman"/>
                <w:color w:val="auto"/>
                <w:kern w:val="0"/>
                <w:sz w:val="18"/>
                <w:szCs w:val="18"/>
              </w:rPr>
              <w:t>mm</w:t>
            </w:r>
          </w:p>
          <w:p w14:paraId="49C028C4">
            <w:pPr>
              <w:widowControl/>
              <w:snapToGrid w:val="0"/>
              <w:jc w:val="center"/>
              <w:textAlignment w:val="center"/>
              <w:rPr>
                <w:kern w:val="0"/>
                <w:sz w:val="18"/>
                <w:szCs w:val="18"/>
                <w:lang w:bidi="ar"/>
              </w:rPr>
            </w:pPr>
            <w:r>
              <w:rPr>
                <w:rFonts w:hint="eastAsia" w:ascii="Times New Roman" w:hAnsi="Times New Roman" w:eastAsia="宋体" w:cs="Times New Roman"/>
                <w:color w:val="auto"/>
                <w:kern w:val="0"/>
                <w:sz w:val="18"/>
                <w:szCs w:val="18"/>
                <w:lang w:val="en-US" w:eastAsia="zh-CN"/>
              </w:rPr>
              <w:t>钢</w:t>
            </w:r>
            <w:r>
              <w:rPr>
                <w:rFonts w:hint="eastAsia" w:cs="Times New Roman"/>
                <w:color w:val="auto"/>
                <w:kern w:val="0"/>
                <w:sz w:val="18"/>
                <w:szCs w:val="18"/>
                <w:lang w:val="en-US" w:eastAsia="zh-CN"/>
              </w:rPr>
              <w:t>化</w:t>
            </w:r>
            <w:r>
              <w:rPr>
                <w:rFonts w:hint="eastAsia" w:ascii="Times New Roman" w:hAnsi="Times New Roman" w:eastAsia="宋体" w:cs="Times New Roman"/>
                <w:color w:val="auto"/>
                <w:kern w:val="0"/>
                <w:sz w:val="18"/>
                <w:szCs w:val="18"/>
                <w:lang w:val="en-US" w:eastAsia="zh-CN"/>
              </w:rPr>
              <w:t>玻璃</w:t>
            </w:r>
            <w:r>
              <w:rPr>
                <w:rFonts w:hint="eastAsia" w:ascii="Times New Roman" w:hAnsi="Times New Roman" w:eastAsia="宋体" w:cs="Times New Roman"/>
                <w:color w:val="auto"/>
                <w:kern w:val="0"/>
                <w:sz w:val="18"/>
                <w:szCs w:val="18"/>
              </w:rPr>
              <w:t>≥</w:t>
            </w:r>
            <w:r>
              <w:rPr>
                <w:rFonts w:hint="eastAsia" w:ascii="Times New Roman" w:hAnsi="Times New Roman" w:eastAsia="宋体" w:cs="Times New Roman"/>
                <w:color w:val="auto"/>
                <w:kern w:val="0"/>
                <w:sz w:val="18"/>
                <w:szCs w:val="18"/>
                <w:lang w:val="en-US" w:eastAsia="zh-CN"/>
              </w:rPr>
              <w:t>6</w:t>
            </w:r>
            <w:r>
              <w:rPr>
                <w:rFonts w:hint="eastAsia" w:cs="Times New Roman"/>
                <w:color w:val="auto"/>
                <w:kern w:val="0"/>
                <w:sz w:val="18"/>
                <w:szCs w:val="18"/>
                <w:lang w:val="en-US" w:eastAsia="zh-CN"/>
              </w:rPr>
              <w:t xml:space="preserve"> </w:t>
            </w:r>
            <w:r>
              <w:rPr>
                <w:rFonts w:hint="eastAsia" w:ascii="Times New Roman" w:hAnsi="Times New Roman" w:eastAsia="宋体" w:cs="Times New Roman"/>
                <w:color w:val="auto"/>
                <w:kern w:val="0"/>
                <w:sz w:val="18"/>
                <w:szCs w:val="18"/>
              </w:rPr>
              <w:t>mm</w:t>
            </w:r>
          </w:p>
        </w:tc>
        <w:tc>
          <w:tcPr>
            <w:tcW w:w="2049" w:type="dxa"/>
            <w:shd w:val="clear" w:color="auto" w:fill="auto"/>
            <w:vAlign w:val="center"/>
          </w:tcPr>
          <w:p w14:paraId="0A7E4FF3">
            <w:pPr>
              <w:widowControl/>
              <w:spacing w:line="240" w:lineRule="exact"/>
              <w:jc w:val="center"/>
              <w:rPr>
                <w:rFonts w:hint="default" w:eastAsia="宋体"/>
                <w:kern w:val="0"/>
                <w:sz w:val="18"/>
                <w:szCs w:val="18"/>
                <w:lang w:val="en-US" w:eastAsia="zh-CN" w:bidi="ar"/>
              </w:rPr>
            </w:pPr>
            <w:r>
              <w:rPr>
                <w:rFonts w:hint="eastAsia"/>
                <w:kern w:val="0"/>
                <w:sz w:val="18"/>
                <w:szCs w:val="18"/>
                <w:lang w:val="en-US" w:eastAsia="zh-CN" w:bidi="ar"/>
              </w:rPr>
              <w:t>可采用游标卡尺、玻璃厚度仪和光学测微计进行测量</w:t>
            </w:r>
          </w:p>
        </w:tc>
      </w:tr>
      <w:tr w14:paraId="68E8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9" w:type="dxa"/>
            <w:shd w:val="clear" w:color="auto" w:fill="auto"/>
            <w:vAlign w:val="center"/>
          </w:tcPr>
          <w:p w14:paraId="092DFF36">
            <w:pPr>
              <w:widowControl/>
              <w:snapToGrid w:val="0"/>
              <w:jc w:val="center"/>
              <w:textAlignment w:val="center"/>
              <w:rPr>
                <w:color w:val="000000"/>
                <w:kern w:val="0"/>
                <w:sz w:val="18"/>
                <w:szCs w:val="18"/>
                <w:lang w:bidi="ar"/>
              </w:rPr>
            </w:pPr>
            <w:r>
              <w:rPr>
                <w:rFonts w:hint="eastAsia"/>
                <w:color w:val="000000"/>
                <w:kern w:val="0"/>
                <w:sz w:val="18"/>
                <w:szCs w:val="18"/>
                <w:lang w:bidi="ar"/>
              </w:rPr>
              <w:t>6</w:t>
            </w:r>
          </w:p>
        </w:tc>
        <w:tc>
          <w:tcPr>
            <w:tcW w:w="737" w:type="dxa"/>
            <w:vMerge w:val="continue"/>
            <w:shd w:val="clear" w:color="auto" w:fill="auto"/>
            <w:vAlign w:val="center"/>
          </w:tcPr>
          <w:p w14:paraId="44A47DD4">
            <w:pPr>
              <w:widowControl/>
              <w:snapToGrid w:val="0"/>
              <w:jc w:val="center"/>
              <w:rPr>
                <w:color w:val="000000"/>
                <w:sz w:val="18"/>
                <w:szCs w:val="18"/>
              </w:rPr>
            </w:pPr>
          </w:p>
        </w:tc>
        <w:tc>
          <w:tcPr>
            <w:tcW w:w="1545" w:type="dxa"/>
            <w:shd w:val="clear" w:color="auto" w:fill="auto"/>
            <w:noWrap/>
            <w:vAlign w:val="center"/>
          </w:tcPr>
          <w:p w14:paraId="757C053B">
            <w:pPr>
              <w:widowControl/>
              <w:snapToGrid w:val="0"/>
              <w:jc w:val="center"/>
              <w:textAlignment w:val="center"/>
              <w:rPr>
                <w:rFonts w:hint="eastAsia"/>
                <w:kern w:val="0"/>
                <w:sz w:val="18"/>
                <w:szCs w:val="18"/>
                <w:lang w:bidi="ar"/>
              </w:rPr>
            </w:pPr>
            <w:r>
              <w:rPr>
                <w:rFonts w:hint="eastAsia"/>
                <w:kern w:val="0"/>
                <w:sz w:val="18"/>
                <w:szCs w:val="18"/>
                <w:lang w:val="en-US" w:eastAsia="zh-CN" w:bidi="ar"/>
              </w:rPr>
              <w:t>设备噪声</w:t>
            </w:r>
          </w:p>
        </w:tc>
        <w:tc>
          <w:tcPr>
            <w:tcW w:w="1729" w:type="dxa"/>
            <w:shd w:val="clear" w:color="auto" w:fill="auto"/>
            <w:vAlign w:val="center"/>
          </w:tcPr>
          <w:p w14:paraId="31E192C2">
            <w:pPr>
              <w:widowControl/>
              <w:snapToGrid w:val="0"/>
              <w:jc w:val="center"/>
              <w:textAlignment w:val="center"/>
              <w:rPr>
                <w:rFonts w:hint="eastAsia"/>
                <w:kern w:val="0"/>
                <w:sz w:val="18"/>
                <w:szCs w:val="18"/>
                <w:lang w:val="en-US" w:eastAsia="zh-CN" w:bidi="ar"/>
              </w:rPr>
            </w:pPr>
            <w:r>
              <w:rPr>
                <w:rFonts w:hint="eastAsia"/>
                <w:kern w:val="0"/>
                <w:sz w:val="18"/>
                <w:szCs w:val="18"/>
                <w:lang w:val="en-US" w:eastAsia="zh-CN" w:bidi="ar"/>
              </w:rPr>
              <w:t>GB 12348 </w:t>
            </w:r>
          </w:p>
        </w:tc>
        <w:tc>
          <w:tcPr>
            <w:tcW w:w="3074" w:type="dxa"/>
            <w:gridSpan w:val="3"/>
            <w:shd w:val="clear" w:color="auto" w:fill="auto"/>
            <w:vAlign w:val="center"/>
          </w:tcPr>
          <w:p w14:paraId="575EE76B">
            <w:pPr>
              <w:widowControl/>
              <w:snapToGrid w:val="0"/>
              <w:jc w:val="center"/>
              <w:textAlignment w:val="center"/>
              <w:rPr>
                <w:kern w:val="0"/>
                <w:sz w:val="18"/>
                <w:szCs w:val="18"/>
                <w:lang w:bidi="ar"/>
              </w:rPr>
            </w:pPr>
            <w:r>
              <w:rPr>
                <w:rFonts w:hint="eastAsia"/>
                <w:kern w:val="0"/>
                <w:sz w:val="18"/>
                <w:szCs w:val="18"/>
                <w:lang w:bidi="ar"/>
              </w:rPr>
              <w:t>设备产生的噪声需要满足GB 12348</w:t>
            </w:r>
            <w:r>
              <w:rPr>
                <w:rFonts w:hint="eastAsia"/>
                <w:kern w:val="0"/>
                <w:sz w:val="18"/>
                <w:szCs w:val="18"/>
                <w:lang w:val="en-US" w:eastAsia="zh-CN" w:bidi="ar"/>
              </w:rPr>
              <w:t>中</w:t>
            </w:r>
            <w:r>
              <w:rPr>
                <w:rFonts w:hint="eastAsia"/>
                <w:kern w:val="0"/>
                <w:sz w:val="18"/>
                <w:szCs w:val="18"/>
                <w:lang w:bidi="ar"/>
              </w:rPr>
              <w:t>相关要求</w:t>
            </w:r>
          </w:p>
        </w:tc>
        <w:tc>
          <w:tcPr>
            <w:tcW w:w="2049" w:type="dxa"/>
            <w:shd w:val="clear" w:color="auto" w:fill="auto"/>
            <w:vAlign w:val="center"/>
          </w:tcPr>
          <w:p w14:paraId="47A5F0FA">
            <w:pPr>
              <w:widowControl/>
              <w:spacing w:line="240" w:lineRule="exact"/>
              <w:jc w:val="center"/>
              <w:rPr>
                <w:kern w:val="0"/>
                <w:sz w:val="18"/>
                <w:szCs w:val="18"/>
                <w:lang w:bidi="ar"/>
              </w:rPr>
            </w:pPr>
            <w:r>
              <w:rPr>
                <w:rFonts w:hint="eastAsia"/>
                <w:kern w:val="0"/>
                <w:sz w:val="18"/>
                <w:szCs w:val="18"/>
                <w:lang w:val="en-US" w:eastAsia="zh-CN" w:bidi="ar"/>
              </w:rPr>
              <w:t>噪声测量方法满足</w:t>
            </w:r>
            <w:r>
              <w:rPr>
                <w:rFonts w:hint="eastAsia"/>
                <w:kern w:val="0"/>
                <w:sz w:val="18"/>
                <w:szCs w:val="18"/>
                <w:lang w:bidi="ar"/>
              </w:rPr>
              <w:t>GB 12348</w:t>
            </w:r>
            <w:r>
              <w:rPr>
                <w:rFonts w:hint="eastAsia"/>
                <w:kern w:val="0"/>
                <w:sz w:val="18"/>
                <w:szCs w:val="18"/>
                <w:lang w:val="en-US" w:eastAsia="zh-CN" w:bidi="ar"/>
              </w:rPr>
              <w:t>中第8章相关要求</w:t>
            </w:r>
          </w:p>
        </w:tc>
      </w:tr>
      <w:bookmarkEnd w:id="31"/>
      <w:tr w14:paraId="6C04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9" w:type="dxa"/>
            <w:shd w:val="clear" w:color="auto" w:fill="auto"/>
            <w:vAlign w:val="center"/>
          </w:tcPr>
          <w:p w14:paraId="005DADEC">
            <w:pPr>
              <w:widowControl/>
              <w:snapToGrid w:val="0"/>
              <w:jc w:val="center"/>
              <w:textAlignment w:val="center"/>
              <w:rPr>
                <w:rFonts w:hint="eastAsia" w:eastAsia="宋体"/>
                <w:color w:val="000000"/>
                <w:kern w:val="0"/>
                <w:sz w:val="18"/>
                <w:szCs w:val="18"/>
                <w:lang w:eastAsia="zh-CN" w:bidi="ar"/>
              </w:rPr>
            </w:pPr>
            <w:r>
              <w:rPr>
                <w:rFonts w:hint="eastAsia"/>
                <w:kern w:val="0"/>
                <w:sz w:val="18"/>
                <w:szCs w:val="18"/>
                <w:lang w:val="en-US" w:eastAsia="zh-CN" w:bidi="ar"/>
              </w:rPr>
              <w:t>7</w:t>
            </w:r>
          </w:p>
        </w:tc>
        <w:tc>
          <w:tcPr>
            <w:tcW w:w="737" w:type="dxa"/>
            <w:vMerge w:val="restart"/>
            <w:shd w:val="clear" w:color="auto" w:fill="auto"/>
            <w:vAlign w:val="center"/>
          </w:tcPr>
          <w:p w14:paraId="642A01D1">
            <w:pPr>
              <w:widowControl/>
              <w:snapToGrid w:val="0"/>
              <w:jc w:val="center"/>
              <w:rPr>
                <w:rFonts w:hint="eastAsia"/>
                <w:color w:val="000000"/>
                <w:sz w:val="18"/>
                <w:szCs w:val="18"/>
              </w:rPr>
            </w:pPr>
            <w:r>
              <w:rPr>
                <w:rFonts w:hint="eastAsia"/>
                <w:color w:val="000000"/>
                <w:sz w:val="18"/>
                <w:szCs w:val="18"/>
              </w:rPr>
              <w:t>核心</w:t>
            </w:r>
          </w:p>
          <w:p w14:paraId="24E5EE2F">
            <w:pPr>
              <w:widowControl/>
              <w:snapToGrid w:val="0"/>
              <w:jc w:val="center"/>
              <w:rPr>
                <w:color w:val="000000"/>
                <w:sz w:val="18"/>
                <w:szCs w:val="18"/>
              </w:rPr>
            </w:pPr>
            <w:r>
              <w:rPr>
                <w:rFonts w:hint="eastAsia"/>
                <w:color w:val="000000"/>
                <w:sz w:val="18"/>
                <w:szCs w:val="18"/>
              </w:rPr>
              <w:t>指标</w:t>
            </w:r>
          </w:p>
        </w:tc>
        <w:tc>
          <w:tcPr>
            <w:tcW w:w="1545" w:type="dxa"/>
            <w:shd w:val="clear" w:color="auto" w:fill="auto"/>
            <w:noWrap/>
            <w:vAlign w:val="center"/>
          </w:tcPr>
          <w:p w14:paraId="23EF4470">
            <w:pPr>
              <w:widowControl/>
              <w:spacing w:line="240" w:lineRule="exact"/>
              <w:jc w:val="center"/>
              <w:rPr>
                <w:sz w:val="18"/>
                <w:szCs w:val="18"/>
              </w:rPr>
            </w:pPr>
            <w:r>
              <w:rPr>
                <w:rFonts w:hint="eastAsia" w:ascii="Times New Roman" w:hAnsi="Times New Roman" w:eastAsia="宋体" w:cs="Times New Roman"/>
                <w:color w:val="auto"/>
                <w:sz w:val="18"/>
                <w:szCs w:val="18"/>
                <w:lang w:val="en-US" w:eastAsia="zh-CN"/>
              </w:rPr>
              <w:t>产品</w:t>
            </w:r>
            <w:r>
              <w:rPr>
                <w:rFonts w:hint="eastAsia" w:ascii="Times New Roman" w:hAnsi="Times New Roman" w:eastAsia="宋体" w:cs="Times New Roman"/>
                <w:color w:val="auto"/>
                <w:sz w:val="18"/>
                <w:szCs w:val="18"/>
              </w:rPr>
              <w:t>主体使用寿命</w:t>
            </w:r>
          </w:p>
        </w:tc>
        <w:tc>
          <w:tcPr>
            <w:tcW w:w="1729" w:type="dxa"/>
            <w:shd w:val="clear" w:color="auto" w:fill="auto"/>
            <w:vAlign w:val="center"/>
          </w:tcPr>
          <w:p w14:paraId="2D2149DD">
            <w:pPr>
              <w:widowControl/>
              <w:snapToGrid w:val="0"/>
              <w:jc w:val="center"/>
              <w:textAlignment w:val="center"/>
              <w:rPr>
                <w:rFonts w:hint="eastAsia"/>
                <w:kern w:val="0"/>
                <w:sz w:val="18"/>
                <w:szCs w:val="18"/>
                <w:lang w:val="en-US" w:eastAsia="zh-CN" w:bidi="ar"/>
              </w:rPr>
            </w:pPr>
            <w:r>
              <w:rPr>
                <w:rFonts w:hint="eastAsia"/>
                <w:kern w:val="0"/>
                <w:sz w:val="18"/>
                <w:szCs w:val="18"/>
                <w:lang w:val="en-US" w:eastAsia="zh-CN" w:bidi="ar"/>
              </w:rPr>
              <w:t>T/CAEPI 29</w:t>
            </w:r>
          </w:p>
        </w:tc>
        <w:tc>
          <w:tcPr>
            <w:tcW w:w="1024" w:type="dxa"/>
            <w:shd w:val="clear" w:color="auto" w:fill="auto"/>
            <w:vAlign w:val="center"/>
          </w:tcPr>
          <w:p w14:paraId="6CB1A6F4">
            <w:pPr>
              <w:widowControl/>
              <w:spacing w:line="240" w:lineRule="exact"/>
              <w:jc w:val="center"/>
              <w:rPr>
                <w:rFonts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lang w:val="en-US" w:eastAsia="zh-CN"/>
              </w:rPr>
              <w:t>玻璃钢</w:t>
            </w:r>
            <w:r>
              <w:rPr>
                <w:rFonts w:hint="eastAsia" w:asciiTheme="minorEastAsia" w:hAnsiTheme="minorEastAsia" w:eastAsiaTheme="minorEastAsia" w:cstheme="minorEastAsia"/>
                <w:color w:val="auto"/>
                <w:kern w:val="0"/>
                <w:sz w:val="18"/>
                <w:szCs w:val="18"/>
              </w:rPr>
              <w:t>≥</w:t>
            </w:r>
            <w:r>
              <w:rPr>
                <w:rFonts w:hint="eastAsia" w:ascii="Times New Roman" w:hAnsi="Times New Roman" w:eastAsia="宋体" w:cs="Times New Roman"/>
                <w:color w:val="auto"/>
                <w:kern w:val="0"/>
                <w:sz w:val="18"/>
                <w:szCs w:val="18"/>
                <w:lang w:val="en-US" w:eastAsia="zh-CN"/>
              </w:rPr>
              <w:t>25</w:t>
            </w:r>
            <w:r>
              <w:rPr>
                <w:rFonts w:hint="eastAsia" w:ascii="Times New Roman" w:hAnsi="Times New Roman" w:eastAsia="宋体" w:cs="Times New Roman"/>
                <w:color w:val="auto"/>
                <w:kern w:val="0"/>
                <w:sz w:val="18"/>
                <w:szCs w:val="18"/>
              </w:rPr>
              <w:t>年</w:t>
            </w:r>
          </w:p>
          <w:p w14:paraId="59A0BC30">
            <w:pPr>
              <w:widowControl/>
              <w:spacing w:line="240" w:lineRule="exact"/>
              <w:jc w:val="center"/>
              <w:rPr>
                <w:color w:val="000000"/>
                <w:sz w:val="18"/>
                <w:szCs w:val="18"/>
              </w:rPr>
            </w:pPr>
            <w:r>
              <w:rPr>
                <w:rFonts w:hint="eastAsia" w:ascii="Times New Roman" w:hAnsi="Times New Roman" w:eastAsia="宋体" w:cs="Times New Roman"/>
                <w:color w:val="auto"/>
                <w:kern w:val="0"/>
                <w:sz w:val="18"/>
                <w:szCs w:val="18"/>
              </w:rPr>
              <w:t>Q</w:t>
            </w:r>
            <w:r>
              <w:rPr>
                <w:rFonts w:ascii="Times New Roman" w:hAnsi="Times New Roman" w:eastAsia="宋体" w:cs="Times New Roman"/>
                <w:color w:val="auto"/>
                <w:kern w:val="0"/>
                <w:sz w:val="18"/>
                <w:szCs w:val="18"/>
              </w:rPr>
              <w:t>235碳钢</w:t>
            </w:r>
            <w:r>
              <w:rPr>
                <w:rFonts w:hint="eastAsia" w:ascii="Times New Roman" w:hAnsi="Times New Roman" w:eastAsia="宋体" w:cs="Times New Roman"/>
                <w:color w:val="auto"/>
                <w:kern w:val="0"/>
                <w:sz w:val="18"/>
                <w:szCs w:val="18"/>
                <w:lang w:eastAsia="zh-CN"/>
              </w:rPr>
              <w:t>（</w:t>
            </w:r>
            <w:r>
              <w:rPr>
                <w:rFonts w:hint="eastAsia" w:ascii="Times New Roman" w:hAnsi="Times New Roman" w:eastAsia="宋体" w:cs="Times New Roman"/>
                <w:color w:val="auto"/>
                <w:kern w:val="0"/>
                <w:sz w:val="18"/>
                <w:szCs w:val="18"/>
                <w:lang w:val="en-US" w:eastAsia="zh-CN"/>
              </w:rPr>
              <w:t>防腐</w:t>
            </w:r>
            <w:r>
              <w:rPr>
                <w:rFonts w:hint="eastAsia" w:ascii="Times New Roman" w:hAnsi="Times New Roman" w:eastAsia="宋体" w:cs="Times New Roman"/>
                <w:color w:val="auto"/>
                <w:kern w:val="0"/>
                <w:sz w:val="18"/>
                <w:szCs w:val="18"/>
                <w:lang w:eastAsia="zh-CN"/>
              </w:rPr>
              <w:t>）</w:t>
            </w:r>
            <w:r>
              <w:rPr>
                <w:rFonts w:hint="eastAsia" w:asciiTheme="minorEastAsia" w:hAnsiTheme="minorEastAsia" w:eastAsiaTheme="minorEastAsia" w:cstheme="minorEastAsia"/>
                <w:color w:val="auto"/>
                <w:kern w:val="0"/>
                <w:sz w:val="18"/>
                <w:szCs w:val="18"/>
              </w:rPr>
              <w:t>≥</w:t>
            </w:r>
            <w:r>
              <w:rPr>
                <w:rFonts w:ascii="Times New Roman" w:hAnsi="Times New Roman" w:eastAsia="宋体" w:cs="Times New Roman"/>
                <w:color w:val="auto"/>
                <w:kern w:val="0"/>
                <w:sz w:val="18"/>
                <w:szCs w:val="18"/>
              </w:rPr>
              <w:t>2</w:t>
            </w:r>
            <w:r>
              <w:rPr>
                <w:rFonts w:hint="eastAsia" w:ascii="Times New Roman" w:hAnsi="Times New Roman" w:eastAsia="宋体" w:cs="Times New Roman"/>
                <w:color w:val="auto"/>
                <w:kern w:val="0"/>
                <w:sz w:val="18"/>
                <w:szCs w:val="18"/>
                <w:lang w:val="en-US" w:eastAsia="zh-CN"/>
              </w:rPr>
              <w:t>0</w:t>
            </w:r>
            <w:r>
              <w:rPr>
                <w:rFonts w:hint="eastAsia" w:ascii="Times New Roman" w:hAnsi="Times New Roman" w:eastAsia="宋体" w:cs="Times New Roman"/>
                <w:color w:val="auto"/>
                <w:kern w:val="0"/>
                <w:sz w:val="18"/>
                <w:szCs w:val="18"/>
              </w:rPr>
              <w:t>年</w:t>
            </w:r>
          </w:p>
        </w:tc>
        <w:tc>
          <w:tcPr>
            <w:tcW w:w="1024" w:type="dxa"/>
            <w:shd w:val="clear" w:color="auto" w:fill="auto"/>
            <w:vAlign w:val="center"/>
          </w:tcPr>
          <w:p w14:paraId="16E67315">
            <w:pPr>
              <w:widowControl/>
              <w:spacing w:line="240" w:lineRule="exact"/>
              <w:jc w:val="center"/>
              <w:rPr>
                <w:rFonts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lang w:val="en-US" w:eastAsia="zh-CN"/>
              </w:rPr>
              <w:t>玻璃钢</w:t>
            </w:r>
            <w:r>
              <w:rPr>
                <w:rFonts w:hint="eastAsia" w:asciiTheme="minorEastAsia" w:hAnsiTheme="minorEastAsia" w:eastAsiaTheme="minorEastAsia" w:cstheme="minorEastAsia"/>
                <w:color w:val="auto"/>
                <w:kern w:val="0"/>
                <w:sz w:val="18"/>
                <w:szCs w:val="18"/>
              </w:rPr>
              <w:t>≥</w:t>
            </w:r>
            <w:r>
              <w:rPr>
                <w:rFonts w:ascii="Times New Roman" w:hAnsi="Times New Roman" w:eastAsia="宋体" w:cs="Times New Roman"/>
                <w:color w:val="auto"/>
                <w:kern w:val="0"/>
                <w:sz w:val="18"/>
                <w:szCs w:val="18"/>
              </w:rPr>
              <w:t>2</w:t>
            </w:r>
            <w:r>
              <w:rPr>
                <w:rFonts w:hint="eastAsia" w:ascii="Times New Roman" w:hAnsi="Times New Roman" w:eastAsia="宋体" w:cs="Times New Roman"/>
                <w:color w:val="auto"/>
                <w:kern w:val="0"/>
                <w:sz w:val="18"/>
                <w:szCs w:val="18"/>
                <w:lang w:val="en-US" w:eastAsia="zh-CN"/>
              </w:rPr>
              <w:t>0</w:t>
            </w:r>
            <w:r>
              <w:rPr>
                <w:rFonts w:hint="eastAsia" w:ascii="Times New Roman" w:hAnsi="Times New Roman" w:eastAsia="宋体" w:cs="Times New Roman"/>
                <w:color w:val="auto"/>
                <w:kern w:val="0"/>
                <w:sz w:val="18"/>
                <w:szCs w:val="18"/>
              </w:rPr>
              <w:t>年</w:t>
            </w:r>
          </w:p>
          <w:p w14:paraId="36EB3AB4">
            <w:pPr>
              <w:widowControl/>
              <w:spacing w:line="240" w:lineRule="exact"/>
              <w:jc w:val="center"/>
              <w:rPr>
                <w:color w:val="000000"/>
                <w:sz w:val="18"/>
                <w:szCs w:val="18"/>
              </w:rPr>
            </w:pPr>
            <w:r>
              <w:rPr>
                <w:rFonts w:hint="eastAsia" w:ascii="Times New Roman" w:hAnsi="Times New Roman" w:eastAsia="宋体" w:cs="Times New Roman"/>
                <w:color w:val="auto"/>
                <w:kern w:val="0"/>
                <w:sz w:val="18"/>
                <w:szCs w:val="18"/>
              </w:rPr>
              <w:t>Q</w:t>
            </w:r>
            <w:r>
              <w:rPr>
                <w:rFonts w:ascii="Times New Roman" w:hAnsi="Times New Roman" w:eastAsia="宋体" w:cs="Times New Roman"/>
                <w:color w:val="auto"/>
                <w:kern w:val="0"/>
                <w:sz w:val="18"/>
                <w:szCs w:val="18"/>
              </w:rPr>
              <w:t>235碳钢</w:t>
            </w:r>
            <w:r>
              <w:rPr>
                <w:rFonts w:hint="eastAsia" w:ascii="Times New Roman" w:hAnsi="Times New Roman" w:eastAsia="宋体" w:cs="Times New Roman"/>
                <w:color w:val="auto"/>
                <w:kern w:val="0"/>
                <w:sz w:val="18"/>
                <w:szCs w:val="18"/>
                <w:lang w:eastAsia="zh-CN"/>
              </w:rPr>
              <w:t>（</w:t>
            </w:r>
            <w:r>
              <w:rPr>
                <w:rFonts w:hint="eastAsia" w:ascii="Times New Roman" w:hAnsi="Times New Roman" w:eastAsia="宋体" w:cs="Times New Roman"/>
                <w:color w:val="auto"/>
                <w:kern w:val="0"/>
                <w:sz w:val="18"/>
                <w:szCs w:val="18"/>
                <w:lang w:val="en-US" w:eastAsia="zh-CN"/>
              </w:rPr>
              <w:t>防腐</w:t>
            </w:r>
            <w:r>
              <w:rPr>
                <w:rFonts w:hint="eastAsia" w:ascii="Times New Roman" w:hAnsi="Times New Roman" w:eastAsia="宋体" w:cs="Times New Roman"/>
                <w:color w:val="auto"/>
                <w:kern w:val="0"/>
                <w:sz w:val="18"/>
                <w:szCs w:val="18"/>
                <w:lang w:eastAsia="zh-CN"/>
              </w:rPr>
              <w:t>）</w:t>
            </w:r>
            <w:r>
              <w:rPr>
                <w:rFonts w:hint="eastAsia" w:asciiTheme="minorEastAsia" w:hAnsiTheme="minorEastAsia" w:eastAsiaTheme="minorEastAsia" w:cstheme="minorEastAsia"/>
                <w:color w:val="auto"/>
                <w:kern w:val="0"/>
                <w:sz w:val="18"/>
                <w:szCs w:val="18"/>
              </w:rPr>
              <w:t>≥</w:t>
            </w:r>
            <w:r>
              <w:rPr>
                <w:rFonts w:hint="eastAsia" w:ascii="Times New Roman" w:hAnsi="Times New Roman" w:eastAsia="宋体" w:cs="Times New Roman"/>
                <w:color w:val="auto"/>
                <w:kern w:val="0"/>
                <w:sz w:val="18"/>
                <w:szCs w:val="18"/>
                <w:lang w:val="en-US" w:eastAsia="zh-CN"/>
              </w:rPr>
              <w:t>15</w:t>
            </w:r>
            <w:r>
              <w:rPr>
                <w:rFonts w:hint="eastAsia" w:ascii="Times New Roman" w:hAnsi="Times New Roman" w:eastAsia="宋体" w:cs="Times New Roman"/>
                <w:color w:val="auto"/>
                <w:kern w:val="0"/>
                <w:sz w:val="18"/>
                <w:szCs w:val="18"/>
              </w:rPr>
              <w:t>年</w:t>
            </w:r>
          </w:p>
        </w:tc>
        <w:tc>
          <w:tcPr>
            <w:tcW w:w="1026" w:type="dxa"/>
            <w:shd w:val="clear" w:color="auto" w:fill="auto"/>
            <w:vAlign w:val="center"/>
          </w:tcPr>
          <w:p w14:paraId="61DDE6EE">
            <w:pPr>
              <w:widowControl/>
              <w:spacing w:line="240" w:lineRule="exact"/>
              <w:jc w:val="center"/>
              <w:rPr>
                <w:rFonts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lang w:val="en-US" w:eastAsia="zh-CN"/>
              </w:rPr>
              <w:t>玻璃钢</w:t>
            </w:r>
            <w:r>
              <w:rPr>
                <w:rFonts w:hint="eastAsia" w:asciiTheme="minorEastAsia" w:hAnsiTheme="minorEastAsia" w:eastAsiaTheme="minorEastAsia" w:cstheme="minorEastAsia"/>
                <w:color w:val="auto"/>
                <w:kern w:val="0"/>
                <w:sz w:val="18"/>
                <w:szCs w:val="18"/>
              </w:rPr>
              <w:t>≥</w:t>
            </w:r>
            <w:r>
              <w:rPr>
                <w:rFonts w:hint="eastAsia" w:ascii="Times New Roman" w:hAnsi="Times New Roman" w:eastAsia="宋体" w:cs="Times New Roman"/>
                <w:color w:val="auto"/>
                <w:kern w:val="0"/>
                <w:sz w:val="18"/>
                <w:szCs w:val="18"/>
                <w:lang w:val="en-US" w:eastAsia="zh-CN"/>
              </w:rPr>
              <w:t>15</w:t>
            </w:r>
            <w:r>
              <w:rPr>
                <w:rFonts w:hint="eastAsia" w:ascii="Times New Roman" w:hAnsi="Times New Roman" w:eastAsia="宋体" w:cs="Times New Roman"/>
                <w:color w:val="auto"/>
                <w:kern w:val="0"/>
                <w:sz w:val="18"/>
                <w:szCs w:val="18"/>
              </w:rPr>
              <w:t>年</w:t>
            </w:r>
          </w:p>
          <w:p w14:paraId="2477F72D">
            <w:pPr>
              <w:pStyle w:val="29"/>
              <w:spacing w:line="240" w:lineRule="exact"/>
              <w:ind w:firstLine="0" w:firstLineChars="0"/>
              <w:jc w:val="center"/>
              <w:rPr>
                <w:kern w:val="0"/>
                <w:sz w:val="18"/>
                <w:szCs w:val="18"/>
                <w:lang w:bidi="ar"/>
              </w:rPr>
            </w:pPr>
            <w:r>
              <w:rPr>
                <w:rFonts w:hint="eastAsia" w:ascii="Times New Roman" w:hAnsi="Times New Roman" w:eastAsia="宋体" w:cs="Times New Roman"/>
                <w:color w:val="auto"/>
                <w:kern w:val="0"/>
                <w:sz w:val="18"/>
                <w:szCs w:val="18"/>
              </w:rPr>
              <w:t>Q</w:t>
            </w:r>
            <w:r>
              <w:rPr>
                <w:rFonts w:ascii="Times New Roman" w:hAnsi="Times New Roman" w:eastAsia="宋体" w:cs="Times New Roman"/>
                <w:color w:val="auto"/>
                <w:kern w:val="0"/>
                <w:sz w:val="18"/>
                <w:szCs w:val="18"/>
              </w:rPr>
              <w:t>235碳钢</w:t>
            </w:r>
            <w:r>
              <w:rPr>
                <w:rFonts w:hint="eastAsia" w:ascii="Times New Roman" w:hAnsi="Times New Roman" w:eastAsia="宋体" w:cs="Times New Roman"/>
                <w:color w:val="auto"/>
                <w:kern w:val="0"/>
                <w:sz w:val="18"/>
                <w:szCs w:val="18"/>
                <w:lang w:eastAsia="zh-CN"/>
              </w:rPr>
              <w:t>（</w:t>
            </w:r>
            <w:r>
              <w:rPr>
                <w:rFonts w:hint="eastAsia" w:ascii="Times New Roman" w:hAnsi="Times New Roman" w:eastAsia="宋体" w:cs="Times New Roman"/>
                <w:color w:val="auto"/>
                <w:kern w:val="0"/>
                <w:sz w:val="18"/>
                <w:szCs w:val="18"/>
                <w:lang w:val="en-US" w:eastAsia="zh-CN"/>
              </w:rPr>
              <w:t>防腐</w:t>
            </w:r>
            <w:r>
              <w:rPr>
                <w:rFonts w:hint="eastAsia" w:ascii="Times New Roman" w:hAnsi="Times New Roman" w:eastAsia="宋体" w:cs="Times New Roman"/>
                <w:color w:val="auto"/>
                <w:kern w:val="0"/>
                <w:sz w:val="18"/>
                <w:szCs w:val="18"/>
                <w:lang w:eastAsia="zh-CN"/>
              </w:rPr>
              <w:t>）</w:t>
            </w:r>
            <w:r>
              <w:rPr>
                <w:rFonts w:hint="eastAsia" w:asciiTheme="minorEastAsia" w:hAnsiTheme="minorEastAsia" w:eastAsiaTheme="minorEastAsia" w:cstheme="minorEastAsia"/>
                <w:color w:val="auto"/>
                <w:kern w:val="0"/>
                <w:sz w:val="18"/>
                <w:szCs w:val="18"/>
              </w:rPr>
              <w:t>≥</w:t>
            </w:r>
            <w:r>
              <w:rPr>
                <w:rFonts w:ascii="Times New Roman" w:hAnsi="Times New Roman" w:eastAsia="宋体" w:cs="Times New Roman"/>
                <w:color w:val="auto"/>
                <w:kern w:val="0"/>
                <w:sz w:val="18"/>
                <w:szCs w:val="18"/>
              </w:rPr>
              <w:t>1</w:t>
            </w:r>
            <w:r>
              <w:rPr>
                <w:rFonts w:hint="eastAsia" w:ascii="Times New Roman" w:hAnsi="Times New Roman" w:eastAsia="宋体" w:cs="Times New Roman"/>
                <w:color w:val="auto"/>
                <w:kern w:val="0"/>
                <w:sz w:val="18"/>
                <w:szCs w:val="18"/>
                <w:lang w:val="en-US" w:eastAsia="zh-CN"/>
              </w:rPr>
              <w:t>0</w:t>
            </w:r>
            <w:r>
              <w:rPr>
                <w:rFonts w:hint="eastAsia" w:ascii="Times New Roman" w:hAnsi="Times New Roman" w:eastAsia="宋体" w:cs="Times New Roman"/>
                <w:color w:val="auto"/>
                <w:kern w:val="0"/>
                <w:sz w:val="18"/>
                <w:szCs w:val="18"/>
              </w:rPr>
              <w:t>年</w:t>
            </w:r>
          </w:p>
        </w:tc>
        <w:tc>
          <w:tcPr>
            <w:tcW w:w="2049" w:type="dxa"/>
            <w:shd w:val="clear" w:color="auto" w:fill="auto"/>
            <w:vAlign w:val="center"/>
          </w:tcPr>
          <w:p w14:paraId="3E8E168E">
            <w:pPr>
              <w:widowControl/>
              <w:spacing w:line="240" w:lineRule="exact"/>
              <w:jc w:val="center"/>
              <w:rPr>
                <w:rFonts w:hint="eastAsia" w:eastAsia="宋体"/>
                <w:color w:val="000000"/>
                <w:sz w:val="18"/>
                <w:szCs w:val="18"/>
                <w:lang w:eastAsia="zh-CN"/>
              </w:rPr>
            </w:pPr>
            <w:r>
              <w:rPr>
                <w:rFonts w:hint="eastAsia" w:ascii="Times New Roman" w:hAnsi="Times New Roman" w:eastAsia="宋体" w:cs="Times New Roman"/>
                <w:color w:val="auto"/>
                <w:sz w:val="18"/>
                <w:szCs w:val="18"/>
                <w:lang w:val="en-US" w:eastAsia="zh-CN"/>
              </w:rPr>
              <w:t>现场开展材料老化实验，收集数据并结合统计学方法或数学模型预测材料在实际使用环境下的寿命</w:t>
            </w:r>
          </w:p>
        </w:tc>
      </w:tr>
      <w:tr w14:paraId="69BA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549" w:type="dxa"/>
            <w:shd w:val="clear" w:color="auto" w:fill="auto"/>
            <w:vAlign w:val="center"/>
          </w:tcPr>
          <w:p w14:paraId="71D25153">
            <w:pPr>
              <w:widowControl/>
              <w:snapToGrid w:val="0"/>
              <w:jc w:val="center"/>
              <w:textAlignment w:val="center"/>
              <w:rPr>
                <w:rFonts w:hint="eastAsia" w:eastAsia="宋体"/>
                <w:color w:val="000000"/>
                <w:sz w:val="18"/>
                <w:szCs w:val="18"/>
                <w:lang w:eastAsia="zh-CN"/>
              </w:rPr>
            </w:pPr>
            <w:r>
              <w:rPr>
                <w:rFonts w:hint="eastAsia"/>
                <w:color w:val="000000"/>
                <w:kern w:val="0"/>
                <w:sz w:val="18"/>
                <w:szCs w:val="18"/>
                <w:lang w:val="en-US" w:eastAsia="zh-CN" w:bidi="ar"/>
              </w:rPr>
              <w:t>8</w:t>
            </w:r>
          </w:p>
        </w:tc>
        <w:tc>
          <w:tcPr>
            <w:tcW w:w="737" w:type="dxa"/>
            <w:vMerge w:val="continue"/>
            <w:shd w:val="clear" w:color="auto" w:fill="auto"/>
            <w:vAlign w:val="center"/>
          </w:tcPr>
          <w:p w14:paraId="2C86C77A">
            <w:pPr>
              <w:widowControl/>
              <w:snapToGrid w:val="0"/>
              <w:jc w:val="center"/>
              <w:rPr>
                <w:color w:val="000000"/>
                <w:sz w:val="18"/>
                <w:szCs w:val="18"/>
              </w:rPr>
            </w:pPr>
          </w:p>
        </w:tc>
        <w:tc>
          <w:tcPr>
            <w:tcW w:w="1545" w:type="dxa"/>
            <w:shd w:val="clear" w:color="auto" w:fill="auto"/>
            <w:noWrap/>
            <w:vAlign w:val="center"/>
          </w:tcPr>
          <w:p w14:paraId="499F6391">
            <w:pPr>
              <w:widowControl/>
              <w:spacing w:line="240" w:lineRule="exact"/>
              <w:jc w:val="center"/>
              <w:rPr>
                <w:color w:val="000000"/>
                <w:sz w:val="18"/>
                <w:szCs w:val="18"/>
              </w:rPr>
            </w:pPr>
            <w:r>
              <w:rPr>
                <w:rFonts w:hint="eastAsia" w:ascii="Times New Roman" w:hAnsi="Times New Roman" w:eastAsia="宋体" w:cs="Times New Roman"/>
                <w:color w:val="auto"/>
                <w:kern w:val="0"/>
                <w:sz w:val="18"/>
                <w:szCs w:val="18"/>
                <w:lang w:val="en-US" w:eastAsia="zh-CN"/>
              </w:rPr>
              <w:t>H</w:t>
            </w:r>
            <w:r>
              <w:rPr>
                <w:rFonts w:hint="eastAsia" w:ascii="Times New Roman" w:hAnsi="Times New Roman" w:eastAsia="宋体" w:cs="Times New Roman"/>
                <w:color w:val="auto"/>
                <w:kern w:val="0"/>
                <w:sz w:val="18"/>
                <w:szCs w:val="18"/>
                <w:vertAlign w:val="subscript"/>
                <w:lang w:val="en-US" w:eastAsia="zh-CN"/>
              </w:rPr>
              <w:t>2</w:t>
            </w:r>
            <w:r>
              <w:rPr>
                <w:rFonts w:hint="eastAsia" w:ascii="Times New Roman" w:hAnsi="Times New Roman" w:eastAsia="宋体" w:cs="Times New Roman"/>
                <w:color w:val="auto"/>
                <w:kern w:val="0"/>
                <w:sz w:val="18"/>
                <w:szCs w:val="18"/>
                <w:lang w:val="en-US" w:eastAsia="zh-CN"/>
              </w:rPr>
              <w:t>S</w:t>
            </w:r>
            <w:r>
              <w:rPr>
                <w:rFonts w:hint="eastAsia" w:ascii="Times New Roman" w:hAnsi="Times New Roman" w:eastAsia="宋体" w:cs="Times New Roman"/>
                <w:color w:val="auto"/>
                <w:sz w:val="18"/>
                <w:szCs w:val="18"/>
                <w:lang w:val="en-US" w:eastAsia="zh-CN"/>
              </w:rPr>
              <w:t>净化效率</w:t>
            </w:r>
          </w:p>
        </w:tc>
        <w:tc>
          <w:tcPr>
            <w:tcW w:w="1729" w:type="dxa"/>
            <w:shd w:val="clear" w:color="auto" w:fill="auto"/>
            <w:vAlign w:val="center"/>
          </w:tcPr>
          <w:p w14:paraId="02BBA020">
            <w:pPr>
              <w:widowControl/>
              <w:snapToGrid w:val="0"/>
              <w:jc w:val="center"/>
              <w:textAlignment w:val="center"/>
              <w:rPr>
                <w:rFonts w:hint="eastAsia"/>
                <w:kern w:val="0"/>
                <w:sz w:val="18"/>
                <w:szCs w:val="18"/>
                <w:lang w:val="en-US" w:eastAsia="zh-CN" w:bidi="ar"/>
              </w:rPr>
            </w:pPr>
            <w:r>
              <w:rPr>
                <w:rFonts w:hint="eastAsia"/>
                <w:kern w:val="0"/>
                <w:sz w:val="18"/>
                <w:szCs w:val="18"/>
                <w:lang w:val="en-US" w:eastAsia="zh-CN" w:bidi="ar"/>
              </w:rPr>
              <w:t>T/CAEPI 29</w:t>
            </w:r>
          </w:p>
        </w:tc>
        <w:tc>
          <w:tcPr>
            <w:tcW w:w="1024" w:type="dxa"/>
            <w:shd w:val="clear" w:color="auto" w:fill="auto"/>
            <w:vAlign w:val="center"/>
          </w:tcPr>
          <w:p w14:paraId="1FC38E4C">
            <w:pPr>
              <w:widowControl/>
              <w:spacing w:line="240" w:lineRule="exact"/>
              <w:jc w:val="center"/>
              <w:rPr>
                <w:color w:val="000000"/>
                <w:sz w:val="18"/>
                <w:szCs w:val="18"/>
              </w:rPr>
            </w:pPr>
            <w:r>
              <w:rPr>
                <w:rFonts w:hint="eastAsia" w:asciiTheme="minorEastAsia" w:hAnsiTheme="minorEastAsia" w:eastAsiaTheme="minorEastAsia" w:cstheme="minorEastAsia"/>
                <w:color w:val="auto"/>
                <w:kern w:val="0"/>
                <w:sz w:val="18"/>
                <w:szCs w:val="18"/>
              </w:rPr>
              <w:t>≥</w:t>
            </w:r>
            <w:r>
              <w:rPr>
                <w:rFonts w:hint="default" w:ascii="Times New Roman" w:hAnsi="Times New Roman" w:eastAsia="宋体" w:cs="Times New Roman"/>
                <w:color w:val="auto"/>
                <w:kern w:val="0"/>
                <w:sz w:val="18"/>
                <w:szCs w:val="18"/>
                <w:lang w:val="en-US" w:eastAsia="zh-CN"/>
              </w:rPr>
              <w:t>99</w:t>
            </w:r>
            <w:r>
              <w:rPr>
                <w:rFonts w:hint="eastAsia" w:cs="Times New Roman"/>
                <w:color w:val="auto"/>
                <w:kern w:val="0"/>
                <w:sz w:val="18"/>
                <w:szCs w:val="18"/>
                <w:lang w:val="en-US" w:eastAsia="zh-CN"/>
              </w:rPr>
              <w:t xml:space="preserve"> </w:t>
            </w:r>
            <w:r>
              <w:rPr>
                <w:rFonts w:hint="default" w:ascii="Times New Roman" w:hAnsi="Times New Roman" w:eastAsia="宋体" w:cs="Times New Roman"/>
                <w:color w:val="auto"/>
                <w:kern w:val="0"/>
                <w:sz w:val="18"/>
                <w:szCs w:val="18"/>
                <w:lang w:val="en-US" w:eastAsia="zh-CN"/>
              </w:rPr>
              <w:t>%</w:t>
            </w:r>
          </w:p>
        </w:tc>
        <w:tc>
          <w:tcPr>
            <w:tcW w:w="1024" w:type="dxa"/>
            <w:shd w:val="clear" w:color="auto" w:fill="auto"/>
            <w:vAlign w:val="center"/>
          </w:tcPr>
          <w:p w14:paraId="28A43FCE">
            <w:pPr>
              <w:pStyle w:val="29"/>
              <w:widowControl/>
              <w:spacing w:line="240" w:lineRule="exact"/>
              <w:ind w:firstLine="0" w:firstLineChars="0"/>
              <w:jc w:val="center"/>
              <w:rPr>
                <w:rFonts w:ascii="Times New Roman"/>
                <w:color w:val="000000"/>
                <w:sz w:val="18"/>
                <w:szCs w:val="18"/>
              </w:rPr>
            </w:pPr>
            <w:r>
              <w:rPr>
                <w:rFonts w:hint="eastAsia" w:asciiTheme="minorEastAsia" w:hAnsiTheme="minorEastAsia" w:eastAsiaTheme="minorEastAsia" w:cstheme="minorEastAsia"/>
                <w:color w:val="auto"/>
                <w:kern w:val="0"/>
                <w:sz w:val="18"/>
                <w:szCs w:val="18"/>
              </w:rPr>
              <w:t>≥</w:t>
            </w:r>
            <w:r>
              <w:rPr>
                <w:rFonts w:hint="eastAsia" w:ascii="Times New Roman" w:hAnsi="Times New Roman" w:eastAsia="宋体" w:cs="Times New Roman"/>
                <w:color w:val="auto"/>
                <w:kern w:val="0"/>
                <w:sz w:val="18"/>
                <w:szCs w:val="18"/>
                <w:lang w:val="en-US" w:eastAsia="zh-CN"/>
              </w:rPr>
              <w:t>95</w:t>
            </w:r>
            <w:r>
              <w:rPr>
                <w:rFonts w:hint="eastAsia" w:ascii="Times New Roman" w:cs="Times New Roman"/>
                <w:color w:val="auto"/>
                <w:kern w:val="0"/>
                <w:sz w:val="18"/>
                <w:szCs w:val="18"/>
                <w:lang w:val="en-US" w:eastAsia="zh-CN"/>
              </w:rPr>
              <w:t xml:space="preserve"> </w:t>
            </w:r>
            <w:r>
              <w:rPr>
                <w:rFonts w:hint="eastAsia" w:ascii="Times New Roman" w:hAnsi="Times New Roman" w:eastAsia="宋体" w:cs="Times New Roman"/>
                <w:color w:val="auto"/>
                <w:kern w:val="0"/>
                <w:sz w:val="18"/>
                <w:szCs w:val="18"/>
                <w:lang w:val="en-US" w:eastAsia="zh-CN"/>
              </w:rPr>
              <w:t>%</w:t>
            </w:r>
          </w:p>
        </w:tc>
        <w:tc>
          <w:tcPr>
            <w:tcW w:w="1026" w:type="dxa"/>
            <w:shd w:val="clear" w:color="auto" w:fill="auto"/>
            <w:vAlign w:val="center"/>
          </w:tcPr>
          <w:p w14:paraId="66CB2C9A">
            <w:pPr>
              <w:pStyle w:val="29"/>
              <w:spacing w:line="240" w:lineRule="exact"/>
              <w:ind w:firstLine="0" w:firstLineChars="0"/>
              <w:jc w:val="center"/>
              <w:rPr>
                <w:rFonts w:ascii="Times New Roman"/>
                <w:color w:val="000000"/>
                <w:sz w:val="18"/>
                <w:szCs w:val="18"/>
              </w:rPr>
            </w:pPr>
            <w:r>
              <w:rPr>
                <w:rFonts w:hint="eastAsia" w:asciiTheme="minorEastAsia" w:hAnsiTheme="minorEastAsia" w:eastAsiaTheme="minorEastAsia" w:cstheme="minorEastAsia"/>
                <w:color w:val="auto"/>
                <w:kern w:val="0"/>
                <w:sz w:val="18"/>
                <w:szCs w:val="18"/>
              </w:rPr>
              <w:t>≥</w:t>
            </w:r>
            <w:r>
              <w:rPr>
                <w:rFonts w:hint="eastAsia" w:ascii="Times New Roman" w:hAnsi="Times New Roman" w:eastAsia="宋体" w:cs="Times New Roman"/>
                <w:color w:val="auto"/>
                <w:kern w:val="0"/>
                <w:sz w:val="18"/>
                <w:szCs w:val="18"/>
                <w:lang w:val="en-US" w:eastAsia="zh-CN"/>
              </w:rPr>
              <w:t>90</w:t>
            </w:r>
            <w:r>
              <w:rPr>
                <w:rFonts w:hint="eastAsia" w:ascii="Times New Roman" w:cs="Times New Roman"/>
                <w:color w:val="auto"/>
                <w:kern w:val="0"/>
                <w:sz w:val="18"/>
                <w:szCs w:val="18"/>
                <w:lang w:val="en-US" w:eastAsia="zh-CN"/>
              </w:rPr>
              <w:t xml:space="preserve"> </w:t>
            </w:r>
            <w:r>
              <w:rPr>
                <w:rFonts w:hint="eastAsia" w:ascii="Times New Roman" w:hAnsi="Times New Roman" w:eastAsia="宋体" w:cs="Times New Roman"/>
                <w:color w:val="auto"/>
                <w:kern w:val="0"/>
                <w:sz w:val="18"/>
                <w:szCs w:val="18"/>
                <w:lang w:val="en-US" w:eastAsia="zh-CN"/>
              </w:rPr>
              <w:t>%</w:t>
            </w:r>
          </w:p>
        </w:tc>
        <w:tc>
          <w:tcPr>
            <w:tcW w:w="2049" w:type="dxa"/>
            <w:shd w:val="clear" w:color="auto" w:fill="auto"/>
            <w:vAlign w:val="center"/>
          </w:tcPr>
          <w:p w14:paraId="0550041C">
            <w:pPr>
              <w:widowControl/>
              <w:spacing w:line="240" w:lineRule="exact"/>
              <w:jc w:val="center"/>
              <w:rPr>
                <w:color w:val="000000"/>
                <w:sz w:val="18"/>
                <w:szCs w:val="18"/>
              </w:rPr>
            </w:pPr>
            <w:r>
              <w:rPr>
                <w:rFonts w:hint="eastAsia" w:ascii="Times New Roman" w:hAnsi="Times New Roman" w:eastAsia="宋体" w:cs="Times New Roman"/>
                <w:color w:val="auto"/>
                <w:sz w:val="18"/>
                <w:szCs w:val="18"/>
                <w:lang w:val="en-US" w:eastAsia="zh-CN"/>
              </w:rPr>
              <w:t>现场根据总进气量和总出气量以及对应浓度计算</w:t>
            </w:r>
          </w:p>
        </w:tc>
      </w:tr>
      <w:tr w14:paraId="4200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549" w:type="dxa"/>
            <w:shd w:val="clear" w:color="auto" w:fill="auto"/>
            <w:vAlign w:val="center"/>
          </w:tcPr>
          <w:p w14:paraId="2F8A2FBF">
            <w:pPr>
              <w:widowControl/>
              <w:snapToGrid w:val="0"/>
              <w:jc w:val="center"/>
              <w:textAlignment w:val="center"/>
              <w:rPr>
                <w:rFonts w:hint="default"/>
                <w:color w:val="000000"/>
                <w:kern w:val="0"/>
                <w:sz w:val="18"/>
                <w:szCs w:val="18"/>
                <w:lang w:val="en-US" w:eastAsia="zh-CN" w:bidi="ar"/>
              </w:rPr>
            </w:pPr>
            <w:r>
              <w:rPr>
                <w:rFonts w:hint="eastAsia"/>
                <w:color w:val="000000"/>
                <w:kern w:val="0"/>
                <w:sz w:val="18"/>
                <w:szCs w:val="18"/>
                <w:lang w:val="en-US" w:eastAsia="zh-CN" w:bidi="ar"/>
              </w:rPr>
              <w:t>9</w:t>
            </w:r>
          </w:p>
        </w:tc>
        <w:tc>
          <w:tcPr>
            <w:tcW w:w="737" w:type="dxa"/>
            <w:vMerge w:val="continue"/>
            <w:shd w:val="clear" w:color="auto" w:fill="auto"/>
            <w:vAlign w:val="center"/>
          </w:tcPr>
          <w:p w14:paraId="43FE9417">
            <w:pPr>
              <w:widowControl/>
              <w:snapToGrid w:val="0"/>
              <w:jc w:val="center"/>
              <w:rPr>
                <w:color w:val="000000"/>
                <w:sz w:val="18"/>
                <w:szCs w:val="18"/>
              </w:rPr>
            </w:pPr>
          </w:p>
        </w:tc>
        <w:tc>
          <w:tcPr>
            <w:tcW w:w="1545" w:type="dxa"/>
            <w:shd w:val="clear" w:color="auto" w:fill="auto"/>
            <w:noWrap/>
            <w:vAlign w:val="center"/>
          </w:tcPr>
          <w:p w14:paraId="2DB7811C">
            <w:pPr>
              <w:widowControl/>
              <w:spacing w:line="240" w:lineRule="exact"/>
              <w:jc w:val="center"/>
              <w:rPr>
                <w:rFonts w:hint="eastAsia"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醇酯类</w:t>
            </w:r>
            <w:r>
              <w:rPr>
                <w:rFonts w:hint="eastAsia" w:ascii="Times New Roman" w:hAnsi="Times New Roman" w:eastAsia="宋体" w:cs="Times New Roman"/>
                <w:color w:val="auto"/>
                <w:sz w:val="18"/>
                <w:szCs w:val="18"/>
                <w:lang w:val="en-US" w:eastAsia="zh-CN"/>
              </w:rPr>
              <w:t>净化效率</w:t>
            </w:r>
          </w:p>
        </w:tc>
        <w:tc>
          <w:tcPr>
            <w:tcW w:w="1729" w:type="dxa"/>
            <w:shd w:val="clear" w:color="auto" w:fill="auto"/>
            <w:vAlign w:val="center"/>
          </w:tcPr>
          <w:p w14:paraId="4004EDE6">
            <w:pPr>
              <w:widowControl/>
              <w:snapToGrid w:val="0"/>
              <w:jc w:val="center"/>
              <w:textAlignment w:val="center"/>
              <w:rPr>
                <w:rFonts w:hint="eastAsia"/>
                <w:kern w:val="0"/>
                <w:sz w:val="18"/>
                <w:szCs w:val="18"/>
                <w:lang w:val="en-US" w:eastAsia="zh-CN" w:bidi="ar"/>
              </w:rPr>
            </w:pPr>
            <w:r>
              <w:rPr>
                <w:rFonts w:hint="eastAsia"/>
                <w:kern w:val="0"/>
                <w:sz w:val="18"/>
                <w:szCs w:val="18"/>
                <w:lang w:val="en-US" w:eastAsia="zh-CN" w:bidi="ar"/>
              </w:rPr>
              <w:t>T/CAEPI 29</w:t>
            </w:r>
          </w:p>
        </w:tc>
        <w:tc>
          <w:tcPr>
            <w:tcW w:w="1024" w:type="dxa"/>
            <w:shd w:val="clear" w:color="auto" w:fill="auto"/>
            <w:vAlign w:val="center"/>
          </w:tcPr>
          <w:p w14:paraId="323F9A59">
            <w:pPr>
              <w:widowControl/>
              <w:spacing w:line="240" w:lineRule="exact"/>
              <w:jc w:val="center"/>
              <w:rPr>
                <w:rFonts w:hint="eastAsia" w:ascii="Times New Roman" w:hAnsi="Times New Roman" w:eastAsia="宋体" w:cs="Times New Roman"/>
                <w:color w:val="auto"/>
                <w:kern w:val="0"/>
                <w:sz w:val="18"/>
                <w:szCs w:val="18"/>
                <w:lang w:val="en-US" w:eastAsia="zh-CN"/>
              </w:rPr>
            </w:pPr>
            <w:r>
              <w:rPr>
                <w:rFonts w:hint="eastAsia" w:asciiTheme="minorEastAsia" w:hAnsiTheme="minorEastAsia" w:eastAsiaTheme="minorEastAsia" w:cstheme="minorEastAsia"/>
                <w:color w:val="auto"/>
                <w:kern w:val="0"/>
                <w:sz w:val="18"/>
                <w:szCs w:val="18"/>
              </w:rPr>
              <w:t>≥</w:t>
            </w:r>
            <w:r>
              <w:rPr>
                <w:rFonts w:hint="default" w:ascii="Times New Roman" w:hAnsi="Times New Roman" w:eastAsia="宋体" w:cs="Times New Roman"/>
                <w:color w:val="auto"/>
                <w:kern w:val="0"/>
                <w:sz w:val="18"/>
                <w:szCs w:val="18"/>
                <w:lang w:val="en-US" w:eastAsia="zh-CN"/>
              </w:rPr>
              <w:t>95</w:t>
            </w:r>
            <w:r>
              <w:rPr>
                <w:rFonts w:hint="eastAsia" w:cs="Times New Roman"/>
                <w:color w:val="auto"/>
                <w:kern w:val="0"/>
                <w:sz w:val="18"/>
                <w:szCs w:val="18"/>
                <w:lang w:val="en-US" w:eastAsia="zh-CN"/>
              </w:rPr>
              <w:t xml:space="preserve"> </w:t>
            </w:r>
            <w:r>
              <w:rPr>
                <w:rFonts w:hint="default" w:ascii="Times New Roman" w:hAnsi="Times New Roman" w:eastAsia="宋体" w:cs="Times New Roman"/>
                <w:color w:val="auto"/>
                <w:kern w:val="0"/>
                <w:sz w:val="18"/>
                <w:szCs w:val="18"/>
                <w:lang w:val="en-US" w:eastAsia="zh-CN"/>
              </w:rPr>
              <w:t>%</w:t>
            </w:r>
          </w:p>
        </w:tc>
        <w:tc>
          <w:tcPr>
            <w:tcW w:w="1024" w:type="dxa"/>
            <w:shd w:val="clear" w:color="auto" w:fill="auto"/>
            <w:vAlign w:val="center"/>
          </w:tcPr>
          <w:p w14:paraId="1BDD8AFC">
            <w:pPr>
              <w:widowControl/>
              <w:spacing w:line="240" w:lineRule="exact"/>
              <w:jc w:val="center"/>
              <w:rPr>
                <w:rFonts w:hint="eastAsia" w:ascii="Times New Roman" w:hAnsi="Times New Roman" w:eastAsia="宋体" w:cs="Times New Roman"/>
                <w:color w:val="auto"/>
                <w:kern w:val="0"/>
                <w:sz w:val="18"/>
                <w:szCs w:val="18"/>
                <w:lang w:val="en-US" w:eastAsia="zh-CN"/>
              </w:rPr>
            </w:pPr>
            <w:r>
              <w:rPr>
                <w:rFonts w:hint="eastAsia" w:asciiTheme="minorEastAsia" w:hAnsiTheme="minorEastAsia" w:eastAsiaTheme="minorEastAsia" w:cstheme="minorEastAsia"/>
                <w:color w:val="auto"/>
                <w:kern w:val="0"/>
                <w:sz w:val="18"/>
                <w:szCs w:val="18"/>
              </w:rPr>
              <w:t>≥</w:t>
            </w:r>
            <w:r>
              <w:rPr>
                <w:rFonts w:hint="default" w:ascii="Times New Roman" w:hAnsi="Times New Roman" w:eastAsia="宋体" w:cs="Times New Roman"/>
                <w:color w:val="auto"/>
                <w:kern w:val="0"/>
                <w:sz w:val="18"/>
                <w:szCs w:val="18"/>
                <w:lang w:val="en-US" w:eastAsia="zh-CN"/>
              </w:rPr>
              <w:t>90</w:t>
            </w:r>
            <w:r>
              <w:rPr>
                <w:rFonts w:hint="eastAsia" w:cs="Times New Roman"/>
                <w:color w:val="auto"/>
                <w:kern w:val="0"/>
                <w:sz w:val="18"/>
                <w:szCs w:val="18"/>
                <w:lang w:val="en-US" w:eastAsia="zh-CN"/>
              </w:rPr>
              <w:t xml:space="preserve"> </w:t>
            </w:r>
            <w:r>
              <w:rPr>
                <w:rFonts w:hint="default" w:ascii="Times New Roman" w:hAnsi="Times New Roman" w:eastAsia="宋体" w:cs="Times New Roman"/>
                <w:color w:val="auto"/>
                <w:kern w:val="0"/>
                <w:sz w:val="18"/>
                <w:szCs w:val="18"/>
                <w:lang w:val="en-US" w:eastAsia="zh-CN"/>
              </w:rPr>
              <w:t>%</w:t>
            </w:r>
          </w:p>
        </w:tc>
        <w:tc>
          <w:tcPr>
            <w:tcW w:w="1026" w:type="dxa"/>
            <w:shd w:val="clear" w:color="auto" w:fill="auto"/>
            <w:vAlign w:val="center"/>
          </w:tcPr>
          <w:p w14:paraId="063F2572">
            <w:pPr>
              <w:pStyle w:val="29"/>
              <w:spacing w:line="240" w:lineRule="exact"/>
              <w:ind w:firstLine="0" w:firstLineChars="0"/>
              <w:jc w:val="center"/>
              <w:rPr>
                <w:rFonts w:hint="eastAsia" w:ascii="Times New Roman" w:hAnsi="Times New Roman" w:eastAsia="宋体" w:cs="Times New Roman"/>
                <w:color w:val="auto"/>
                <w:kern w:val="0"/>
                <w:sz w:val="18"/>
                <w:szCs w:val="18"/>
                <w:lang w:val="en-US" w:eastAsia="zh-CN"/>
              </w:rPr>
            </w:pPr>
            <w:r>
              <w:rPr>
                <w:rFonts w:hint="eastAsia" w:asciiTheme="minorEastAsia" w:hAnsiTheme="minorEastAsia" w:eastAsiaTheme="minorEastAsia" w:cstheme="minorEastAsia"/>
                <w:color w:val="auto"/>
                <w:kern w:val="0"/>
                <w:sz w:val="18"/>
                <w:szCs w:val="18"/>
              </w:rPr>
              <w:t>≥</w:t>
            </w:r>
            <w:r>
              <w:rPr>
                <w:rFonts w:hint="default" w:ascii="Times New Roman" w:hAnsi="Times New Roman" w:eastAsia="宋体" w:cs="Times New Roman"/>
                <w:color w:val="auto"/>
                <w:kern w:val="0"/>
                <w:sz w:val="18"/>
                <w:szCs w:val="18"/>
                <w:lang w:val="en-US" w:eastAsia="zh-CN"/>
              </w:rPr>
              <w:t>85</w:t>
            </w:r>
            <w:r>
              <w:rPr>
                <w:rFonts w:hint="eastAsia" w:ascii="Times New Roman" w:cs="Times New Roman"/>
                <w:color w:val="auto"/>
                <w:kern w:val="0"/>
                <w:sz w:val="18"/>
                <w:szCs w:val="18"/>
                <w:lang w:val="en-US" w:eastAsia="zh-CN"/>
              </w:rPr>
              <w:t xml:space="preserve"> </w:t>
            </w:r>
            <w:r>
              <w:rPr>
                <w:rFonts w:hint="default" w:ascii="Times New Roman" w:hAnsi="Times New Roman" w:eastAsia="宋体" w:cs="Times New Roman"/>
                <w:color w:val="auto"/>
                <w:kern w:val="0"/>
                <w:sz w:val="18"/>
                <w:szCs w:val="18"/>
                <w:lang w:val="en-US" w:eastAsia="zh-CN"/>
              </w:rPr>
              <w:t>%</w:t>
            </w:r>
          </w:p>
        </w:tc>
        <w:tc>
          <w:tcPr>
            <w:tcW w:w="2049" w:type="dxa"/>
            <w:shd w:val="clear" w:color="auto" w:fill="auto"/>
            <w:vAlign w:val="center"/>
          </w:tcPr>
          <w:p w14:paraId="09AA680F">
            <w:pPr>
              <w:widowControl/>
              <w:spacing w:line="24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现场根据总进气量和总出气量以及对应浓度计算</w:t>
            </w:r>
          </w:p>
        </w:tc>
      </w:tr>
      <w:tr w14:paraId="7E62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9" w:type="dxa"/>
            <w:shd w:val="clear" w:color="auto" w:fill="auto"/>
            <w:vAlign w:val="center"/>
          </w:tcPr>
          <w:p w14:paraId="05C412DC">
            <w:pPr>
              <w:widowControl/>
              <w:snapToGrid w:val="0"/>
              <w:jc w:val="center"/>
              <w:textAlignment w:val="center"/>
              <w:rPr>
                <w:rFonts w:hint="default"/>
                <w:color w:val="000000"/>
                <w:kern w:val="0"/>
                <w:sz w:val="18"/>
                <w:szCs w:val="18"/>
                <w:lang w:val="en-US" w:eastAsia="zh-CN" w:bidi="ar"/>
              </w:rPr>
            </w:pPr>
            <w:r>
              <w:rPr>
                <w:rFonts w:hint="eastAsia"/>
                <w:color w:val="000000"/>
                <w:kern w:val="0"/>
                <w:sz w:val="18"/>
                <w:szCs w:val="18"/>
                <w:lang w:val="en-US" w:eastAsia="zh-CN" w:bidi="ar"/>
              </w:rPr>
              <w:t>10</w:t>
            </w:r>
          </w:p>
        </w:tc>
        <w:tc>
          <w:tcPr>
            <w:tcW w:w="737" w:type="dxa"/>
            <w:vMerge w:val="continue"/>
            <w:shd w:val="clear" w:color="auto" w:fill="auto"/>
            <w:vAlign w:val="center"/>
          </w:tcPr>
          <w:p w14:paraId="306050EA">
            <w:pPr>
              <w:widowControl/>
              <w:snapToGrid w:val="0"/>
              <w:jc w:val="center"/>
              <w:rPr>
                <w:color w:val="000000"/>
                <w:sz w:val="18"/>
                <w:szCs w:val="18"/>
              </w:rPr>
            </w:pPr>
          </w:p>
        </w:tc>
        <w:tc>
          <w:tcPr>
            <w:tcW w:w="1545" w:type="dxa"/>
            <w:shd w:val="clear" w:color="auto" w:fill="auto"/>
            <w:noWrap/>
            <w:vAlign w:val="center"/>
          </w:tcPr>
          <w:p w14:paraId="0BF6E672">
            <w:pPr>
              <w:widowControl/>
              <w:spacing w:line="240" w:lineRule="exact"/>
              <w:jc w:val="center"/>
              <w:rPr>
                <w:rFonts w:hint="eastAsia"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0"/>
                <w:sz w:val="18"/>
                <w:szCs w:val="18"/>
                <w:lang w:val="en-US" w:eastAsia="zh-CN"/>
              </w:rPr>
              <w:t>苯系物</w:t>
            </w:r>
            <w:r>
              <w:rPr>
                <w:rFonts w:hint="eastAsia" w:ascii="Times New Roman" w:hAnsi="Times New Roman" w:eastAsia="宋体" w:cs="Times New Roman"/>
                <w:color w:val="auto"/>
                <w:sz w:val="18"/>
                <w:szCs w:val="18"/>
                <w:lang w:val="en-US" w:eastAsia="zh-CN"/>
              </w:rPr>
              <w:t>净化效率</w:t>
            </w:r>
          </w:p>
        </w:tc>
        <w:tc>
          <w:tcPr>
            <w:tcW w:w="1729" w:type="dxa"/>
            <w:shd w:val="clear" w:color="auto" w:fill="auto"/>
            <w:vAlign w:val="center"/>
          </w:tcPr>
          <w:p w14:paraId="6F7EB338">
            <w:pPr>
              <w:widowControl/>
              <w:snapToGrid w:val="0"/>
              <w:jc w:val="center"/>
              <w:textAlignment w:val="center"/>
              <w:rPr>
                <w:rFonts w:hint="eastAsia"/>
                <w:kern w:val="0"/>
                <w:sz w:val="18"/>
                <w:szCs w:val="18"/>
                <w:lang w:val="en-US" w:eastAsia="zh-CN" w:bidi="ar"/>
              </w:rPr>
            </w:pPr>
            <w:r>
              <w:rPr>
                <w:rFonts w:hint="eastAsia"/>
                <w:kern w:val="0"/>
                <w:sz w:val="18"/>
                <w:szCs w:val="18"/>
                <w:lang w:val="en-US" w:eastAsia="zh-CN" w:bidi="ar"/>
              </w:rPr>
              <w:t>T/CAEPI 29</w:t>
            </w:r>
          </w:p>
        </w:tc>
        <w:tc>
          <w:tcPr>
            <w:tcW w:w="1024" w:type="dxa"/>
            <w:shd w:val="clear" w:color="auto" w:fill="auto"/>
            <w:vAlign w:val="center"/>
          </w:tcPr>
          <w:p w14:paraId="00FA1A35">
            <w:pPr>
              <w:widowControl/>
              <w:spacing w:line="240" w:lineRule="exact"/>
              <w:jc w:val="center"/>
              <w:rPr>
                <w:rFonts w:hint="eastAsia" w:ascii="Times New Roman" w:hAnsi="Times New Roman" w:eastAsia="宋体" w:cs="Times New Roman"/>
                <w:color w:val="auto"/>
                <w:kern w:val="0"/>
                <w:sz w:val="18"/>
                <w:szCs w:val="18"/>
                <w:lang w:val="en-US" w:eastAsia="zh-CN"/>
              </w:rPr>
            </w:pPr>
            <w:r>
              <w:rPr>
                <w:rFonts w:hint="eastAsia" w:asciiTheme="minorEastAsia" w:hAnsiTheme="minorEastAsia" w:eastAsiaTheme="minorEastAsia" w:cstheme="minorEastAsia"/>
                <w:color w:val="auto"/>
                <w:kern w:val="0"/>
                <w:sz w:val="18"/>
                <w:szCs w:val="18"/>
              </w:rPr>
              <w:t>≥</w:t>
            </w:r>
            <w:r>
              <w:rPr>
                <w:rFonts w:hint="default" w:ascii="Times New Roman" w:hAnsi="Times New Roman" w:eastAsia="宋体" w:cs="Times New Roman"/>
                <w:color w:val="auto"/>
                <w:kern w:val="0"/>
                <w:sz w:val="18"/>
                <w:szCs w:val="18"/>
                <w:lang w:val="en-US" w:eastAsia="zh-CN"/>
              </w:rPr>
              <w:t>80</w:t>
            </w:r>
            <w:r>
              <w:rPr>
                <w:rFonts w:hint="eastAsia" w:cs="Times New Roman"/>
                <w:color w:val="auto"/>
                <w:kern w:val="0"/>
                <w:sz w:val="18"/>
                <w:szCs w:val="18"/>
                <w:lang w:val="en-US" w:eastAsia="zh-CN"/>
              </w:rPr>
              <w:t xml:space="preserve"> </w:t>
            </w:r>
            <w:r>
              <w:rPr>
                <w:rFonts w:hint="default" w:ascii="Times New Roman" w:hAnsi="Times New Roman" w:eastAsia="宋体" w:cs="Times New Roman"/>
                <w:color w:val="auto"/>
                <w:kern w:val="0"/>
                <w:sz w:val="18"/>
                <w:szCs w:val="18"/>
                <w:lang w:val="en-US" w:eastAsia="zh-CN"/>
              </w:rPr>
              <w:t>%</w:t>
            </w:r>
          </w:p>
        </w:tc>
        <w:tc>
          <w:tcPr>
            <w:tcW w:w="1024" w:type="dxa"/>
            <w:shd w:val="clear" w:color="auto" w:fill="auto"/>
            <w:vAlign w:val="center"/>
          </w:tcPr>
          <w:p w14:paraId="45B01237">
            <w:pPr>
              <w:widowControl/>
              <w:spacing w:line="240" w:lineRule="exact"/>
              <w:jc w:val="center"/>
              <w:rPr>
                <w:rFonts w:hint="eastAsia" w:ascii="Times New Roman" w:hAnsi="Times New Roman" w:eastAsia="宋体" w:cs="Times New Roman"/>
                <w:color w:val="auto"/>
                <w:kern w:val="0"/>
                <w:sz w:val="18"/>
                <w:szCs w:val="18"/>
                <w:lang w:val="en-US" w:eastAsia="zh-CN"/>
              </w:rPr>
            </w:pPr>
            <w:r>
              <w:rPr>
                <w:rFonts w:hint="eastAsia" w:asciiTheme="minorEastAsia" w:hAnsiTheme="minorEastAsia" w:eastAsiaTheme="minorEastAsia" w:cstheme="minorEastAsia"/>
                <w:color w:val="auto"/>
                <w:kern w:val="0"/>
                <w:sz w:val="18"/>
                <w:szCs w:val="18"/>
              </w:rPr>
              <w:t>≥</w:t>
            </w:r>
            <w:r>
              <w:rPr>
                <w:rFonts w:hint="default" w:ascii="Times New Roman" w:hAnsi="Times New Roman" w:eastAsia="宋体" w:cs="Times New Roman"/>
                <w:color w:val="auto"/>
                <w:kern w:val="0"/>
                <w:sz w:val="18"/>
                <w:szCs w:val="18"/>
                <w:lang w:val="en-US" w:eastAsia="zh-CN"/>
              </w:rPr>
              <w:t>70</w:t>
            </w:r>
            <w:r>
              <w:rPr>
                <w:rFonts w:hint="eastAsia" w:cs="Times New Roman"/>
                <w:color w:val="auto"/>
                <w:kern w:val="0"/>
                <w:sz w:val="18"/>
                <w:szCs w:val="18"/>
                <w:lang w:val="en-US" w:eastAsia="zh-CN"/>
              </w:rPr>
              <w:t xml:space="preserve"> </w:t>
            </w:r>
            <w:r>
              <w:rPr>
                <w:rFonts w:hint="default" w:ascii="Times New Roman" w:hAnsi="Times New Roman" w:eastAsia="宋体" w:cs="Times New Roman"/>
                <w:color w:val="auto"/>
                <w:kern w:val="0"/>
                <w:sz w:val="18"/>
                <w:szCs w:val="18"/>
                <w:lang w:val="en-US" w:eastAsia="zh-CN"/>
              </w:rPr>
              <w:t>%</w:t>
            </w:r>
          </w:p>
        </w:tc>
        <w:tc>
          <w:tcPr>
            <w:tcW w:w="1026" w:type="dxa"/>
            <w:shd w:val="clear" w:color="auto" w:fill="auto"/>
            <w:vAlign w:val="center"/>
          </w:tcPr>
          <w:p w14:paraId="624B217C">
            <w:pPr>
              <w:pStyle w:val="29"/>
              <w:spacing w:line="240" w:lineRule="exact"/>
              <w:ind w:firstLine="0" w:firstLineChars="0"/>
              <w:jc w:val="center"/>
              <w:rPr>
                <w:rFonts w:hint="eastAsia" w:ascii="Times New Roman" w:hAnsi="Times New Roman" w:eastAsia="宋体" w:cs="Times New Roman"/>
                <w:color w:val="auto"/>
                <w:kern w:val="0"/>
                <w:sz w:val="18"/>
                <w:szCs w:val="18"/>
                <w:lang w:val="en-US" w:eastAsia="zh-CN"/>
              </w:rPr>
            </w:pPr>
            <w:r>
              <w:rPr>
                <w:rFonts w:hint="eastAsia" w:asciiTheme="minorEastAsia" w:hAnsiTheme="minorEastAsia" w:eastAsiaTheme="minorEastAsia" w:cstheme="minorEastAsia"/>
                <w:color w:val="auto"/>
                <w:kern w:val="0"/>
                <w:sz w:val="18"/>
                <w:szCs w:val="18"/>
              </w:rPr>
              <w:t>≥</w:t>
            </w:r>
            <w:r>
              <w:rPr>
                <w:rFonts w:hint="default" w:ascii="Times New Roman" w:hAnsi="Times New Roman" w:eastAsia="宋体" w:cs="Times New Roman"/>
                <w:color w:val="auto"/>
                <w:kern w:val="0"/>
                <w:sz w:val="18"/>
                <w:szCs w:val="18"/>
                <w:lang w:val="en-US" w:eastAsia="zh-CN"/>
              </w:rPr>
              <w:t>60</w:t>
            </w:r>
            <w:r>
              <w:rPr>
                <w:rFonts w:hint="eastAsia" w:ascii="Times New Roman" w:cs="Times New Roman"/>
                <w:color w:val="auto"/>
                <w:kern w:val="0"/>
                <w:sz w:val="18"/>
                <w:szCs w:val="18"/>
                <w:lang w:val="en-US" w:eastAsia="zh-CN"/>
              </w:rPr>
              <w:t xml:space="preserve"> </w:t>
            </w:r>
            <w:r>
              <w:rPr>
                <w:rFonts w:hint="default" w:ascii="Times New Roman" w:hAnsi="Times New Roman" w:eastAsia="宋体" w:cs="Times New Roman"/>
                <w:color w:val="auto"/>
                <w:kern w:val="0"/>
                <w:sz w:val="18"/>
                <w:szCs w:val="18"/>
                <w:lang w:val="en-US" w:eastAsia="zh-CN"/>
              </w:rPr>
              <w:t>%</w:t>
            </w:r>
          </w:p>
        </w:tc>
        <w:tc>
          <w:tcPr>
            <w:tcW w:w="2049" w:type="dxa"/>
            <w:shd w:val="clear" w:color="auto" w:fill="auto"/>
            <w:vAlign w:val="center"/>
          </w:tcPr>
          <w:p w14:paraId="62DB670B">
            <w:pPr>
              <w:widowControl/>
              <w:spacing w:line="24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现场根据总进气量和总出气量以及对应浓度计算</w:t>
            </w:r>
          </w:p>
        </w:tc>
      </w:tr>
      <w:tr w14:paraId="36CB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9" w:type="dxa"/>
            <w:shd w:val="clear" w:color="auto" w:fill="auto"/>
            <w:vAlign w:val="center"/>
          </w:tcPr>
          <w:p w14:paraId="5A4D8BCE">
            <w:pPr>
              <w:widowControl/>
              <w:snapToGrid w:val="0"/>
              <w:jc w:val="center"/>
              <w:textAlignment w:val="center"/>
              <w:rPr>
                <w:rFonts w:hint="default" w:eastAsia="宋体"/>
                <w:color w:val="000000"/>
                <w:kern w:val="0"/>
                <w:sz w:val="18"/>
                <w:szCs w:val="18"/>
                <w:lang w:val="en-US" w:eastAsia="zh-CN" w:bidi="ar"/>
              </w:rPr>
            </w:pPr>
            <w:r>
              <w:rPr>
                <w:rFonts w:hint="eastAsia"/>
                <w:color w:val="000000"/>
                <w:kern w:val="0"/>
                <w:sz w:val="18"/>
                <w:szCs w:val="18"/>
                <w:lang w:val="en-US" w:eastAsia="zh-CN" w:bidi="ar"/>
              </w:rPr>
              <w:t>11</w:t>
            </w:r>
          </w:p>
        </w:tc>
        <w:tc>
          <w:tcPr>
            <w:tcW w:w="737" w:type="dxa"/>
            <w:vMerge w:val="continue"/>
            <w:shd w:val="clear" w:color="auto" w:fill="auto"/>
            <w:vAlign w:val="center"/>
          </w:tcPr>
          <w:p w14:paraId="052BF32B">
            <w:pPr>
              <w:widowControl/>
              <w:snapToGrid w:val="0"/>
              <w:jc w:val="center"/>
              <w:rPr>
                <w:color w:val="000000"/>
                <w:sz w:val="18"/>
                <w:szCs w:val="18"/>
              </w:rPr>
            </w:pPr>
          </w:p>
        </w:tc>
        <w:tc>
          <w:tcPr>
            <w:tcW w:w="1545" w:type="dxa"/>
            <w:shd w:val="clear" w:color="auto" w:fill="auto"/>
            <w:noWrap/>
            <w:vAlign w:val="center"/>
          </w:tcPr>
          <w:p w14:paraId="298420E5">
            <w:pPr>
              <w:widowControl/>
              <w:spacing w:line="240" w:lineRule="exact"/>
              <w:jc w:val="center"/>
              <w:rPr>
                <w:rFonts w:hint="eastAsia"/>
                <w:color w:val="000000"/>
                <w:kern w:val="0"/>
                <w:sz w:val="18"/>
                <w:szCs w:val="18"/>
                <w:lang w:bidi="ar"/>
              </w:rPr>
            </w:pPr>
            <w:r>
              <w:rPr>
                <w:rFonts w:hint="eastAsia" w:ascii="宋体" w:hAnsi="宋体" w:eastAsia="宋体" w:cs="Times New Roman"/>
                <w:color w:val="auto"/>
                <w:sz w:val="18"/>
                <w:szCs w:val="18"/>
                <w:lang w:val="en-US" w:eastAsia="zh-CN"/>
              </w:rPr>
              <w:t>填料使用寿命</w:t>
            </w:r>
          </w:p>
        </w:tc>
        <w:tc>
          <w:tcPr>
            <w:tcW w:w="1729" w:type="dxa"/>
            <w:shd w:val="clear" w:color="auto" w:fill="auto"/>
            <w:vAlign w:val="center"/>
          </w:tcPr>
          <w:p w14:paraId="75636561">
            <w:pPr>
              <w:widowControl/>
              <w:snapToGrid w:val="0"/>
              <w:jc w:val="center"/>
              <w:textAlignment w:val="center"/>
              <w:rPr>
                <w:rFonts w:hint="eastAsia"/>
                <w:kern w:val="0"/>
                <w:sz w:val="18"/>
                <w:szCs w:val="18"/>
                <w:lang w:val="en-US" w:eastAsia="zh-CN" w:bidi="ar"/>
              </w:rPr>
            </w:pPr>
            <w:r>
              <w:rPr>
                <w:rFonts w:hint="eastAsia"/>
                <w:kern w:val="0"/>
                <w:sz w:val="18"/>
                <w:szCs w:val="18"/>
                <w:lang w:val="en-US" w:eastAsia="zh-CN" w:bidi="ar"/>
              </w:rPr>
              <w:t>T/CAEPI 29</w:t>
            </w:r>
          </w:p>
        </w:tc>
        <w:tc>
          <w:tcPr>
            <w:tcW w:w="1024" w:type="dxa"/>
            <w:shd w:val="clear" w:color="auto" w:fill="auto"/>
            <w:vAlign w:val="center"/>
          </w:tcPr>
          <w:p w14:paraId="5FF8D809">
            <w:pPr>
              <w:pStyle w:val="29"/>
              <w:keepNext w:val="0"/>
              <w:keepLines w:val="0"/>
              <w:pageBreakBefore w:val="0"/>
              <w:widowControl/>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生物洗涤和滴滤用填料≤10年</w:t>
            </w:r>
          </w:p>
          <w:p w14:paraId="04284069">
            <w:pPr>
              <w:widowControl/>
              <w:spacing w:line="240" w:lineRule="exact"/>
              <w:jc w:val="center"/>
              <w:rPr>
                <w:rFonts w:hint="eastAsia"/>
                <w:kern w:val="0"/>
                <w:sz w:val="18"/>
                <w:szCs w:val="18"/>
                <w:lang w:bidi="ar"/>
              </w:rPr>
            </w:pPr>
            <w:r>
              <w:rPr>
                <w:rFonts w:hint="eastAsia" w:ascii="Times New Roman" w:hAnsi="Times New Roman" w:cs="Times New Roman"/>
                <w:color w:val="auto"/>
                <w:sz w:val="18"/>
                <w:szCs w:val="18"/>
                <w:lang w:val="en-US" w:eastAsia="zh-CN"/>
              </w:rPr>
              <w:t>生物过滤用填料≤7年</w:t>
            </w:r>
          </w:p>
        </w:tc>
        <w:tc>
          <w:tcPr>
            <w:tcW w:w="1024" w:type="dxa"/>
            <w:shd w:val="clear" w:color="auto" w:fill="auto"/>
            <w:vAlign w:val="center"/>
          </w:tcPr>
          <w:p w14:paraId="03EBA6A7">
            <w:pPr>
              <w:pStyle w:val="29"/>
              <w:keepNext w:val="0"/>
              <w:keepLines w:val="0"/>
              <w:pageBreakBefore w:val="0"/>
              <w:widowControl/>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生物洗涤和滴滤用填料≤8年</w:t>
            </w:r>
          </w:p>
          <w:p w14:paraId="065DB6E0">
            <w:pPr>
              <w:widowControl/>
              <w:spacing w:line="240" w:lineRule="exact"/>
              <w:jc w:val="center"/>
              <w:rPr>
                <w:rFonts w:hint="eastAsia"/>
                <w:kern w:val="0"/>
                <w:sz w:val="18"/>
                <w:szCs w:val="18"/>
                <w:lang w:bidi="ar"/>
              </w:rPr>
            </w:pPr>
            <w:r>
              <w:rPr>
                <w:rFonts w:hint="eastAsia" w:ascii="Times New Roman" w:hAnsi="Times New Roman" w:cs="Times New Roman"/>
                <w:color w:val="auto"/>
                <w:sz w:val="18"/>
                <w:szCs w:val="18"/>
                <w:lang w:val="en-US" w:eastAsia="zh-CN"/>
              </w:rPr>
              <w:t>生物过滤用填料≤5年</w:t>
            </w:r>
          </w:p>
        </w:tc>
        <w:tc>
          <w:tcPr>
            <w:tcW w:w="1026" w:type="dxa"/>
            <w:shd w:val="clear" w:color="auto" w:fill="auto"/>
            <w:vAlign w:val="center"/>
          </w:tcPr>
          <w:p w14:paraId="58FE05DB">
            <w:pPr>
              <w:pStyle w:val="29"/>
              <w:keepNext w:val="0"/>
              <w:keepLines w:val="0"/>
              <w:pageBreakBefore w:val="0"/>
              <w:widowControl/>
              <w:kinsoku/>
              <w:wordWrap/>
              <w:overflowPunct/>
              <w:topLinePunct w:val="0"/>
              <w:autoSpaceDE w:val="0"/>
              <w:autoSpaceDN w:val="0"/>
              <w:bidi w:val="0"/>
              <w:adjustRightInd/>
              <w:snapToGrid w:val="0"/>
              <w:spacing w:line="240" w:lineRule="auto"/>
              <w:ind w:firstLine="0" w:firstLineChars="0"/>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生物洗涤和滴滤用填料≤5年</w:t>
            </w:r>
          </w:p>
          <w:p w14:paraId="668CE055">
            <w:pPr>
              <w:pStyle w:val="29"/>
              <w:keepNext w:val="0"/>
              <w:keepLines w:val="0"/>
              <w:pageBreakBefore w:val="0"/>
              <w:widowControl/>
              <w:kinsoku/>
              <w:wordWrap/>
              <w:overflowPunct/>
              <w:topLinePunct w:val="0"/>
              <w:autoSpaceDE w:val="0"/>
              <w:autoSpaceDN w:val="0"/>
              <w:bidi w:val="0"/>
              <w:adjustRightInd/>
              <w:snapToGrid w:val="0"/>
              <w:spacing w:line="240" w:lineRule="auto"/>
              <w:ind w:firstLine="0" w:firstLineChars="0"/>
              <w:jc w:val="center"/>
              <w:textAlignment w:val="auto"/>
              <w:rPr>
                <w:kern w:val="0"/>
                <w:sz w:val="18"/>
                <w:szCs w:val="18"/>
                <w:lang w:bidi="ar"/>
              </w:rPr>
            </w:pPr>
            <w:r>
              <w:rPr>
                <w:rFonts w:hint="eastAsia" w:ascii="Times New Roman" w:hAnsi="Times New Roman" w:cs="Times New Roman"/>
                <w:color w:val="auto"/>
                <w:sz w:val="18"/>
                <w:szCs w:val="18"/>
                <w:lang w:val="en-US" w:eastAsia="zh-CN"/>
              </w:rPr>
              <w:t>生物过滤用填料≤3年</w:t>
            </w:r>
          </w:p>
        </w:tc>
        <w:tc>
          <w:tcPr>
            <w:tcW w:w="2049" w:type="dxa"/>
            <w:shd w:val="clear" w:color="auto" w:fill="auto"/>
            <w:vAlign w:val="center"/>
          </w:tcPr>
          <w:p w14:paraId="5CD32DF1">
            <w:pPr>
              <w:pStyle w:val="29"/>
              <w:spacing w:before="156" w:after="156" w:line="240" w:lineRule="exact"/>
              <w:ind w:firstLine="0" w:firstLineChars="0"/>
              <w:jc w:val="center"/>
              <w:rPr>
                <w:rFonts w:hint="eastAsia"/>
                <w:kern w:val="0"/>
                <w:sz w:val="18"/>
                <w:szCs w:val="18"/>
                <w:lang w:bidi="ar"/>
              </w:rPr>
            </w:pPr>
            <w:r>
              <w:rPr>
                <w:rFonts w:hint="eastAsia" w:ascii="Times New Roman" w:hAnsi="Times New Roman" w:cs="Times New Roman"/>
                <w:color w:val="auto"/>
                <w:sz w:val="18"/>
                <w:szCs w:val="18"/>
                <w:lang w:val="en-US" w:eastAsia="zh-CN"/>
              </w:rPr>
              <w:t>现场开展填料老化实验，收集数据并结合统计学方法或数学模型预测填料在实际使用环境下的寿命</w:t>
            </w:r>
          </w:p>
        </w:tc>
      </w:tr>
      <w:tr w14:paraId="1F66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9" w:type="dxa"/>
            <w:shd w:val="clear" w:color="auto" w:fill="auto"/>
            <w:vAlign w:val="center"/>
          </w:tcPr>
          <w:p w14:paraId="3240EE00">
            <w:pPr>
              <w:widowControl/>
              <w:snapToGrid w:val="0"/>
              <w:jc w:val="center"/>
              <w:textAlignment w:val="center"/>
              <w:rPr>
                <w:rFonts w:hint="default" w:eastAsia="宋体"/>
                <w:color w:val="000000"/>
                <w:kern w:val="0"/>
                <w:sz w:val="18"/>
                <w:szCs w:val="18"/>
                <w:lang w:val="en-US" w:eastAsia="zh-CN" w:bidi="ar"/>
              </w:rPr>
            </w:pPr>
            <w:r>
              <w:rPr>
                <w:rFonts w:hint="eastAsia"/>
                <w:color w:val="000000"/>
                <w:kern w:val="0"/>
                <w:sz w:val="18"/>
                <w:szCs w:val="18"/>
                <w:lang w:val="en-US" w:eastAsia="zh-CN" w:bidi="ar"/>
              </w:rPr>
              <w:t>12</w:t>
            </w:r>
          </w:p>
        </w:tc>
        <w:tc>
          <w:tcPr>
            <w:tcW w:w="737" w:type="dxa"/>
            <w:vMerge w:val="continue"/>
            <w:shd w:val="clear" w:color="auto" w:fill="auto"/>
            <w:vAlign w:val="center"/>
          </w:tcPr>
          <w:p w14:paraId="26D9AB03">
            <w:pPr>
              <w:widowControl/>
              <w:snapToGrid w:val="0"/>
              <w:jc w:val="center"/>
              <w:rPr>
                <w:color w:val="000000"/>
                <w:sz w:val="18"/>
                <w:szCs w:val="18"/>
              </w:rPr>
            </w:pPr>
          </w:p>
        </w:tc>
        <w:tc>
          <w:tcPr>
            <w:tcW w:w="1545" w:type="dxa"/>
            <w:shd w:val="clear" w:color="auto" w:fill="auto"/>
            <w:noWrap/>
            <w:vAlign w:val="center"/>
          </w:tcPr>
          <w:p w14:paraId="70681EED">
            <w:pPr>
              <w:widowControl/>
              <w:spacing w:line="240" w:lineRule="exact"/>
              <w:jc w:val="center"/>
              <w:rPr>
                <w:rFonts w:hint="eastAsia"/>
                <w:color w:val="000000"/>
                <w:kern w:val="0"/>
                <w:sz w:val="18"/>
                <w:szCs w:val="18"/>
                <w:lang w:bidi="ar"/>
              </w:rPr>
            </w:pPr>
            <w:r>
              <w:rPr>
                <w:rFonts w:hint="eastAsia" w:ascii="宋体" w:hAnsi="宋体" w:eastAsia="宋体" w:cs="Times New Roman"/>
                <w:color w:val="auto"/>
                <w:sz w:val="18"/>
                <w:szCs w:val="18"/>
                <w:lang w:val="en-US" w:eastAsia="zh-CN"/>
              </w:rPr>
              <w:t>喷淋强度</w:t>
            </w:r>
          </w:p>
        </w:tc>
        <w:tc>
          <w:tcPr>
            <w:tcW w:w="1729" w:type="dxa"/>
            <w:shd w:val="clear" w:color="auto" w:fill="auto"/>
            <w:vAlign w:val="center"/>
          </w:tcPr>
          <w:p w14:paraId="26E33BD6">
            <w:pPr>
              <w:widowControl/>
              <w:snapToGrid w:val="0"/>
              <w:jc w:val="center"/>
              <w:textAlignment w:val="center"/>
              <w:rPr>
                <w:rFonts w:hint="eastAsia"/>
                <w:kern w:val="0"/>
                <w:sz w:val="18"/>
                <w:szCs w:val="18"/>
                <w:lang w:val="en-US" w:eastAsia="zh-CN" w:bidi="ar"/>
              </w:rPr>
            </w:pPr>
            <w:r>
              <w:rPr>
                <w:rFonts w:hint="eastAsia"/>
                <w:kern w:val="0"/>
                <w:sz w:val="18"/>
                <w:szCs w:val="18"/>
                <w:lang w:val="en-US" w:eastAsia="zh-CN" w:bidi="ar"/>
              </w:rPr>
              <w:t>T/CAEPI 29</w:t>
            </w:r>
          </w:p>
        </w:tc>
        <w:tc>
          <w:tcPr>
            <w:tcW w:w="2048" w:type="dxa"/>
            <w:gridSpan w:val="2"/>
            <w:shd w:val="clear" w:color="auto" w:fill="auto"/>
            <w:vAlign w:val="center"/>
          </w:tcPr>
          <w:p w14:paraId="199F8BA7">
            <w:pPr>
              <w:pStyle w:val="29"/>
              <w:keepNext w:val="0"/>
              <w:keepLines w:val="0"/>
              <w:pageBreakBefore w:val="0"/>
              <w:widowControl/>
              <w:kinsoku/>
              <w:wordWrap/>
              <w:overflowPunct/>
              <w:topLinePunct w:val="0"/>
              <w:autoSpaceDE w:val="0"/>
              <w:autoSpaceDN w:val="0"/>
              <w:bidi w:val="0"/>
              <w:adjustRightInd/>
              <w:snapToGrid w:val="0"/>
              <w:spacing w:line="240" w:lineRule="auto"/>
              <w:ind w:firstLine="0" w:firstLineChars="0"/>
              <w:jc w:val="center"/>
              <w:textAlignment w:val="auto"/>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0.</w:t>
            </w:r>
            <w:r>
              <w:rPr>
                <w:rFonts w:hint="eastAsia" w:ascii="Times New Roman" w:cs="Times New Roman"/>
                <w:color w:val="auto"/>
                <w:sz w:val="18"/>
                <w:szCs w:val="18"/>
                <w:lang w:val="en-US" w:eastAsia="zh-CN"/>
              </w:rPr>
              <w:t>0</w:t>
            </w:r>
            <w:r>
              <w:rPr>
                <w:rFonts w:hint="eastAsia" w:ascii="Times New Roman" w:hAnsi="Times New Roman" w:cs="Times New Roman"/>
                <w:color w:val="auto"/>
                <w:sz w:val="18"/>
                <w:szCs w:val="18"/>
                <w:lang w:val="en-US" w:eastAsia="zh-CN"/>
              </w:rPr>
              <w:t>5</w:t>
            </w:r>
            <w:r>
              <w:rPr>
                <w:rFonts w:hint="eastAsia" w:ascii="Times New Roman" w:cs="Times New Roman"/>
                <w:color w:val="auto"/>
                <w:sz w:val="18"/>
                <w:szCs w:val="18"/>
                <w:lang w:val="en-US" w:eastAsia="zh-CN"/>
              </w:rPr>
              <w:t xml:space="preserve"> </w:t>
            </w:r>
            <w:r>
              <w:rPr>
                <w:rFonts w:hint="eastAsia" w:ascii="Times New Roman" w:hAnsi="Times New Roman" w:cs="Times New Roman"/>
                <w:color w:val="auto"/>
                <w:sz w:val="18"/>
                <w:szCs w:val="18"/>
                <w:lang w:val="en-US" w:eastAsia="zh-CN"/>
              </w:rPr>
              <w:t>m</w:t>
            </w:r>
            <w:r>
              <w:rPr>
                <w:rFonts w:hint="eastAsia" w:ascii="Times New Roman" w:hAnsi="Times New Roman" w:cs="Times New Roman"/>
                <w:color w:val="auto"/>
                <w:sz w:val="18"/>
                <w:szCs w:val="18"/>
                <w:vertAlign w:val="superscript"/>
                <w:lang w:val="en-US" w:eastAsia="zh-CN"/>
              </w:rPr>
              <w:t>3</w:t>
            </w:r>
            <w:r>
              <w:rPr>
                <w:rFonts w:hint="eastAsia" w:ascii="Times New Roman" w:hAnsi="Times New Roman" w:cs="Times New Roman"/>
                <w:color w:val="auto"/>
                <w:sz w:val="18"/>
                <w:szCs w:val="18"/>
                <w:lang w:val="en-US" w:eastAsia="zh-CN"/>
              </w:rPr>
              <w:t>/(m</w:t>
            </w:r>
            <w:r>
              <w:rPr>
                <w:rFonts w:hint="eastAsia" w:ascii="Times New Roman" w:hAnsi="Times New Roman" w:cs="Times New Roman"/>
                <w:color w:val="auto"/>
                <w:sz w:val="18"/>
                <w:szCs w:val="18"/>
                <w:vertAlign w:val="superscript"/>
                <w:lang w:val="en-US" w:eastAsia="zh-CN"/>
              </w:rPr>
              <w:t>2</w:t>
            </w:r>
            <w:r>
              <w:rPr>
                <w:rFonts w:hint="eastAsia" w:ascii="Times New Roman" w:hAnsi="Times New Roman" w:cs="Times New Roman"/>
                <w:color w:val="auto"/>
                <w:sz w:val="18"/>
                <w:szCs w:val="18"/>
                <w:lang w:val="en-US" w:eastAsia="zh-CN"/>
              </w:rPr>
              <w:t>h)≤滴滤装置≤0.</w:t>
            </w:r>
            <w:r>
              <w:rPr>
                <w:rFonts w:hint="eastAsia" w:ascii="Times New Roman" w:cs="Times New Roman"/>
                <w:color w:val="auto"/>
                <w:sz w:val="18"/>
                <w:szCs w:val="18"/>
                <w:lang w:val="en-US" w:eastAsia="zh-CN"/>
              </w:rPr>
              <w:t xml:space="preserve">5 </w:t>
            </w:r>
            <w:r>
              <w:rPr>
                <w:rFonts w:hint="eastAsia" w:ascii="Times New Roman" w:hAnsi="Times New Roman" w:cs="Times New Roman"/>
                <w:color w:val="auto"/>
                <w:sz w:val="18"/>
                <w:szCs w:val="18"/>
                <w:lang w:val="en-US" w:eastAsia="zh-CN"/>
              </w:rPr>
              <w:t>m</w:t>
            </w:r>
            <w:r>
              <w:rPr>
                <w:rFonts w:hint="eastAsia" w:ascii="Times New Roman" w:hAnsi="Times New Roman" w:cs="Times New Roman"/>
                <w:color w:val="auto"/>
                <w:sz w:val="18"/>
                <w:szCs w:val="18"/>
                <w:vertAlign w:val="superscript"/>
                <w:lang w:val="en-US" w:eastAsia="zh-CN"/>
              </w:rPr>
              <w:t>3</w:t>
            </w:r>
            <w:r>
              <w:rPr>
                <w:rFonts w:hint="eastAsia" w:ascii="Times New Roman" w:hAnsi="Times New Roman" w:cs="Times New Roman"/>
                <w:color w:val="auto"/>
                <w:sz w:val="18"/>
                <w:szCs w:val="18"/>
                <w:lang w:val="en-US" w:eastAsia="zh-CN"/>
              </w:rPr>
              <w:t>/(m</w:t>
            </w:r>
            <w:r>
              <w:rPr>
                <w:rFonts w:hint="eastAsia" w:ascii="Times New Roman" w:hAnsi="Times New Roman" w:cs="Times New Roman"/>
                <w:color w:val="auto"/>
                <w:sz w:val="18"/>
                <w:szCs w:val="18"/>
                <w:vertAlign w:val="superscript"/>
                <w:lang w:val="en-US" w:eastAsia="zh-CN"/>
              </w:rPr>
              <w:t>2</w:t>
            </w:r>
            <w:r>
              <w:rPr>
                <w:rFonts w:hint="eastAsia" w:ascii="Times New Roman" w:hAnsi="Times New Roman" w:cs="Times New Roman"/>
                <w:color w:val="auto"/>
                <w:sz w:val="18"/>
                <w:szCs w:val="18"/>
                <w:lang w:val="en-US" w:eastAsia="zh-CN"/>
              </w:rPr>
              <w:t>h)</w:t>
            </w:r>
          </w:p>
          <w:p w14:paraId="5FB4A276">
            <w:pPr>
              <w:widowControl/>
              <w:spacing w:line="240" w:lineRule="exact"/>
              <w:jc w:val="center"/>
              <w:rPr>
                <w:rFonts w:hint="eastAsia"/>
                <w:kern w:val="0"/>
                <w:sz w:val="18"/>
                <w:szCs w:val="18"/>
                <w:lang w:bidi="ar"/>
              </w:rPr>
            </w:pPr>
            <w:r>
              <w:rPr>
                <w:rFonts w:hint="eastAsia" w:cs="Times New Roman"/>
                <w:color w:val="auto"/>
                <w:sz w:val="18"/>
                <w:szCs w:val="18"/>
                <w:lang w:val="en-US" w:eastAsia="zh-CN"/>
              </w:rPr>
              <w:t xml:space="preserve">8 </w:t>
            </w:r>
            <w:r>
              <w:rPr>
                <w:rFonts w:hint="eastAsia" w:ascii="Times New Roman" w:hAnsi="Times New Roman" w:cs="Times New Roman"/>
                <w:color w:val="auto"/>
                <w:sz w:val="18"/>
                <w:szCs w:val="18"/>
                <w:lang w:val="en-US" w:eastAsia="zh-CN"/>
              </w:rPr>
              <w:t>m</w:t>
            </w:r>
            <w:r>
              <w:rPr>
                <w:rFonts w:hint="eastAsia" w:ascii="Times New Roman" w:hAnsi="Times New Roman" w:cs="Times New Roman"/>
                <w:color w:val="auto"/>
                <w:sz w:val="18"/>
                <w:szCs w:val="18"/>
                <w:vertAlign w:val="superscript"/>
                <w:lang w:val="en-US" w:eastAsia="zh-CN"/>
              </w:rPr>
              <w:t>3</w:t>
            </w:r>
            <w:r>
              <w:rPr>
                <w:rFonts w:hint="eastAsia" w:ascii="Times New Roman" w:hAnsi="Times New Roman" w:cs="Times New Roman"/>
                <w:color w:val="auto"/>
                <w:sz w:val="18"/>
                <w:szCs w:val="18"/>
                <w:lang w:val="en-US" w:eastAsia="zh-CN"/>
              </w:rPr>
              <w:t>/(m</w:t>
            </w:r>
            <w:r>
              <w:rPr>
                <w:rFonts w:hint="eastAsia" w:ascii="Times New Roman" w:hAnsi="Times New Roman" w:cs="Times New Roman"/>
                <w:color w:val="auto"/>
                <w:sz w:val="18"/>
                <w:szCs w:val="18"/>
                <w:vertAlign w:val="superscript"/>
                <w:lang w:val="en-US" w:eastAsia="zh-CN"/>
              </w:rPr>
              <w:t>2</w:t>
            </w:r>
            <w:r>
              <w:rPr>
                <w:rFonts w:hint="eastAsia" w:ascii="Times New Roman" w:hAnsi="Times New Roman" w:cs="Times New Roman"/>
                <w:color w:val="auto"/>
                <w:sz w:val="18"/>
                <w:szCs w:val="18"/>
                <w:lang w:val="en-US" w:eastAsia="zh-CN"/>
              </w:rPr>
              <w:t>h)≤洗涤装置≤</w:t>
            </w:r>
            <w:r>
              <w:rPr>
                <w:rFonts w:hint="eastAsia" w:cs="Times New Roman"/>
                <w:color w:val="auto"/>
                <w:sz w:val="18"/>
                <w:szCs w:val="18"/>
                <w:lang w:val="en-US" w:eastAsia="zh-CN"/>
              </w:rPr>
              <w:t xml:space="preserve">12 </w:t>
            </w:r>
            <w:r>
              <w:rPr>
                <w:rFonts w:hint="eastAsia" w:ascii="Times New Roman" w:hAnsi="Times New Roman" w:cs="Times New Roman"/>
                <w:color w:val="auto"/>
                <w:sz w:val="18"/>
                <w:szCs w:val="18"/>
                <w:lang w:val="en-US" w:eastAsia="zh-CN"/>
              </w:rPr>
              <w:t>m</w:t>
            </w:r>
            <w:r>
              <w:rPr>
                <w:rFonts w:hint="eastAsia" w:ascii="Times New Roman" w:hAnsi="Times New Roman" w:cs="Times New Roman"/>
                <w:color w:val="auto"/>
                <w:sz w:val="18"/>
                <w:szCs w:val="18"/>
                <w:vertAlign w:val="superscript"/>
                <w:lang w:val="en-US" w:eastAsia="zh-CN"/>
              </w:rPr>
              <w:t>3</w:t>
            </w:r>
            <w:r>
              <w:rPr>
                <w:rFonts w:hint="eastAsia" w:ascii="Times New Roman" w:hAnsi="Times New Roman" w:cs="Times New Roman"/>
                <w:color w:val="auto"/>
                <w:sz w:val="18"/>
                <w:szCs w:val="18"/>
                <w:lang w:val="en-US" w:eastAsia="zh-CN"/>
              </w:rPr>
              <w:t>/(m</w:t>
            </w:r>
            <w:r>
              <w:rPr>
                <w:rFonts w:hint="eastAsia" w:ascii="Times New Roman" w:hAnsi="Times New Roman" w:cs="Times New Roman"/>
                <w:color w:val="auto"/>
                <w:sz w:val="18"/>
                <w:szCs w:val="18"/>
                <w:vertAlign w:val="superscript"/>
                <w:lang w:val="en-US" w:eastAsia="zh-CN"/>
              </w:rPr>
              <w:t>2</w:t>
            </w:r>
            <w:r>
              <w:rPr>
                <w:rFonts w:hint="eastAsia" w:ascii="Times New Roman" w:hAnsi="Times New Roman" w:cs="Times New Roman"/>
                <w:color w:val="auto"/>
                <w:sz w:val="18"/>
                <w:szCs w:val="18"/>
                <w:lang w:val="en-US" w:eastAsia="zh-CN"/>
              </w:rPr>
              <w:t>h)</w:t>
            </w:r>
          </w:p>
        </w:tc>
        <w:tc>
          <w:tcPr>
            <w:tcW w:w="1026" w:type="dxa"/>
            <w:shd w:val="clear" w:color="auto" w:fill="auto"/>
            <w:vAlign w:val="center"/>
          </w:tcPr>
          <w:p w14:paraId="1BCDDE1E">
            <w:pPr>
              <w:pStyle w:val="29"/>
              <w:keepNext w:val="0"/>
              <w:keepLines w:val="0"/>
              <w:pageBreakBefore w:val="0"/>
              <w:widowControl/>
              <w:kinsoku/>
              <w:wordWrap/>
              <w:overflowPunct/>
              <w:topLinePunct w:val="0"/>
              <w:autoSpaceDE w:val="0"/>
              <w:autoSpaceDN w:val="0"/>
              <w:bidi w:val="0"/>
              <w:adjustRightInd/>
              <w:snapToGrid w:val="0"/>
              <w:spacing w:line="240" w:lineRule="auto"/>
              <w:ind w:firstLine="0" w:firstLineChars="0"/>
              <w:jc w:val="center"/>
              <w:textAlignment w:val="auto"/>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滴滤装置≤0.05</w:t>
            </w:r>
            <w:r>
              <w:rPr>
                <w:rFonts w:hint="eastAsia" w:ascii="Times New Roman" w:cs="Times New Roman"/>
                <w:color w:val="auto"/>
                <w:sz w:val="18"/>
                <w:szCs w:val="18"/>
                <w:lang w:val="en-US" w:eastAsia="zh-CN"/>
              </w:rPr>
              <w:t xml:space="preserve"> </w:t>
            </w:r>
            <w:r>
              <w:rPr>
                <w:rFonts w:hint="eastAsia" w:ascii="Times New Roman" w:hAnsi="Times New Roman" w:cs="Times New Roman"/>
                <w:color w:val="auto"/>
                <w:sz w:val="18"/>
                <w:szCs w:val="18"/>
                <w:lang w:val="en-US" w:eastAsia="zh-CN"/>
              </w:rPr>
              <w:t>m</w:t>
            </w:r>
            <w:r>
              <w:rPr>
                <w:rFonts w:hint="eastAsia" w:ascii="Times New Roman" w:hAnsi="Times New Roman" w:cs="Times New Roman"/>
                <w:color w:val="auto"/>
                <w:sz w:val="18"/>
                <w:szCs w:val="18"/>
                <w:vertAlign w:val="superscript"/>
                <w:lang w:val="en-US" w:eastAsia="zh-CN"/>
              </w:rPr>
              <w:t>3</w:t>
            </w:r>
            <w:r>
              <w:rPr>
                <w:rFonts w:hint="eastAsia" w:ascii="Times New Roman" w:hAnsi="Times New Roman" w:cs="Times New Roman"/>
                <w:color w:val="auto"/>
                <w:sz w:val="18"/>
                <w:szCs w:val="18"/>
                <w:lang w:val="en-US" w:eastAsia="zh-CN"/>
              </w:rPr>
              <w:t>/(m</w:t>
            </w:r>
            <w:r>
              <w:rPr>
                <w:rFonts w:hint="eastAsia" w:ascii="Times New Roman" w:hAnsi="Times New Roman" w:cs="Times New Roman"/>
                <w:color w:val="auto"/>
                <w:sz w:val="18"/>
                <w:szCs w:val="18"/>
                <w:vertAlign w:val="superscript"/>
                <w:lang w:val="en-US" w:eastAsia="zh-CN"/>
              </w:rPr>
              <w:t>2</w:t>
            </w:r>
            <w:r>
              <w:rPr>
                <w:rFonts w:hint="eastAsia" w:ascii="Times New Roman" w:hAnsi="Times New Roman" w:cs="Times New Roman"/>
                <w:color w:val="auto"/>
                <w:sz w:val="18"/>
                <w:szCs w:val="18"/>
                <w:lang w:val="en-US" w:eastAsia="zh-CN"/>
              </w:rPr>
              <w:t>h)</w:t>
            </w:r>
          </w:p>
          <w:p w14:paraId="3146462D">
            <w:pPr>
              <w:pStyle w:val="29"/>
              <w:keepNext w:val="0"/>
              <w:keepLines w:val="0"/>
              <w:pageBreakBefore w:val="0"/>
              <w:widowControl/>
              <w:kinsoku/>
              <w:wordWrap/>
              <w:overflowPunct/>
              <w:topLinePunct w:val="0"/>
              <w:autoSpaceDE w:val="0"/>
              <w:autoSpaceDN w:val="0"/>
              <w:bidi w:val="0"/>
              <w:adjustRightInd/>
              <w:snapToGrid w:val="0"/>
              <w:spacing w:line="240" w:lineRule="auto"/>
              <w:ind w:firstLine="0" w:firstLineChars="0"/>
              <w:jc w:val="center"/>
              <w:textAlignment w:val="auto"/>
              <w:rPr>
                <w:kern w:val="0"/>
                <w:sz w:val="18"/>
                <w:szCs w:val="18"/>
                <w:lang w:bidi="ar"/>
              </w:rPr>
            </w:pPr>
            <w:r>
              <w:rPr>
                <w:rFonts w:hint="eastAsia" w:ascii="Times New Roman" w:hAnsi="Times New Roman" w:cs="Times New Roman"/>
                <w:color w:val="auto"/>
                <w:sz w:val="18"/>
                <w:szCs w:val="18"/>
                <w:lang w:val="en-US" w:eastAsia="zh-CN"/>
              </w:rPr>
              <w:t>洗涤装置≤8</w:t>
            </w:r>
            <w:r>
              <w:rPr>
                <w:rFonts w:hint="eastAsia" w:ascii="Times New Roman" w:cs="Times New Roman"/>
                <w:color w:val="auto"/>
                <w:sz w:val="18"/>
                <w:szCs w:val="18"/>
                <w:lang w:val="en-US" w:eastAsia="zh-CN"/>
              </w:rPr>
              <w:t xml:space="preserve"> </w:t>
            </w:r>
            <w:r>
              <w:rPr>
                <w:rFonts w:hint="eastAsia" w:ascii="Times New Roman" w:hAnsi="Times New Roman" w:cs="Times New Roman"/>
                <w:color w:val="auto"/>
                <w:sz w:val="18"/>
                <w:szCs w:val="18"/>
                <w:lang w:val="en-US" w:eastAsia="zh-CN"/>
              </w:rPr>
              <w:t>m</w:t>
            </w:r>
            <w:r>
              <w:rPr>
                <w:rFonts w:hint="eastAsia" w:ascii="Times New Roman" w:hAnsi="Times New Roman" w:cs="Times New Roman"/>
                <w:color w:val="auto"/>
                <w:sz w:val="18"/>
                <w:szCs w:val="18"/>
                <w:vertAlign w:val="superscript"/>
                <w:lang w:val="en-US" w:eastAsia="zh-CN"/>
              </w:rPr>
              <w:t>3</w:t>
            </w:r>
            <w:r>
              <w:rPr>
                <w:rFonts w:hint="eastAsia" w:ascii="Times New Roman" w:hAnsi="Times New Roman" w:cs="Times New Roman"/>
                <w:color w:val="auto"/>
                <w:sz w:val="18"/>
                <w:szCs w:val="18"/>
                <w:lang w:val="en-US" w:eastAsia="zh-CN"/>
              </w:rPr>
              <w:t>/(m</w:t>
            </w:r>
            <w:r>
              <w:rPr>
                <w:rFonts w:hint="eastAsia" w:ascii="Times New Roman" w:hAnsi="Times New Roman" w:cs="Times New Roman"/>
                <w:color w:val="auto"/>
                <w:sz w:val="18"/>
                <w:szCs w:val="18"/>
                <w:vertAlign w:val="superscript"/>
                <w:lang w:val="en-US" w:eastAsia="zh-CN"/>
              </w:rPr>
              <w:t>2</w:t>
            </w:r>
            <w:r>
              <w:rPr>
                <w:rFonts w:hint="eastAsia" w:ascii="Times New Roman" w:hAnsi="Times New Roman" w:cs="Times New Roman"/>
                <w:color w:val="auto"/>
                <w:sz w:val="18"/>
                <w:szCs w:val="18"/>
                <w:lang w:val="en-US" w:eastAsia="zh-CN"/>
              </w:rPr>
              <w:t>h)</w:t>
            </w:r>
          </w:p>
        </w:tc>
        <w:tc>
          <w:tcPr>
            <w:tcW w:w="2049" w:type="dxa"/>
            <w:shd w:val="clear" w:color="auto" w:fill="auto"/>
            <w:vAlign w:val="center"/>
          </w:tcPr>
          <w:p w14:paraId="72A38638">
            <w:pPr>
              <w:pStyle w:val="29"/>
              <w:spacing w:before="156" w:after="156" w:line="240" w:lineRule="exact"/>
              <w:ind w:firstLine="0" w:firstLineChars="0"/>
              <w:jc w:val="center"/>
              <w:rPr>
                <w:rFonts w:hint="eastAsia"/>
                <w:kern w:val="0"/>
                <w:sz w:val="18"/>
                <w:szCs w:val="18"/>
                <w:lang w:bidi="ar"/>
              </w:rPr>
            </w:pPr>
            <w:r>
              <w:rPr>
                <w:rFonts w:hint="eastAsia" w:ascii="Times New Roman" w:hAnsi="Times New Roman" w:eastAsia="宋体" w:cs="Times New Roman"/>
                <w:color w:val="auto"/>
                <w:sz w:val="18"/>
                <w:szCs w:val="18"/>
                <w:lang w:val="en-US" w:eastAsia="zh-CN"/>
              </w:rPr>
              <w:t>现场根据总进水量和装置横截面积计算</w:t>
            </w:r>
          </w:p>
        </w:tc>
      </w:tr>
      <w:tr w14:paraId="2A65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9" w:type="dxa"/>
            <w:shd w:val="clear" w:color="auto" w:fill="auto"/>
            <w:vAlign w:val="center"/>
          </w:tcPr>
          <w:p w14:paraId="2C2DD111">
            <w:pPr>
              <w:widowControl/>
              <w:snapToGrid w:val="0"/>
              <w:jc w:val="center"/>
              <w:textAlignment w:val="center"/>
              <w:rPr>
                <w:rFonts w:hint="eastAsia" w:eastAsia="宋体"/>
                <w:color w:val="000000"/>
                <w:kern w:val="0"/>
                <w:sz w:val="18"/>
                <w:szCs w:val="18"/>
                <w:lang w:eastAsia="zh-CN" w:bidi="ar"/>
              </w:rPr>
            </w:pPr>
            <w:r>
              <w:rPr>
                <w:rFonts w:hint="eastAsia"/>
                <w:color w:val="000000"/>
                <w:kern w:val="0"/>
                <w:sz w:val="18"/>
                <w:szCs w:val="18"/>
                <w:lang w:bidi="ar"/>
              </w:rPr>
              <w:t>1</w:t>
            </w:r>
            <w:r>
              <w:rPr>
                <w:rFonts w:hint="eastAsia"/>
                <w:color w:val="000000"/>
                <w:kern w:val="0"/>
                <w:sz w:val="18"/>
                <w:szCs w:val="18"/>
                <w:lang w:val="en-US" w:eastAsia="zh-CN" w:bidi="ar"/>
              </w:rPr>
              <w:t>3</w:t>
            </w:r>
          </w:p>
        </w:tc>
        <w:tc>
          <w:tcPr>
            <w:tcW w:w="737" w:type="dxa"/>
            <w:vMerge w:val="continue"/>
            <w:shd w:val="clear" w:color="auto" w:fill="auto"/>
            <w:vAlign w:val="center"/>
          </w:tcPr>
          <w:p w14:paraId="74BA3ABC">
            <w:pPr>
              <w:widowControl/>
              <w:snapToGrid w:val="0"/>
              <w:jc w:val="center"/>
              <w:rPr>
                <w:color w:val="000000"/>
                <w:sz w:val="18"/>
                <w:szCs w:val="18"/>
              </w:rPr>
            </w:pPr>
          </w:p>
        </w:tc>
        <w:tc>
          <w:tcPr>
            <w:tcW w:w="1545" w:type="dxa"/>
            <w:shd w:val="clear" w:color="auto" w:fill="auto"/>
            <w:noWrap/>
            <w:vAlign w:val="center"/>
          </w:tcPr>
          <w:p w14:paraId="276C3C07">
            <w:pPr>
              <w:widowControl/>
              <w:spacing w:line="240" w:lineRule="exact"/>
              <w:jc w:val="center"/>
              <w:rPr>
                <w:color w:val="000000"/>
                <w:kern w:val="0"/>
                <w:sz w:val="18"/>
                <w:szCs w:val="18"/>
                <w:lang w:bidi="ar"/>
              </w:rPr>
            </w:pPr>
            <w:r>
              <w:rPr>
                <w:rFonts w:hint="eastAsia" w:ascii="宋体" w:hAnsi="宋体" w:eastAsia="宋体" w:cs="Times New Roman"/>
                <w:color w:val="auto"/>
                <w:sz w:val="18"/>
                <w:szCs w:val="18"/>
                <w:lang w:val="en-US" w:eastAsia="zh-CN"/>
              </w:rPr>
              <w:t>自动化程度</w:t>
            </w:r>
          </w:p>
        </w:tc>
        <w:tc>
          <w:tcPr>
            <w:tcW w:w="1729" w:type="dxa"/>
            <w:shd w:val="clear" w:color="auto" w:fill="auto"/>
            <w:vAlign w:val="center"/>
          </w:tcPr>
          <w:p w14:paraId="7E47AA96">
            <w:pPr>
              <w:widowControl/>
              <w:snapToGrid w:val="0"/>
              <w:jc w:val="center"/>
              <w:textAlignment w:val="center"/>
              <w:rPr>
                <w:rFonts w:hint="eastAsia"/>
                <w:kern w:val="0"/>
                <w:sz w:val="18"/>
                <w:szCs w:val="18"/>
                <w:lang w:val="en-US" w:eastAsia="zh-CN" w:bidi="ar"/>
              </w:rPr>
            </w:pPr>
            <w:r>
              <w:rPr>
                <w:rFonts w:hint="eastAsia"/>
                <w:kern w:val="0"/>
                <w:sz w:val="18"/>
                <w:szCs w:val="18"/>
                <w:lang w:val="en-US" w:eastAsia="zh-CN" w:bidi="ar"/>
              </w:rPr>
              <w:t>市场需求</w:t>
            </w:r>
          </w:p>
        </w:tc>
        <w:tc>
          <w:tcPr>
            <w:tcW w:w="1024" w:type="dxa"/>
            <w:shd w:val="clear" w:color="auto" w:fill="auto"/>
            <w:vAlign w:val="center"/>
          </w:tcPr>
          <w:p w14:paraId="1E6838BA">
            <w:pPr>
              <w:widowControl/>
              <w:spacing w:line="240" w:lineRule="exact"/>
              <w:jc w:val="center"/>
              <w:rPr>
                <w:color w:val="000000"/>
                <w:kern w:val="0"/>
                <w:sz w:val="18"/>
                <w:szCs w:val="18"/>
                <w:lang w:bidi="ar"/>
              </w:rPr>
            </w:pPr>
            <w:r>
              <w:rPr>
                <w:rFonts w:hint="eastAsia" w:cs="Times New Roman"/>
                <w:color w:val="auto"/>
                <w:sz w:val="18"/>
                <w:szCs w:val="18"/>
                <w:lang w:val="en-US" w:eastAsia="zh-CN"/>
              </w:rPr>
              <w:t>全部功能</w:t>
            </w:r>
            <w:r>
              <w:rPr>
                <w:rFonts w:ascii="Times New Roman" w:hAnsi="Times New Roman" w:eastAsia="宋体" w:cs="Times New Roman"/>
                <w:color w:val="auto"/>
                <w:sz w:val="18"/>
                <w:szCs w:val="18"/>
              </w:rPr>
              <w:t>具有人机界面交互</w:t>
            </w:r>
          </w:p>
        </w:tc>
        <w:tc>
          <w:tcPr>
            <w:tcW w:w="1024" w:type="dxa"/>
            <w:shd w:val="clear" w:color="auto" w:fill="auto"/>
            <w:vAlign w:val="center"/>
          </w:tcPr>
          <w:p w14:paraId="18BB722C">
            <w:pPr>
              <w:widowControl/>
              <w:spacing w:line="240" w:lineRule="exact"/>
              <w:jc w:val="center"/>
              <w:rPr>
                <w:rFonts w:hint="default"/>
                <w:color w:val="000000"/>
                <w:kern w:val="0"/>
                <w:sz w:val="18"/>
                <w:szCs w:val="18"/>
                <w:lang w:val="en-US" w:bidi="ar"/>
              </w:rPr>
            </w:pPr>
            <w:r>
              <w:rPr>
                <w:rFonts w:hint="eastAsia" w:cs="Times New Roman"/>
                <w:color w:val="auto"/>
                <w:sz w:val="18"/>
                <w:szCs w:val="18"/>
                <w:lang w:val="en-US" w:eastAsia="zh-CN"/>
              </w:rPr>
              <w:t>部分功能具有人机界面</w:t>
            </w:r>
          </w:p>
        </w:tc>
        <w:tc>
          <w:tcPr>
            <w:tcW w:w="1026" w:type="dxa"/>
            <w:shd w:val="clear" w:color="auto" w:fill="auto"/>
            <w:vAlign w:val="center"/>
          </w:tcPr>
          <w:p w14:paraId="7B9906B9">
            <w:pPr>
              <w:widowControl/>
              <w:spacing w:line="240" w:lineRule="exact"/>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不</w:t>
            </w:r>
            <w:r>
              <w:rPr>
                <w:rFonts w:ascii="Times New Roman" w:hAnsi="Times New Roman" w:eastAsia="宋体" w:cs="Times New Roman"/>
                <w:color w:val="auto"/>
                <w:sz w:val="18"/>
                <w:szCs w:val="18"/>
              </w:rPr>
              <w:t>具有人机界面交互</w:t>
            </w:r>
          </w:p>
        </w:tc>
        <w:tc>
          <w:tcPr>
            <w:tcW w:w="2049" w:type="dxa"/>
            <w:shd w:val="clear" w:color="auto" w:fill="auto"/>
            <w:vAlign w:val="center"/>
          </w:tcPr>
          <w:p w14:paraId="6A17B41C">
            <w:pPr>
              <w:widowControl/>
              <w:spacing w:line="240" w:lineRule="exact"/>
              <w:jc w:val="center"/>
              <w:rPr>
                <w:kern w:val="0"/>
                <w:sz w:val="18"/>
                <w:szCs w:val="18"/>
                <w:lang w:bidi="ar"/>
              </w:rPr>
            </w:pPr>
            <w:r>
              <w:rPr>
                <w:rFonts w:hint="eastAsia" w:ascii="Times New Roman" w:hAnsi="Times New Roman" w:cs="Times New Roman"/>
                <w:color w:val="auto"/>
                <w:sz w:val="18"/>
                <w:szCs w:val="18"/>
                <w:lang w:val="en-US" w:eastAsia="zh-CN"/>
              </w:rPr>
              <w:t>附录A</w:t>
            </w:r>
          </w:p>
        </w:tc>
      </w:tr>
      <w:tr w14:paraId="3493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549" w:type="dxa"/>
            <w:shd w:val="clear" w:color="auto" w:fill="auto"/>
            <w:vAlign w:val="center"/>
          </w:tcPr>
          <w:p w14:paraId="1380B27E">
            <w:pPr>
              <w:widowControl/>
              <w:snapToGrid w:val="0"/>
              <w:jc w:val="center"/>
              <w:textAlignment w:val="center"/>
              <w:rPr>
                <w:rFonts w:hint="eastAsia" w:eastAsia="宋体"/>
                <w:color w:val="000000"/>
                <w:kern w:val="0"/>
                <w:sz w:val="18"/>
                <w:szCs w:val="18"/>
                <w:lang w:eastAsia="zh-CN" w:bidi="ar"/>
              </w:rPr>
            </w:pPr>
            <w:r>
              <w:rPr>
                <w:rFonts w:hint="eastAsia"/>
                <w:color w:val="000000"/>
                <w:kern w:val="0"/>
                <w:sz w:val="18"/>
                <w:szCs w:val="18"/>
                <w:lang w:bidi="ar"/>
              </w:rPr>
              <w:t>1</w:t>
            </w:r>
            <w:r>
              <w:rPr>
                <w:rFonts w:hint="eastAsia"/>
                <w:color w:val="000000"/>
                <w:kern w:val="0"/>
                <w:sz w:val="18"/>
                <w:szCs w:val="18"/>
                <w:lang w:val="en-US" w:eastAsia="zh-CN" w:bidi="ar"/>
              </w:rPr>
              <w:t>4</w:t>
            </w:r>
          </w:p>
        </w:tc>
        <w:tc>
          <w:tcPr>
            <w:tcW w:w="737" w:type="dxa"/>
            <w:vMerge w:val="restart"/>
            <w:shd w:val="clear" w:color="auto" w:fill="auto"/>
            <w:vAlign w:val="center"/>
          </w:tcPr>
          <w:p w14:paraId="3755240D">
            <w:pPr>
              <w:widowControl/>
              <w:snapToGrid w:val="0"/>
              <w:jc w:val="center"/>
              <w:rPr>
                <w:color w:val="000000"/>
                <w:sz w:val="18"/>
                <w:szCs w:val="18"/>
              </w:rPr>
            </w:pPr>
            <w:r>
              <w:rPr>
                <w:rFonts w:hint="eastAsia"/>
                <w:color w:val="000000"/>
                <w:sz w:val="18"/>
                <w:szCs w:val="18"/>
              </w:rPr>
              <w:t>创新</w:t>
            </w:r>
            <w:r>
              <w:rPr>
                <w:rFonts w:hint="eastAsia"/>
                <w:color w:val="000000"/>
                <w:sz w:val="18"/>
                <w:szCs w:val="18"/>
                <w:lang w:val="en-US" w:eastAsia="zh-CN"/>
              </w:rPr>
              <w:t>性</w:t>
            </w:r>
            <w:r>
              <w:rPr>
                <w:rFonts w:hint="eastAsia"/>
                <w:color w:val="000000"/>
                <w:sz w:val="18"/>
                <w:szCs w:val="18"/>
              </w:rPr>
              <w:t>指标</w:t>
            </w:r>
          </w:p>
        </w:tc>
        <w:tc>
          <w:tcPr>
            <w:tcW w:w="1545" w:type="dxa"/>
            <w:shd w:val="clear" w:color="auto" w:fill="auto"/>
            <w:noWrap/>
            <w:vAlign w:val="center"/>
          </w:tcPr>
          <w:p w14:paraId="4A22C964">
            <w:pPr>
              <w:widowControl/>
              <w:spacing w:line="240" w:lineRule="exact"/>
              <w:jc w:val="center"/>
              <w:rPr>
                <w:rFonts w:hint="default"/>
                <w:color w:val="000000"/>
                <w:sz w:val="18"/>
                <w:szCs w:val="18"/>
                <w:lang w:val="en-US"/>
              </w:rPr>
            </w:pPr>
            <w:r>
              <w:rPr>
                <w:rFonts w:hint="eastAsia" w:ascii="Times New Roman" w:eastAsia="宋体"/>
                <w:color w:val="auto"/>
                <w:sz w:val="18"/>
                <w:szCs w:val="18"/>
                <w:lang w:val="en-US" w:eastAsia="zh-CN"/>
              </w:rPr>
              <w:t>复合</w:t>
            </w:r>
            <w:r>
              <w:rPr>
                <w:rFonts w:hint="default" w:ascii="Times New Roman" w:eastAsia="宋体"/>
                <w:color w:val="auto"/>
                <w:sz w:val="18"/>
                <w:szCs w:val="18"/>
                <w:lang w:val="en-US" w:eastAsia="zh-CN"/>
              </w:rPr>
              <w:t>微生态制剂</w:t>
            </w:r>
          </w:p>
        </w:tc>
        <w:tc>
          <w:tcPr>
            <w:tcW w:w="1729" w:type="dxa"/>
            <w:shd w:val="clear" w:color="auto" w:fill="auto"/>
            <w:vAlign w:val="center"/>
          </w:tcPr>
          <w:p w14:paraId="3394E6EF">
            <w:pPr>
              <w:spacing w:line="240" w:lineRule="exact"/>
              <w:jc w:val="center"/>
              <w:rPr>
                <w:color w:val="000000"/>
                <w:sz w:val="18"/>
                <w:szCs w:val="18"/>
              </w:rPr>
            </w:pPr>
            <w:r>
              <w:rPr>
                <w:rFonts w:hint="eastAsia" w:ascii="Times New Roman" w:hAnsi="Times New Roman" w:cs="Times New Roman"/>
                <w:color w:val="auto"/>
                <w:kern w:val="0"/>
                <w:sz w:val="18"/>
                <w:szCs w:val="18"/>
                <w:lang w:val="en-US" w:eastAsia="zh-CN"/>
              </w:rPr>
              <w:t>市场需求</w:t>
            </w:r>
          </w:p>
        </w:tc>
        <w:tc>
          <w:tcPr>
            <w:tcW w:w="1024" w:type="dxa"/>
            <w:shd w:val="clear" w:color="auto" w:fill="auto"/>
            <w:vAlign w:val="center"/>
          </w:tcPr>
          <w:p w14:paraId="38C75178">
            <w:pPr>
              <w:widowControl/>
              <w:spacing w:line="240" w:lineRule="exact"/>
              <w:jc w:val="center"/>
              <w:rPr>
                <w:kern w:val="0"/>
                <w:sz w:val="18"/>
                <w:szCs w:val="18"/>
                <w:lang w:bidi="ar"/>
              </w:rPr>
            </w:pPr>
            <w:r>
              <w:rPr>
                <w:rFonts w:hint="eastAsia" w:ascii="Times New Roman" w:hAnsi="Times New Roman" w:cs="Times New Roman"/>
                <w:color w:val="auto"/>
                <w:sz w:val="18"/>
                <w:szCs w:val="18"/>
                <w:lang w:val="en-US" w:eastAsia="zh-CN"/>
              </w:rPr>
              <w:t>复合</w:t>
            </w:r>
            <w:r>
              <w:rPr>
                <w:rFonts w:hint="eastAsia" w:ascii="Times New Roman" w:eastAsia="宋体"/>
                <w:color w:val="auto"/>
                <w:sz w:val="18"/>
                <w:szCs w:val="18"/>
                <w:lang w:val="en-US" w:eastAsia="zh-CN"/>
              </w:rPr>
              <w:t>微生态制剂</w:t>
            </w:r>
            <w:r>
              <w:rPr>
                <w:rFonts w:hint="eastAsia" w:ascii="Times New Roman" w:hAnsi="Times New Roman" w:cs="Times New Roman"/>
                <w:color w:val="auto"/>
                <w:sz w:val="18"/>
                <w:szCs w:val="18"/>
                <w:lang w:val="en-US" w:eastAsia="zh-CN"/>
              </w:rPr>
              <w:t>+活性污泥</w:t>
            </w:r>
          </w:p>
        </w:tc>
        <w:tc>
          <w:tcPr>
            <w:tcW w:w="1024" w:type="dxa"/>
            <w:shd w:val="clear" w:color="auto" w:fill="auto"/>
            <w:vAlign w:val="center"/>
          </w:tcPr>
          <w:p w14:paraId="6E20CCA6">
            <w:pPr>
              <w:widowControl/>
              <w:spacing w:line="240" w:lineRule="exact"/>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活性污泥</w:t>
            </w:r>
          </w:p>
        </w:tc>
        <w:tc>
          <w:tcPr>
            <w:tcW w:w="1026" w:type="dxa"/>
            <w:shd w:val="clear" w:color="auto" w:fill="auto"/>
            <w:vAlign w:val="center"/>
          </w:tcPr>
          <w:p w14:paraId="2186613B">
            <w:pPr>
              <w:widowControl/>
              <w:spacing w:line="240" w:lineRule="exact"/>
              <w:jc w:val="center"/>
              <w:rPr>
                <w:rFonts w:hint="default"/>
                <w:kern w:val="0"/>
                <w:sz w:val="18"/>
                <w:szCs w:val="18"/>
                <w:lang w:val="en-US" w:bidi="ar"/>
              </w:rPr>
            </w:pPr>
            <w:r>
              <w:rPr>
                <w:rFonts w:hint="eastAsia" w:cs="Times New Roman"/>
                <w:color w:val="auto"/>
                <w:sz w:val="18"/>
                <w:szCs w:val="18"/>
                <w:lang w:val="en-US" w:eastAsia="zh-CN"/>
              </w:rPr>
              <w:t>/</w:t>
            </w:r>
          </w:p>
        </w:tc>
        <w:tc>
          <w:tcPr>
            <w:tcW w:w="2049" w:type="dxa"/>
            <w:shd w:val="clear" w:color="auto" w:fill="auto"/>
            <w:vAlign w:val="center"/>
          </w:tcPr>
          <w:p w14:paraId="518D4B6C">
            <w:pPr>
              <w:widowControl/>
              <w:spacing w:line="240" w:lineRule="exact"/>
              <w:jc w:val="center"/>
              <w:rPr>
                <w:kern w:val="0"/>
                <w:sz w:val="18"/>
                <w:szCs w:val="18"/>
                <w:lang w:bidi="ar"/>
              </w:rPr>
            </w:pPr>
            <w:r>
              <w:rPr>
                <w:rFonts w:hint="eastAsia" w:ascii="Times New Roman" w:hAnsi="Times New Roman" w:cs="Times New Roman"/>
                <w:color w:val="auto"/>
                <w:sz w:val="18"/>
                <w:szCs w:val="18"/>
                <w:lang w:val="en-US" w:eastAsia="zh-CN"/>
              </w:rPr>
              <w:t>附录B</w:t>
            </w:r>
          </w:p>
        </w:tc>
      </w:tr>
      <w:tr w14:paraId="1396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49" w:type="dxa"/>
            <w:shd w:val="clear" w:color="auto" w:fill="auto"/>
            <w:vAlign w:val="center"/>
          </w:tcPr>
          <w:p w14:paraId="149C4BE9">
            <w:pPr>
              <w:widowControl/>
              <w:snapToGrid w:val="0"/>
              <w:jc w:val="center"/>
              <w:textAlignment w:val="center"/>
              <w:rPr>
                <w:rFonts w:hint="eastAsia" w:eastAsia="宋体"/>
                <w:color w:val="000000"/>
                <w:kern w:val="0"/>
                <w:sz w:val="18"/>
                <w:szCs w:val="18"/>
                <w:lang w:eastAsia="zh-CN" w:bidi="ar"/>
              </w:rPr>
            </w:pPr>
            <w:r>
              <w:rPr>
                <w:rFonts w:hint="eastAsia"/>
                <w:color w:val="000000"/>
                <w:kern w:val="0"/>
                <w:sz w:val="18"/>
                <w:szCs w:val="18"/>
                <w:lang w:bidi="ar"/>
              </w:rPr>
              <w:t>1</w:t>
            </w:r>
            <w:r>
              <w:rPr>
                <w:rFonts w:hint="eastAsia"/>
                <w:color w:val="000000"/>
                <w:kern w:val="0"/>
                <w:sz w:val="18"/>
                <w:szCs w:val="18"/>
                <w:lang w:val="en-US" w:eastAsia="zh-CN" w:bidi="ar"/>
              </w:rPr>
              <w:t>5</w:t>
            </w:r>
          </w:p>
        </w:tc>
        <w:tc>
          <w:tcPr>
            <w:tcW w:w="737" w:type="dxa"/>
            <w:vMerge w:val="continue"/>
            <w:shd w:val="clear" w:color="auto" w:fill="auto"/>
            <w:vAlign w:val="center"/>
          </w:tcPr>
          <w:p w14:paraId="4B18D81A">
            <w:pPr>
              <w:widowControl/>
              <w:snapToGrid w:val="0"/>
              <w:jc w:val="center"/>
              <w:rPr>
                <w:color w:val="000000"/>
                <w:sz w:val="18"/>
                <w:szCs w:val="18"/>
              </w:rPr>
            </w:pPr>
          </w:p>
        </w:tc>
        <w:tc>
          <w:tcPr>
            <w:tcW w:w="1545" w:type="dxa"/>
            <w:shd w:val="clear" w:color="auto" w:fill="auto"/>
            <w:noWrap/>
            <w:vAlign w:val="center"/>
          </w:tcPr>
          <w:p w14:paraId="1327289A">
            <w:pPr>
              <w:widowControl/>
              <w:spacing w:line="240" w:lineRule="exact"/>
              <w:jc w:val="center"/>
              <w:rPr>
                <w:kern w:val="0"/>
                <w:sz w:val="18"/>
                <w:szCs w:val="18"/>
                <w:lang w:bidi="ar"/>
              </w:rPr>
            </w:pPr>
            <w:r>
              <w:rPr>
                <w:rFonts w:hint="eastAsia" w:ascii="Times New Roman" w:eastAsia="宋体"/>
                <w:color w:val="auto"/>
                <w:sz w:val="18"/>
                <w:szCs w:val="18"/>
                <w:lang w:val="en-US" w:eastAsia="zh-CN"/>
              </w:rPr>
              <w:t>新型填料</w:t>
            </w:r>
          </w:p>
        </w:tc>
        <w:tc>
          <w:tcPr>
            <w:tcW w:w="1729" w:type="dxa"/>
            <w:shd w:val="clear" w:color="auto" w:fill="auto"/>
            <w:vAlign w:val="center"/>
          </w:tcPr>
          <w:p w14:paraId="604D568A">
            <w:pPr>
              <w:spacing w:line="240" w:lineRule="exact"/>
              <w:jc w:val="center"/>
              <w:rPr>
                <w:kern w:val="0"/>
                <w:sz w:val="18"/>
                <w:szCs w:val="18"/>
                <w:lang w:bidi="ar"/>
              </w:rPr>
            </w:pPr>
            <w:r>
              <w:rPr>
                <w:rFonts w:hint="eastAsia" w:ascii="Times New Roman" w:hAnsi="Times New Roman" w:cs="Times New Roman"/>
                <w:color w:val="auto"/>
                <w:kern w:val="0"/>
                <w:sz w:val="18"/>
                <w:szCs w:val="18"/>
                <w:lang w:val="en-US" w:eastAsia="zh-CN"/>
              </w:rPr>
              <w:t>市场需求</w:t>
            </w:r>
          </w:p>
        </w:tc>
        <w:tc>
          <w:tcPr>
            <w:tcW w:w="1024" w:type="dxa"/>
            <w:shd w:val="clear" w:color="auto" w:fill="auto"/>
            <w:vAlign w:val="center"/>
          </w:tcPr>
          <w:p w14:paraId="4FDFF048">
            <w:pPr>
              <w:widowControl/>
              <w:spacing w:line="240" w:lineRule="exact"/>
              <w:jc w:val="center"/>
              <w:rPr>
                <w:kern w:val="0"/>
                <w:sz w:val="18"/>
                <w:szCs w:val="18"/>
                <w:lang w:bidi="ar"/>
              </w:rPr>
            </w:pPr>
            <w:r>
              <w:rPr>
                <w:rFonts w:hint="eastAsia" w:ascii="Times New Roman" w:hAnsi="Times New Roman" w:cs="Times New Roman"/>
                <w:color w:val="auto"/>
                <w:sz w:val="18"/>
                <w:szCs w:val="18"/>
                <w:lang w:val="en-US" w:eastAsia="zh-CN"/>
              </w:rPr>
              <w:t>功能性填料</w:t>
            </w:r>
          </w:p>
        </w:tc>
        <w:tc>
          <w:tcPr>
            <w:tcW w:w="1024" w:type="dxa"/>
            <w:shd w:val="clear" w:color="auto" w:fill="auto"/>
            <w:vAlign w:val="center"/>
          </w:tcPr>
          <w:p w14:paraId="1E84FD66">
            <w:pPr>
              <w:widowControl/>
              <w:spacing w:line="240" w:lineRule="exact"/>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普通常规填料</w:t>
            </w:r>
          </w:p>
        </w:tc>
        <w:tc>
          <w:tcPr>
            <w:tcW w:w="1026" w:type="dxa"/>
            <w:shd w:val="clear" w:color="auto" w:fill="auto"/>
            <w:vAlign w:val="center"/>
          </w:tcPr>
          <w:p w14:paraId="0BD0091B">
            <w:pPr>
              <w:widowControl/>
              <w:spacing w:line="240" w:lineRule="exact"/>
              <w:jc w:val="center"/>
              <w:rPr>
                <w:kern w:val="0"/>
                <w:sz w:val="18"/>
                <w:szCs w:val="18"/>
                <w:lang w:bidi="ar"/>
              </w:rPr>
            </w:pPr>
            <w:r>
              <w:rPr>
                <w:rFonts w:hint="eastAsia" w:cs="Times New Roman"/>
                <w:color w:val="auto"/>
                <w:sz w:val="18"/>
                <w:szCs w:val="18"/>
                <w:lang w:val="en-US" w:eastAsia="zh-CN"/>
              </w:rPr>
              <w:t>/</w:t>
            </w:r>
          </w:p>
        </w:tc>
        <w:tc>
          <w:tcPr>
            <w:tcW w:w="2049" w:type="dxa"/>
            <w:shd w:val="clear" w:color="auto" w:fill="auto"/>
            <w:vAlign w:val="center"/>
          </w:tcPr>
          <w:p w14:paraId="5D11EBF9">
            <w:pPr>
              <w:widowControl/>
              <w:spacing w:line="240" w:lineRule="exact"/>
              <w:jc w:val="center"/>
              <w:rPr>
                <w:kern w:val="0"/>
                <w:sz w:val="18"/>
                <w:szCs w:val="18"/>
                <w:lang w:bidi="ar"/>
              </w:rPr>
            </w:pPr>
            <w:r>
              <w:rPr>
                <w:rFonts w:hint="eastAsia" w:ascii="Times New Roman" w:hAnsi="Times New Roman" w:cs="Times New Roman"/>
                <w:color w:val="auto"/>
                <w:sz w:val="18"/>
                <w:szCs w:val="18"/>
                <w:lang w:val="en-US" w:eastAsia="zh-CN"/>
              </w:rPr>
              <w:t>附录C</w:t>
            </w:r>
          </w:p>
        </w:tc>
      </w:tr>
      <w:tr w14:paraId="2114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549" w:type="dxa"/>
            <w:shd w:val="clear" w:color="auto" w:fill="auto"/>
            <w:vAlign w:val="center"/>
          </w:tcPr>
          <w:p w14:paraId="6C1D5104">
            <w:pPr>
              <w:widowControl/>
              <w:snapToGrid w:val="0"/>
              <w:jc w:val="center"/>
              <w:textAlignment w:val="center"/>
              <w:rPr>
                <w:rFonts w:hint="default" w:eastAsia="宋体"/>
                <w:color w:val="000000"/>
                <w:kern w:val="0"/>
                <w:sz w:val="18"/>
                <w:szCs w:val="18"/>
                <w:lang w:val="en-US" w:eastAsia="zh-CN" w:bidi="ar"/>
              </w:rPr>
            </w:pPr>
            <w:r>
              <w:rPr>
                <w:rFonts w:hint="eastAsia"/>
                <w:color w:val="000000"/>
                <w:kern w:val="0"/>
                <w:sz w:val="18"/>
                <w:szCs w:val="18"/>
                <w:lang w:val="en-US" w:eastAsia="zh-CN" w:bidi="ar"/>
              </w:rPr>
              <w:t>16</w:t>
            </w:r>
          </w:p>
        </w:tc>
        <w:tc>
          <w:tcPr>
            <w:tcW w:w="737" w:type="dxa"/>
            <w:shd w:val="clear" w:color="auto" w:fill="auto"/>
            <w:vAlign w:val="center"/>
          </w:tcPr>
          <w:p w14:paraId="289898E6">
            <w:pPr>
              <w:widowControl/>
              <w:snapToGrid w:val="0"/>
              <w:jc w:val="center"/>
              <w:rPr>
                <w:color w:val="000000"/>
                <w:sz w:val="18"/>
                <w:szCs w:val="18"/>
              </w:rPr>
            </w:pPr>
          </w:p>
        </w:tc>
        <w:tc>
          <w:tcPr>
            <w:tcW w:w="1545" w:type="dxa"/>
            <w:shd w:val="clear" w:color="auto" w:fill="auto"/>
            <w:noWrap/>
            <w:vAlign w:val="center"/>
          </w:tcPr>
          <w:p w14:paraId="5AA8B220">
            <w:pPr>
              <w:widowControl/>
              <w:spacing w:line="240" w:lineRule="exact"/>
              <w:jc w:val="center"/>
              <w:rPr>
                <w:rFonts w:hint="eastAsia"/>
                <w:kern w:val="0"/>
                <w:sz w:val="18"/>
                <w:szCs w:val="18"/>
                <w:lang w:bidi="ar"/>
              </w:rPr>
            </w:pPr>
            <w:r>
              <w:rPr>
                <w:rFonts w:hint="eastAsia" w:ascii="Times New Roman" w:eastAsia="宋体"/>
                <w:color w:val="auto"/>
                <w:sz w:val="18"/>
                <w:szCs w:val="18"/>
                <w:lang w:val="en-US" w:eastAsia="zh-CN"/>
              </w:rPr>
              <w:t>新型反应器结构</w:t>
            </w:r>
          </w:p>
        </w:tc>
        <w:tc>
          <w:tcPr>
            <w:tcW w:w="1729" w:type="dxa"/>
            <w:shd w:val="clear" w:color="auto" w:fill="auto"/>
            <w:vAlign w:val="center"/>
          </w:tcPr>
          <w:p w14:paraId="3DDB6F77">
            <w:pPr>
              <w:spacing w:line="240" w:lineRule="exact"/>
              <w:jc w:val="center"/>
              <w:rPr>
                <w:rFonts w:hint="eastAsia" w:ascii="宋体" w:hAnsi="宋体" w:cs="宋体"/>
                <w:sz w:val="18"/>
                <w:szCs w:val="18"/>
              </w:rPr>
            </w:pPr>
            <w:r>
              <w:rPr>
                <w:rFonts w:hint="eastAsia" w:ascii="Times New Roman" w:hAnsi="Times New Roman" w:cs="Times New Roman"/>
                <w:color w:val="auto"/>
                <w:kern w:val="0"/>
                <w:sz w:val="18"/>
                <w:szCs w:val="18"/>
                <w:lang w:val="en-US" w:eastAsia="zh-CN"/>
              </w:rPr>
              <w:t>市场需求</w:t>
            </w:r>
          </w:p>
        </w:tc>
        <w:tc>
          <w:tcPr>
            <w:tcW w:w="1024" w:type="dxa"/>
            <w:shd w:val="clear" w:color="auto" w:fill="auto"/>
            <w:vAlign w:val="center"/>
          </w:tcPr>
          <w:p w14:paraId="47F012AF">
            <w:pPr>
              <w:widowControl/>
              <w:spacing w:line="240" w:lineRule="exact"/>
              <w:jc w:val="center"/>
              <w:rPr>
                <w:rFonts w:hint="eastAsia"/>
                <w:kern w:val="0"/>
                <w:sz w:val="18"/>
                <w:szCs w:val="18"/>
                <w:lang w:bidi="ar"/>
              </w:rPr>
            </w:pPr>
            <w:r>
              <w:rPr>
                <w:rFonts w:hint="eastAsia" w:ascii="Times New Roman" w:hAnsi="Times New Roman" w:cs="Times New Roman"/>
                <w:color w:val="auto"/>
                <w:sz w:val="18"/>
                <w:szCs w:val="18"/>
                <w:lang w:val="en-US" w:eastAsia="zh-CN"/>
              </w:rPr>
              <w:t>特殊结构反应器</w:t>
            </w:r>
          </w:p>
        </w:tc>
        <w:tc>
          <w:tcPr>
            <w:tcW w:w="1024" w:type="dxa"/>
            <w:shd w:val="clear" w:color="auto" w:fill="auto"/>
            <w:vAlign w:val="center"/>
          </w:tcPr>
          <w:p w14:paraId="7CF2D5AD">
            <w:pPr>
              <w:widowControl/>
              <w:spacing w:line="240" w:lineRule="exact"/>
              <w:jc w:val="center"/>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普通常规结构</w:t>
            </w:r>
          </w:p>
        </w:tc>
        <w:tc>
          <w:tcPr>
            <w:tcW w:w="1026" w:type="dxa"/>
            <w:shd w:val="clear" w:color="auto" w:fill="auto"/>
            <w:vAlign w:val="center"/>
          </w:tcPr>
          <w:p w14:paraId="45093A9F">
            <w:pPr>
              <w:widowControl/>
              <w:spacing w:line="240" w:lineRule="exact"/>
              <w:jc w:val="center"/>
              <w:rPr>
                <w:rFonts w:hint="eastAsia"/>
                <w:kern w:val="0"/>
                <w:sz w:val="18"/>
                <w:szCs w:val="18"/>
                <w:lang w:bidi="ar"/>
              </w:rPr>
            </w:pPr>
            <w:r>
              <w:rPr>
                <w:rFonts w:hint="eastAsia" w:cs="Times New Roman"/>
                <w:color w:val="auto"/>
                <w:sz w:val="18"/>
                <w:szCs w:val="18"/>
                <w:lang w:val="en-US" w:eastAsia="zh-CN"/>
              </w:rPr>
              <w:t>/</w:t>
            </w:r>
          </w:p>
        </w:tc>
        <w:tc>
          <w:tcPr>
            <w:tcW w:w="2049" w:type="dxa"/>
            <w:shd w:val="clear" w:color="auto" w:fill="auto"/>
            <w:vAlign w:val="center"/>
          </w:tcPr>
          <w:p w14:paraId="5BE2570E">
            <w:pPr>
              <w:widowControl/>
              <w:spacing w:line="240" w:lineRule="exact"/>
              <w:jc w:val="center"/>
              <w:rPr>
                <w:rFonts w:hint="eastAsia"/>
                <w:kern w:val="0"/>
                <w:sz w:val="18"/>
                <w:szCs w:val="18"/>
                <w:lang w:bidi="ar"/>
              </w:rPr>
            </w:pPr>
            <w:r>
              <w:rPr>
                <w:rFonts w:hint="eastAsia" w:ascii="Times New Roman" w:hAnsi="Times New Roman" w:cs="Times New Roman"/>
                <w:color w:val="auto"/>
                <w:sz w:val="18"/>
                <w:szCs w:val="18"/>
                <w:lang w:val="en-US" w:eastAsia="zh-CN"/>
              </w:rPr>
              <w:t>附录D</w:t>
            </w:r>
          </w:p>
        </w:tc>
      </w:tr>
      <w:bookmarkEnd w:id="32"/>
    </w:tbl>
    <w:p w14:paraId="5DA9EF1C"/>
    <w:p w14:paraId="3F7495CD">
      <w:pPr>
        <w:pStyle w:val="79"/>
        <w:spacing w:before="312" w:after="312"/>
        <w:outlineLvl w:val="0"/>
        <w:rPr>
          <w:rFonts w:ascii="Times New Roman"/>
        </w:rPr>
      </w:pPr>
      <w:bookmarkStart w:id="33" w:name="_Toc20230"/>
      <w:bookmarkStart w:id="34" w:name="_Toc7087"/>
      <w:r>
        <w:rPr>
          <w:rFonts w:hint="eastAsia" w:ascii="Times New Roman"/>
        </w:rPr>
        <w:t>评价方法及等级划分</w:t>
      </w:r>
      <w:bookmarkEnd w:id="33"/>
      <w:bookmarkEnd w:id="34"/>
    </w:p>
    <w:p w14:paraId="76A39FE7">
      <w:pPr>
        <w:pStyle w:val="29"/>
        <w:numPr>
          <w:ilvl w:val="1"/>
          <w:numId w:val="5"/>
        </w:numPr>
        <w:tabs>
          <w:tab w:val="left" w:pos="0"/>
        </w:tabs>
        <w:ind w:firstLineChars="0"/>
        <w:rPr>
          <w:rFonts w:ascii="Times New Roman"/>
        </w:rPr>
      </w:pPr>
      <w:bookmarkStart w:id="35" w:name="OLE_LINK14"/>
      <w:r>
        <w:rPr>
          <w:rFonts w:hint="eastAsia" w:ascii="Times New Roman"/>
        </w:rPr>
        <w:t>对生物法废气</w:t>
      </w:r>
      <w:r>
        <w:rPr>
          <w:rFonts w:hint="eastAsia" w:ascii="Times New Roman"/>
          <w:lang w:val="en-US" w:eastAsia="zh-CN"/>
        </w:rPr>
        <w:t>处理</w:t>
      </w:r>
      <w:r>
        <w:rPr>
          <w:rFonts w:hint="eastAsia" w:ascii="Times New Roman"/>
        </w:rPr>
        <w:t>装置企业标准的全部指标进行综合评价，评价结果划分为领跑水平、优质水平、达标水平，划分依据见表2。</w:t>
      </w:r>
    </w:p>
    <w:p w14:paraId="7E3A573A">
      <w:pPr>
        <w:pStyle w:val="29"/>
        <w:numPr>
          <w:ilvl w:val="1"/>
          <w:numId w:val="5"/>
        </w:numPr>
        <w:tabs>
          <w:tab w:val="left" w:pos="0"/>
        </w:tabs>
        <w:ind w:firstLineChars="0"/>
        <w:rPr>
          <w:rFonts w:ascii="Times New Roman"/>
        </w:rPr>
      </w:pPr>
      <w:r>
        <w:rPr>
          <w:rFonts w:hint="eastAsia" w:ascii="Times New Roman"/>
        </w:rPr>
        <w:t>综合评价满足</w:t>
      </w:r>
      <w:r>
        <w:rPr>
          <w:rFonts w:hint="eastAsia" w:ascii="Times New Roman"/>
          <w:lang w:val="en-US" w:eastAsia="zh-CN"/>
        </w:rPr>
        <w:t>表1和</w:t>
      </w:r>
      <w:r>
        <w:rPr>
          <w:rFonts w:hint="eastAsia" w:ascii="Times New Roman"/>
        </w:rPr>
        <w:t>表2中领跑水平要求的企业标准为“领跑”标准，经检测或测试，产品各指标符合</w:t>
      </w:r>
      <w:r>
        <w:rPr>
          <w:rFonts w:hint="eastAsia" w:ascii="Times New Roman"/>
          <w:lang w:val="en-US" w:eastAsia="zh-CN"/>
        </w:rPr>
        <w:t>表1和</w:t>
      </w:r>
      <w:r>
        <w:rPr>
          <w:rFonts w:hint="eastAsia" w:ascii="Times New Roman"/>
        </w:rPr>
        <w:t>表2中领跑水平的产品为“领跑”产品，自我声明标识可使用T/CSTE 0421</w:t>
      </w:r>
      <w:r>
        <w:rPr>
          <w:rFonts w:hint="eastAsia" w:ascii="Times New Roman"/>
          <w:lang w:val="en-US" w:eastAsia="zh-CN"/>
        </w:rPr>
        <w:t>-2023、T/CAS 703-2023</w:t>
      </w:r>
      <w:r>
        <w:rPr>
          <w:rFonts w:hint="eastAsia" w:ascii="Times New Roman"/>
        </w:rPr>
        <w:t>中4.4图4-1自我声明“领跑”标识，采用第三方评价或认证时，标识可使用T/CSTE 0421</w:t>
      </w:r>
      <w:r>
        <w:rPr>
          <w:rFonts w:hint="eastAsia" w:ascii="Times New Roman"/>
          <w:lang w:val="en-US" w:eastAsia="zh-CN"/>
        </w:rPr>
        <w:t>-2023、T/CAS 703-2023</w:t>
      </w:r>
      <w:r>
        <w:rPr>
          <w:rFonts w:hint="eastAsia" w:ascii="Times New Roman"/>
        </w:rPr>
        <w:t>中4.5图5-1“领跑”产品</w:t>
      </w:r>
      <w:r>
        <w:rPr>
          <w:rFonts w:hint="eastAsia" w:ascii="Times New Roman"/>
          <w:lang w:val="en-US" w:eastAsia="zh-CN"/>
        </w:rPr>
        <w:t>评价或</w:t>
      </w:r>
      <w:r>
        <w:rPr>
          <w:rFonts w:hint="eastAsia" w:ascii="Times New Roman"/>
        </w:rPr>
        <w:t>认证标识。</w:t>
      </w:r>
    </w:p>
    <w:p w14:paraId="1F314515">
      <w:pPr>
        <w:pStyle w:val="29"/>
        <w:numPr>
          <w:ilvl w:val="1"/>
          <w:numId w:val="5"/>
        </w:numPr>
        <w:tabs>
          <w:tab w:val="left" w:pos="0"/>
        </w:tabs>
        <w:ind w:firstLineChars="0"/>
        <w:rPr>
          <w:rFonts w:ascii="Times New Roman"/>
        </w:rPr>
      </w:pPr>
      <w:r>
        <w:rPr>
          <w:rFonts w:hint="eastAsia" w:ascii="Times New Roman"/>
        </w:rPr>
        <w:t>综合评价满足</w:t>
      </w:r>
      <w:r>
        <w:rPr>
          <w:rFonts w:hint="eastAsia" w:ascii="Times New Roman"/>
          <w:lang w:val="en-US" w:eastAsia="zh-CN"/>
        </w:rPr>
        <w:t>表1和</w:t>
      </w:r>
      <w:r>
        <w:rPr>
          <w:rFonts w:hint="eastAsia" w:ascii="Times New Roman"/>
        </w:rPr>
        <w:t>表2中优质水平要求的企业标准为“优质”标准，经检测或测试，产品各指标符合</w:t>
      </w:r>
      <w:r>
        <w:rPr>
          <w:rFonts w:hint="eastAsia" w:ascii="Times New Roman"/>
          <w:lang w:val="en-US" w:eastAsia="zh-CN"/>
        </w:rPr>
        <w:t>表1和</w:t>
      </w:r>
      <w:r>
        <w:rPr>
          <w:rFonts w:hint="eastAsia" w:ascii="Times New Roman"/>
        </w:rPr>
        <w:t>表2中优质水平的产品为“优质”产品，自我声明标识可使用T/CSTE 0421</w:t>
      </w:r>
      <w:r>
        <w:rPr>
          <w:rFonts w:hint="eastAsia" w:ascii="Times New Roman"/>
          <w:lang w:val="en-US" w:eastAsia="zh-CN"/>
        </w:rPr>
        <w:t>-2023、T/CAS 703-2023</w:t>
      </w:r>
      <w:r>
        <w:rPr>
          <w:rFonts w:hint="eastAsia" w:ascii="Times New Roman"/>
        </w:rPr>
        <w:t>中4.4图4-2自我声明“优质”标识，采用第三方评价或认证时，标识可使用T/CSTE 0421</w:t>
      </w:r>
      <w:r>
        <w:rPr>
          <w:rFonts w:hint="eastAsia" w:ascii="Times New Roman"/>
          <w:lang w:val="en-US" w:eastAsia="zh-CN"/>
        </w:rPr>
        <w:t>-2023、T/CAS 703-2023</w:t>
      </w:r>
      <w:r>
        <w:rPr>
          <w:rFonts w:hint="eastAsia" w:ascii="Times New Roman"/>
        </w:rPr>
        <w:t>中4.5图5-2“优质”产品</w:t>
      </w:r>
      <w:r>
        <w:rPr>
          <w:rFonts w:hint="eastAsia" w:ascii="Times New Roman"/>
          <w:lang w:val="en-US" w:eastAsia="zh-CN"/>
        </w:rPr>
        <w:t>评价或</w:t>
      </w:r>
      <w:r>
        <w:rPr>
          <w:rFonts w:hint="eastAsia" w:ascii="Times New Roman"/>
        </w:rPr>
        <w:t>认证标识。</w:t>
      </w:r>
    </w:p>
    <w:p w14:paraId="4033F798">
      <w:pPr>
        <w:pStyle w:val="29"/>
        <w:numPr>
          <w:ilvl w:val="1"/>
          <w:numId w:val="5"/>
        </w:numPr>
        <w:tabs>
          <w:tab w:val="left" w:pos="0"/>
        </w:tabs>
        <w:ind w:firstLineChars="0"/>
        <w:rPr>
          <w:rFonts w:ascii="Times New Roman"/>
        </w:rPr>
      </w:pPr>
      <w:r>
        <w:rPr>
          <w:rFonts w:hint="eastAsia" w:ascii="Times New Roman"/>
        </w:rPr>
        <w:t>综合评价满足</w:t>
      </w:r>
      <w:r>
        <w:rPr>
          <w:rFonts w:hint="eastAsia" w:ascii="Times New Roman"/>
          <w:lang w:val="en-US" w:eastAsia="zh-CN"/>
        </w:rPr>
        <w:t>表1和</w:t>
      </w:r>
      <w:r>
        <w:rPr>
          <w:rFonts w:hint="eastAsia" w:ascii="Times New Roman"/>
        </w:rPr>
        <w:t>表2中达标水平要求的企业标准为“达标”标准，经检测或测试，产品各指标符合</w:t>
      </w:r>
      <w:r>
        <w:rPr>
          <w:rFonts w:hint="eastAsia" w:ascii="Times New Roman"/>
          <w:lang w:val="en-US" w:eastAsia="zh-CN"/>
        </w:rPr>
        <w:t>表1和</w:t>
      </w:r>
      <w:r>
        <w:rPr>
          <w:rFonts w:hint="eastAsia" w:ascii="Times New Roman"/>
        </w:rPr>
        <w:t>表2中达标水平的产品为“达标”产品，自我声明标识可使用T/CSTE 0421</w:t>
      </w:r>
      <w:r>
        <w:rPr>
          <w:rFonts w:hint="eastAsia" w:ascii="Times New Roman"/>
          <w:lang w:val="en-US" w:eastAsia="zh-CN"/>
        </w:rPr>
        <w:t>-2023、T/CAS 703-2023</w:t>
      </w:r>
      <w:r>
        <w:rPr>
          <w:rFonts w:hint="eastAsia" w:ascii="Times New Roman"/>
        </w:rPr>
        <w:t>中4.4图4-3自我声明“达标”标识，采用第三方评价或认证时，认证标识可使用T/CSTE 0421</w:t>
      </w:r>
      <w:r>
        <w:rPr>
          <w:rFonts w:hint="eastAsia" w:ascii="Times New Roman"/>
          <w:lang w:val="en-US" w:eastAsia="zh-CN"/>
        </w:rPr>
        <w:t>-2023、T/CAS 703-2023</w:t>
      </w:r>
      <w:r>
        <w:rPr>
          <w:rFonts w:hint="eastAsia" w:ascii="Times New Roman"/>
        </w:rPr>
        <w:t>中4.5图5-3“达标”产品</w:t>
      </w:r>
      <w:r>
        <w:rPr>
          <w:rFonts w:hint="eastAsia" w:ascii="Times New Roman"/>
          <w:lang w:val="en-US" w:eastAsia="zh-CN"/>
        </w:rPr>
        <w:t>评价或</w:t>
      </w:r>
      <w:r>
        <w:rPr>
          <w:rFonts w:hint="eastAsia" w:ascii="Times New Roman"/>
        </w:rPr>
        <w:t>认证标识。</w:t>
      </w:r>
    </w:p>
    <w:bookmarkEnd w:id="35"/>
    <w:p w14:paraId="24AE4834">
      <w:pPr>
        <w:widowControl/>
        <w:tabs>
          <w:tab w:val="center" w:pos="4201"/>
          <w:tab w:val="right" w:leader="dot" w:pos="9298"/>
        </w:tabs>
        <w:autoSpaceDE/>
        <w:autoSpaceDN/>
        <w:spacing w:before="157" w:beforeLines="50" w:after="157" w:afterLines="50"/>
        <w:jc w:val="center"/>
        <w:rPr>
          <w:rFonts w:hint="eastAsia" w:ascii="黑体" w:hAnsi="黑体" w:eastAsia="黑体"/>
        </w:rPr>
      </w:pPr>
      <w:r>
        <w:rPr>
          <w:rFonts w:hint="eastAsia" w:ascii="黑体" w:hAnsi="黑体" w:eastAsia="黑体"/>
        </w:rPr>
        <w:t>表2   指标评价要求及等级划分</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005"/>
        <w:gridCol w:w="1335"/>
        <w:gridCol w:w="3323"/>
        <w:gridCol w:w="2326"/>
      </w:tblGrid>
      <w:tr w14:paraId="6FDE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1" w:type="dxa"/>
            <w:vAlign w:val="center"/>
          </w:tcPr>
          <w:p w14:paraId="4D14BF64">
            <w:pPr>
              <w:adjustRightInd w:val="0"/>
              <w:snapToGrid w:val="0"/>
              <w:jc w:val="center"/>
              <w:rPr>
                <w:rFonts w:hint="eastAsia" w:ascii="宋体" w:hAnsi="宋体" w:cs="宋体"/>
                <w:b w:val="0"/>
                <w:bCs w:val="0"/>
                <w:sz w:val="18"/>
                <w:szCs w:val="18"/>
              </w:rPr>
            </w:pPr>
            <w:bookmarkStart w:id="36" w:name="OLE_LINK43" w:colFirst="0" w:colLast="1"/>
            <w:r>
              <w:rPr>
                <w:rFonts w:hint="eastAsia" w:ascii="宋体" w:hAnsi="宋体" w:cs="宋体"/>
                <w:b w:val="0"/>
                <w:bCs w:val="0"/>
                <w:sz w:val="18"/>
                <w:szCs w:val="18"/>
              </w:rPr>
              <w:t>标准等级</w:t>
            </w:r>
          </w:p>
        </w:tc>
        <w:tc>
          <w:tcPr>
            <w:tcW w:w="7989" w:type="dxa"/>
            <w:gridSpan w:val="4"/>
            <w:vAlign w:val="center"/>
          </w:tcPr>
          <w:p w14:paraId="2FFF4AA0">
            <w:pPr>
              <w:adjustRightInd w:val="0"/>
              <w:snapToGrid w:val="0"/>
              <w:jc w:val="center"/>
              <w:rPr>
                <w:rFonts w:hint="eastAsia" w:ascii="宋体" w:hAnsi="宋体" w:cs="宋体"/>
                <w:b w:val="0"/>
                <w:bCs w:val="0"/>
                <w:sz w:val="18"/>
                <w:szCs w:val="18"/>
              </w:rPr>
            </w:pPr>
            <w:r>
              <w:rPr>
                <w:rFonts w:hint="eastAsia" w:ascii="宋体" w:hAnsi="宋体" w:cs="宋体"/>
                <w:b w:val="0"/>
                <w:bCs w:val="0"/>
                <w:sz w:val="18"/>
                <w:szCs w:val="18"/>
              </w:rPr>
              <w:t>满足条件</w:t>
            </w:r>
          </w:p>
        </w:tc>
      </w:tr>
      <w:bookmarkEnd w:id="36"/>
      <w:tr w14:paraId="4816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91" w:type="dxa"/>
            <w:vAlign w:val="center"/>
          </w:tcPr>
          <w:p w14:paraId="2A3B92DA">
            <w:pPr>
              <w:pStyle w:val="29"/>
              <w:ind w:firstLine="0" w:firstLineChars="0"/>
              <w:jc w:val="center"/>
              <w:rPr>
                <w:sz w:val="18"/>
                <w:szCs w:val="18"/>
              </w:rPr>
            </w:pPr>
            <w:r>
              <w:rPr>
                <w:rFonts w:hint="eastAsia" w:hAnsi="宋体" w:eastAsia="宋体" w:cs="宋体"/>
                <w:color w:val="auto"/>
                <w:sz w:val="18"/>
                <w:szCs w:val="18"/>
                <w:highlight w:val="none"/>
                <w:lang w:eastAsia="zh-CN"/>
              </w:rPr>
              <w:t>领跑水平</w:t>
            </w:r>
          </w:p>
        </w:tc>
        <w:tc>
          <w:tcPr>
            <w:tcW w:w="1005" w:type="dxa"/>
            <w:vMerge w:val="restart"/>
            <w:vAlign w:val="center"/>
          </w:tcPr>
          <w:p w14:paraId="4DB8F0D5">
            <w:pPr>
              <w:adjustRightInd w:val="0"/>
              <w:snapToGrid w:val="0"/>
              <w:jc w:val="center"/>
              <w:rPr>
                <w:sz w:val="18"/>
                <w:szCs w:val="18"/>
              </w:rPr>
            </w:pPr>
            <w:r>
              <w:rPr>
                <w:sz w:val="18"/>
                <w:szCs w:val="18"/>
              </w:rPr>
              <w:t>基本要求</w:t>
            </w:r>
          </w:p>
        </w:tc>
        <w:tc>
          <w:tcPr>
            <w:tcW w:w="1335" w:type="dxa"/>
            <w:vMerge w:val="restart"/>
            <w:vAlign w:val="center"/>
          </w:tcPr>
          <w:p w14:paraId="4AFC0C85">
            <w:pPr>
              <w:adjustRightInd w:val="0"/>
              <w:snapToGrid w:val="0"/>
              <w:jc w:val="center"/>
              <w:rPr>
                <w:sz w:val="18"/>
                <w:szCs w:val="18"/>
              </w:rPr>
            </w:pPr>
            <w:r>
              <w:rPr>
                <w:sz w:val="18"/>
                <w:szCs w:val="18"/>
              </w:rPr>
              <w:t>基础指标要求</w:t>
            </w:r>
          </w:p>
        </w:tc>
        <w:tc>
          <w:tcPr>
            <w:tcW w:w="3323" w:type="dxa"/>
            <w:vAlign w:val="center"/>
          </w:tcPr>
          <w:p w14:paraId="42792ECC">
            <w:pPr>
              <w:adjustRightInd w:val="0"/>
              <w:snapToGrid w:val="0"/>
              <w:jc w:val="center"/>
              <w:rPr>
                <w:sz w:val="18"/>
                <w:szCs w:val="18"/>
              </w:rPr>
            </w:pPr>
            <w:r>
              <w:rPr>
                <w:rFonts w:hint="default" w:ascii="Times New Roman" w:hAnsi="Times New Roman" w:eastAsia="宋体" w:cs="Times New Roman"/>
                <w:color w:val="auto"/>
                <w:sz w:val="18"/>
                <w:szCs w:val="18"/>
                <w:highlight w:val="none"/>
              </w:rPr>
              <w:t>核心指标</w:t>
            </w:r>
            <w:r>
              <w:rPr>
                <w:rFonts w:hint="default" w:ascii="Times New Roman" w:hAnsi="Times New Roman" w:eastAsia="宋体" w:cs="Times New Roman"/>
                <w:color w:val="auto"/>
                <w:sz w:val="18"/>
                <w:szCs w:val="18"/>
                <w:highlight w:val="none"/>
                <w:lang w:eastAsia="zh-CN"/>
              </w:rPr>
              <w:t>领跑水平</w:t>
            </w:r>
            <w:r>
              <w:rPr>
                <w:rFonts w:hint="default" w:ascii="Times New Roman" w:hAnsi="Times New Roman" w:eastAsia="宋体" w:cs="Times New Roman"/>
                <w:color w:val="auto"/>
                <w:sz w:val="18"/>
                <w:szCs w:val="18"/>
                <w:highlight w:val="none"/>
              </w:rPr>
              <w:t>（</w:t>
            </w:r>
            <w:r>
              <w:rPr>
                <w:rFonts w:hint="default" w:ascii="Times New Roman" w:hAnsi="Times New Roman" w:eastAsia="宋体" w:cs="Times New Roman"/>
                <w:color w:val="auto"/>
                <w:sz w:val="18"/>
                <w:szCs w:val="18"/>
                <w:highlight w:val="none"/>
                <w:lang w:val="en-US" w:eastAsia="zh-CN"/>
              </w:rPr>
              <w:t>5星级</w:t>
            </w:r>
            <w:r>
              <w:rPr>
                <w:rFonts w:hint="default" w:ascii="Times New Roman" w:hAnsi="Times New Roman" w:eastAsia="宋体" w:cs="Times New Roman"/>
                <w:color w:val="auto"/>
                <w:sz w:val="18"/>
                <w:szCs w:val="18"/>
                <w:highlight w:val="none"/>
              </w:rPr>
              <w:t>）要求</w:t>
            </w:r>
          </w:p>
        </w:tc>
        <w:tc>
          <w:tcPr>
            <w:tcW w:w="2326" w:type="dxa"/>
            <w:vAlign w:val="center"/>
          </w:tcPr>
          <w:p w14:paraId="5F5965F0">
            <w:pPr>
              <w:adjustRightInd w:val="0"/>
              <w:snapToGrid w:val="0"/>
              <w:jc w:val="center"/>
              <w:rPr>
                <w:rFonts w:ascii="宋体" w:hAnsi="宋体" w:cs="宋体"/>
                <w:sz w:val="18"/>
                <w:szCs w:val="18"/>
              </w:rPr>
            </w:pPr>
            <w:r>
              <w:rPr>
                <w:rFonts w:hint="eastAsia" w:ascii="宋体" w:hAnsi="宋体" w:cs="宋体"/>
                <w:sz w:val="18"/>
                <w:szCs w:val="18"/>
              </w:rPr>
              <w:t>创新指标要求</w:t>
            </w:r>
          </w:p>
          <w:p w14:paraId="63A848E1">
            <w:pPr>
              <w:adjustRightInd w:val="0"/>
              <w:snapToGrid w:val="0"/>
              <w:jc w:val="center"/>
              <w:rPr>
                <w:snapToGrid w:val="0"/>
                <w:sz w:val="18"/>
                <w:szCs w:val="18"/>
              </w:rPr>
            </w:pPr>
            <w:r>
              <w:rPr>
                <w:rFonts w:hint="eastAsia" w:ascii="宋体" w:hAnsi="宋体" w:cs="宋体"/>
                <w:sz w:val="18"/>
                <w:szCs w:val="18"/>
              </w:rPr>
              <w:t>领跑水平（</w:t>
            </w:r>
            <w:r>
              <w:rPr>
                <w:sz w:val="18"/>
                <w:szCs w:val="18"/>
              </w:rPr>
              <w:t>5</w:t>
            </w:r>
            <w:r>
              <w:rPr>
                <w:rFonts w:hint="eastAsia" w:ascii="宋体" w:hAnsi="宋体" w:cs="宋体"/>
                <w:sz w:val="18"/>
                <w:szCs w:val="18"/>
              </w:rPr>
              <w:t>星级）要求</w:t>
            </w:r>
          </w:p>
        </w:tc>
      </w:tr>
      <w:tr w14:paraId="6BE0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91" w:type="dxa"/>
            <w:vAlign w:val="center"/>
          </w:tcPr>
          <w:p w14:paraId="0E7F42FC">
            <w:pPr>
              <w:pStyle w:val="29"/>
              <w:ind w:firstLine="0" w:firstLineChars="0"/>
              <w:jc w:val="center"/>
              <w:rPr>
                <w:sz w:val="18"/>
                <w:szCs w:val="18"/>
              </w:rPr>
            </w:pPr>
            <w:r>
              <w:rPr>
                <w:rFonts w:hint="eastAsia" w:hAnsi="宋体" w:eastAsia="宋体" w:cs="宋体"/>
                <w:color w:val="auto"/>
                <w:sz w:val="18"/>
                <w:szCs w:val="18"/>
                <w:highlight w:val="none"/>
                <w:lang w:eastAsia="zh-CN"/>
              </w:rPr>
              <w:t>优质水平</w:t>
            </w:r>
          </w:p>
        </w:tc>
        <w:tc>
          <w:tcPr>
            <w:tcW w:w="1005" w:type="dxa"/>
            <w:vMerge w:val="continue"/>
            <w:vAlign w:val="center"/>
          </w:tcPr>
          <w:p w14:paraId="41F8EAC0">
            <w:pPr>
              <w:adjustRightInd w:val="0"/>
              <w:snapToGrid w:val="0"/>
              <w:jc w:val="center"/>
              <w:rPr>
                <w:sz w:val="18"/>
                <w:szCs w:val="18"/>
              </w:rPr>
            </w:pPr>
          </w:p>
        </w:tc>
        <w:tc>
          <w:tcPr>
            <w:tcW w:w="1335" w:type="dxa"/>
            <w:vMerge w:val="continue"/>
            <w:vAlign w:val="center"/>
          </w:tcPr>
          <w:p w14:paraId="0552A617">
            <w:pPr>
              <w:adjustRightInd w:val="0"/>
              <w:snapToGrid w:val="0"/>
              <w:jc w:val="center"/>
              <w:rPr>
                <w:sz w:val="18"/>
                <w:szCs w:val="18"/>
              </w:rPr>
            </w:pPr>
          </w:p>
        </w:tc>
        <w:tc>
          <w:tcPr>
            <w:tcW w:w="3323" w:type="dxa"/>
            <w:vAlign w:val="center"/>
          </w:tcPr>
          <w:p w14:paraId="4EBA67C4">
            <w:pPr>
              <w:adjustRightInd w:val="0"/>
              <w:snapToGrid w:val="0"/>
              <w:jc w:val="center"/>
              <w:rPr>
                <w:sz w:val="18"/>
                <w:szCs w:val="18"/>
              </w:rPr>
            </w:pPr>
            <w:r>
              <w:rPr>
                <w:rFonts w:hint="default" w:ascii="Times New Roman" w:hAnsi="Times New Roman" w:eastAsia="宋体" w:cs="Times New Roman"/>
                <w:color w:val="auto"/>
                <w:sz w:val="18"/>
                <w:szCs w:val="18"/>
                <w:highlight w:val="none"/>
              </w:rPr>
              <w:t>核心指标</w:t>
            </w:r>
            <w:r>
              <w:rPr>
                <w:rFonts w:hint="default" w:ascii="Times New Roman" w:hAnsi="Times New Roman" w:eastAsia="宋体" w:cs="Times New Roman"/>
                <w:color w:val="auto"/>
                <w:sz w:val="18"/>
                <w:szCs w:val="18"/>
                <w:highlight w:val="none"/>
                <w:lang w:val="en-US" w:eastAsia="zh-CN"/>
              </w:rPr>
              <w:t>不低于</w:t>
            </w:r>
            <w:r>
              <w:rPr>
                <w:rFonts w:hint="default" w:ascii="Times New Roman" w:hAnsi="Times New Roman" w:eastAsia="宋体" w:cs="Times New Roman"/>
                <w:color w:val="auto"/>
                <w:sz w:val="18"/>
                <w:szCs w:val="18"/>
                <w:highlight w:val="none"/>
                <w:lang w:eastAsia="zh-CN"/>
              </w:rPr>
              <w:t>优质水平</w:t>
            </w:r>
            <w:r>
              <w:rPr>
                <w:rFonts w:hint="default" w:ascii="Times New Roman" w:hAnsi="Times New Roman" w:eastAsia="宋体" w:cs="Times New Roman"/>
                <w:color w:val="auto"/>
                <w:sz w:val="18"/>
                <w:szCs w:val="18"/>
                <w:highlight w:val="none"/>
              </w:rPr>
              <w:t>（</w:t>
            </w:r>
            <w:r>
              <w:rPr>
                <w:rFonts w:hint="default" w:ascii="Times New Roman" w:hAnsi="Times New Roman" w:eastAsia="宋体" w:cs="Times New Roman"/>
                <w:color w:val="auto"/>
                <w:sz w:val="18"/>
                <w:szCs w:val="18"/>
                <w:highlight w:val="none"/>
                <w:lang w:val="en-US" w:eastAsia="zh-CN"/>
              </w:rPr>
              <w:t>4星级</w:t>
            </w:r>
            <w:r>
              <w:rPr>
                <w:rFonts w:hint="default" w:ascii="Times New Roman" w:hAnsi="Times New Roman" w:eastAsia="宋体" w:cs="Times New Roman"/>
                <w:color w:val="auto"/>
                <w:sz w:val="18"/>
                <w:szCs w:val="18"/>
                <w:highlight w:val="none"/>
              </w:rPr>
              <w:t>）要求</w:t>
            </w:r>
          </w:p>
        </w:tc>
        <w:tc>
          <w:tcPr>
            <w:tcW w:w="2326" w:type="dxa"/>
            <w:vAlign w:val="center"/>
          </w:tcPr>
          <w:p w14:paraId="121AE872">
            <w:pPr>
              <w:adjustRightInd w:val="0"/>
              <w:snapToGrid w:val="0"/>
              <w:jc w:val="center"/>
              <w:rPr>
                <w:rFonts w:ascii="宋体" w:hAnsi="宋体" w:cs="宋体"/>
                <w:sz w:val="18"/>
                <w:szCs w:val="18"/>
              </w:rPr>
            </w:pPr>
            <w:r>
              <w:rPr>
                <w:rFonts w:hint="eastAsia" w:ascii="宋体" w:hAnsi="宋体" w:cs="宋体"/>
                <w:sz w:val="18"/>
                <w:szCs w:val="18"/>
              </w:rPr>
              <w:t>创新指标要求</w:t>
            </w:r>
          </w:p>
          <w:p w14:paraId="2B4E293C">
            <w:pPr>
              <w:adjustRightInd w:val="0"/>
              <w:snapToGrid w:val="0"/>
              <w:jc w:val="center"/>
              <w:rPr>
                <w:sz w:val="18"/>
                <w:szCs w:val="18"/>
              </w:rPr>
            </w:pPr>
            <w:r>
              <w:rPr>
                <w:rFonts w:hint="eastAsia" w:ascii="宋体" w:hAnsi="宋体" w:cs="宋体"/>
                <w:sz w:val="18"/>
                <w:szCs w:val="18"/>
              </w:rPr>
              <w:t>优质水平（</w:t>
            </w:r>
            <w:r>
              <w:rPr>
                <w:sz w:val="18"/>
                <w:szCs w:val="18"/>
              </w:rPr>
              <w:t>4</w:t>
            </w:r>
            <w:r>
              <w:rPr>
                <w:rFonts w:hint="eastAsia" w:ascii="宋体" w:hAnsi="宋体" w:cs="宋体"/>
                <w:sz w:val="18"/>
                <w:szCs w:val="18"/>
              </w:rPr>
              <w:t>星级）要求</w:t>
            </w:r>
          </w:p>
        </w:tc>
      </w:tr>
      <w:tr w14:paraId="7769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91" w:type="dxa"/>
            <w:vAlign w:val="center"/>
          </w:tcPr>
          <w:p w14:paraId="3AF407B7">
            <w:pPr>
              <w:pStyle w:val="29"/>
              <w:ind w:firstLine="0" w:firstLineChars="0"/>
              <w:jc w:val="center"/>
              <w:rPr>
                <w:sz w:val="18"/>
                <w:szCs w:val="18"/>
              </w:rPr>
            </w:pPr>
            <w:r>
              <w:rPr>
                <w:rFonts w:hint="eastAsia" w:hAnsi="宋体" w:eastAsia="宋体" w:cs="宋体"/>
                <w:color w:val="auto"/>
                <w:sz w:val="18"/>
                <w:szCs w:val="18"/>
                <w:highlight w:val="none"/>
                <w:lang w:eastAsia="zh-CN"/>
              </w:rPr>
              <w:t>达标水平</w:t>
            </w:r>
          </w:p>
        </w:tc>
        <w:tc>
          <w:tcPr>
            <w:tcW w:w="1005" w:type="dxa"/>
            <w:vMerge w:val="continue"/>
            <w:vAlign w:val="center"/>
          </w:tcPr>
          <w:p w14:paraId="747F8968">
            <w:pPr>
              <w:adjustRightInd w:val="0"/>
              <w:snapToGrid w:val="0"/>
              <w:jc w:val="center"/>
              <w:rPr>
                <w:sz w:val="18"/>
                <w:szCs w:val="18"/>
              </w:rPr>
            </w:pPr>
          </w:p>
        </w:tc>
        <w:tc>
          <w:tcPr>
            <w:tcW w:w="1335" w:type="dxa"/>
            <w:vMerge w:val="continue"/>
            <w:vAlign w:val="center"/>
          </w:tcPr>
          <w:p w14:paraId="5BC74EEB">
            <w:pPr>
              <w:adjustRightInd w:val="0"/>
              <w:snapToGrid w:val="0"/>
              <w:jc w:val="center"/>
              <w:rPr>
                <w:sz w:val="18"/>
                <w:szCs w:val="18"/>
              </w:rPr>
            </w:pPr>
          </w:p>
        </w:tc>
        <w:tc>
          <w:tcPr>
            <w:tcW w:w="3323" w:type="dxa"/>
            <w:vAlign w:val="center"/>
          </w:tcPr>
          <w:p w14:paraId="082B7C32">
            <w:pPr>
              <w:adjustRightInd w:val="0"/>
              <w:snapToGrid w:val="0"/>
              <w:jc w:val="center"/>
              <w:rPr>
                <w:sz w:val="18"/>
                <w:szCs w:val="18"/>
              </w:rPr>
            </w:pPr>
            <w:r>
              <w:rPr>
                <w:rFonts w:hint="default" w:ascii="Times New Roman" w:hAnsi="Times New Roman" w:eastAsia="宋体" w:cs="Times New Roman"/>
                <w:color w:val="auto"/>
                <w:sz w:val="18"/>
                <w:szCs w:val="18"/>
                <w:highlight w:val="none"/>
              </w:rPr>
              <w:t>核心指标</w:t>
            </w:r>
            <w:r>
              <w:rPr>
                <w:rFonts w:hint="default" w:ascii="Times New Roman" w:hAnsi="Times New Roman" w:eastAsia="宋体" w:cs="Times New Roman"/>
                <w:color w:val="auto"/>
                <w:sz w:val="18"/>
                <w:szCs w:val="18"/>
                <w:highlight w:val="none"/>
                <w:lang w:val="en-US" w:eastAsia="zh-CN"/>
              </w:rPr>
              <w:t>不低于</w:t>
            </w:r>
            <w:r>
              <w:rPr>
                <w:rFonts w:hint="default" w:ascii="Times New Roman" w:hAnsi="Times New Roman" w:eastAsia="宋体" w:cs="Times New Roman"/>
                <w:color w:val="auto"/>
                <w:sz w:val="18"/>
                <w:szCs w:val="18"/>
                <w:highlight w:val="none"/>
                <w:lang w:eastAsia="zh-CN"/>
              </w:rPr>
              <w:t>达标水平</w:t>
            </w:r>
            <w:r>
              <w:rPr>
                <w:rFonts w:hint="default" w:ascii="Times New Roman" w:hAnsi="Times New Roman" w:eastAsia="宋体" w:cs="Times New Roman"/>
                <w:color w:val="auto"/>
                <w:sz w:val="18"/>
                <w:szCs w:val="18"/>
                <w:highlight w:val="none"/>
              </w:rPr>
              <w:t>（</w:t>
            </w:r>
            <w:r>
              <w:rPr>
                <w:rFonts w:hint="default" w:ascii="Times New Roman" w:hAnsi="Times New Roman" w:eastAsia="宋体" w:cs="Times New Roman"/>
                <w:color w:val="auto"/>
                <w:sz w:val="18"/>
                <w:szCs w:val="18"/>
                <w:highlight w:val="none"/>
                <w:lang w:val="en-US" w:eastAsia="zh-CN"/>
              </w:rPr>
              <w:t>3星级</w:t>
            </w:r>
            <w:r>
              <w:rPr>
                <w:rFonts w:hint="default" w:ascii="Times New Roman" w:hAnsi="Times New Roman" w:eastAsia="宋体" w:cs="Times New Roman"/>
                <w:color w:val="auto"/>
                <w:sz w:val="18"/>
                <w:szCs w:val="18"/>
                <w:highlight w:val="none"/>
              </w:rPr>
              <w:t>）要求</w:t>
            </w:r>
          </w:p>
        </w:tc>
        <w:tc>
          <w:tcPr>
            <w:tcW w:w="2326" w:type="dxa"/>
            <w:vAlign w:val="center"/>
          </w:tcPr>
          <w:p w14:paraId="07483015">
            <w:pPr>
              <w:adjustRightInd w:val="0"/>
              <w:snapToGrid w:val="0"/>
              <w:jc w:val="center"/>
              <w:rPr>
                <w:sz w:val="18"/>
                <w:szCs w:val="18"/>
              </w:rPr>
            </w:pPr>
            <w:r>
              <w:rPr>
                <w:sz w:val="18"/>
                <w:szCs w:val="18"/>
              </w:rPr>
              <w:t>—</w:t>
            </w:r>
          </w:p>
        </w:tc>
      </w:tr>
    </w:tbl>
    <w:p w14:paraId="6B8E415C">
      <w:pPr>
        <w:pStyle w:val="29"/>
        <w:sectPr>
          <w:headerReference r:id="rId19" w:type="default"/>
          <w:footerReference r:id="rId21" w:type="default"/>
          <w:headerReference r:id="rId20" w:type="even"/>
          <w:footerReference r:id="rId22" w:type="even"/>
          <w:pgSz w:w="11906" w:h="16838"/>
          <w:pgMar w:top="1417" w:right="1134" w:bottom="1134" w:left="1417" w:header="1417" w:footer="1134" w:gutter="0"/>
          <w:pgNumType w:start="1"/>
          <w:cols w:space="0" w:num="1"/>
          <w:formProt w:val="0"/>
          <w:docGrid w:type="lines" w:linePitch="312" w:charSpace="0"/>
        </w:sectPr>
      </w:pPr>
    </w:p>
    <w:p w14:paraId="13F5DB1B"/>
    <w:p w14:paraId="59E357CD">
      <w:pPr>
        <w:pStyle w:val="161"/>
        <w:keepNext w:val="0"/>
        <w:keepLines w:val="0"/>
        <w:pageBreakBefore w:val="0"/>
        <w:widowControl/>
        <w:kinsoku/>
        <w:wordWrap/>
        <w:overflowPunct/>
        <w:topLinePunct w:val="0"/>
        <w:autoSpaceDE/>
        <w:autoSpaceDN/>
        <w:bidi w:val="0"/>
        <w:adjustRightInd/>
        <w:snapToGrid/>
        <w:spacing w:before="850"/>
        <w:textAlignment w:val="auto"/>
        <w:rPr>
          <w:spacing w:val="20"/>
        </w:rPr>
      </w:pPr>
      <w:r>
        <w:br w:type="page"/>
      </w:r>
      <w:bookmarkStart w:id="37" w:name="_Toc26613"/>
      <w:bookmarkStart w:id="38" w:name="_Toc29870"/>
      <w:r>
        <w:rPr>
          <w:rFonts w:hint="eastAsia"/>
        </w:rPr>
        <w:t>附录</w:t>
      </w:r>
      <w:r>
        <w:rPr>
          <w:rFonts w:ascii="Times New Roman"/>
          <w:b/>
          <w:bCs/>
        </w:rPr>
        <w:t>A</w:t>
      </w:r>
      <w:bookmarkEnd w:id="37"/>
      <w:bookmarkEnd w:id="38"/>
      <w:bookmarkStart w:id="39" w:name="_Toc19288"/>
      <w:bookmarkStart w:id="40" w:name="_Toc104728230"/>
      <w:bookmarkStart w:id="41" w:name="_Toc8016"/>
      <w:bookmarkStart w:id="42" w:name="_Toc8753"/>
      <w:bookmarkStart w:id="43" w:name="_Toc31606"/>
      <w:bookmarkStart w:id="44" w:name="_Toc14736"/>
      <w:bookmarkStart w:id="45" w:name="_Toc116938998"/>
      <w:bookmarkStart w:id="46" w:name="_Toc103071272"/>
    </w:p>
    <w:p w14:paraId="01AC27C5">
      <w:pPr>
        <w:spacing w:before="79" w:beforeLines="25" w:after="79" w:afterLines="25"/>
        <w:jc w:val="center"/>
        <w:rPr>
          <w:rFonts w:hint="eastAsia" w:ascii="黑体" w:hAnsi="黑体" w:eastAsia="黑体" w:cs="黑体"/>
          <w:color w:val="000000" w:themeColor="text1"/>
          <w14:textFill>
            <w14:solidFill>
              <w14:schemeClr w14:val="tx1"/>
            </w14:solidFill>
          </w14:textFill>
        </w:rPr>
      </w:pPr>
      <w:r>
        <w:rPr>
          <w:rFonts w:hint="eastAsia" w:hAnsi="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14:textFill>
            <w14:solidFill>
              <w14:schemeClr w14:val="tx1"/>
            </w14:solidFill>
          </w14:textFill>
        </w:rPr>
        <w:t>资料性）</w:t>
      </w:r>
      <w:bookmarkEnd w:id="39"/>
      <w:bookmarkEnd w:id="40"/>
      <w:bookmarkEnd w:id="41"/>
      <w:bookmarkEnd w:id="42"/>
      <w:bookmarkEnd w:id="43"/>
      <w:bookmarkEnd w:id="44"/>
      <w:bookmarkEnd w:id="45"/>
      <w:bookmarkEnd w:id="46"/>
    </w:p>
    <w:p w14:paraId="447E714E">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黑体" w:hAnsi="黑体" w:eastAsia="黑体" w:cs="黑体"/>
        </w:rPr>
      </w:pPr>
      <w:r>
        <w:rPr>
          <w:rFonts w:hint="eastAsia" w:ascii="黑体" w:hAnsi="黑体" w:eastAsia="黑体" w:cs="黑体"/>
        </w:rPr>
        <w:t>自控程序组成及要求</w:t>
      </w:r>
    </w:p>
    <w:p w14:paraId="41CD94C8">
      <w:pPr>
        <w:pStyle w:val="162"/>
        <w:spacing w:before="156" w:beforeLines="50" w:after="156" w:afterLines="50"/>
        <w:ind w:left="0" w:leftChars="0" w:firstLine="0" w:firstLineChars="0"/>
        <w:rPr>
          <w:rFonts w:hint="eastAsia" w:ascii="黑体" w:hAnsi="黑体" w:eastAsia="黑体" w:cs="黑体"/>
          <w:szCs w:val="21"/>
        </w:rPr>
      </w:pPr>
      <w:r>
        <w:rPr>
          <w:rFonts w:ascii="Times New Roman" w:eastAsia="黑体"/>
          <w:b/>
          <w:bCs/>
          <w:szCs w:val="21"/>
        </w:rPr>
        <w:t>A</w:t>
      </w:r>
      <w:r>
        <w:rPr>
          <w:rFonts w:hint="eastAsia" w:ascii="黑体" w:hAnsi="黑体" w:eastAsia="黑体" w:cs="黑体"/>
          <w:szCs w:val="21"/>
        </w:rPr>
        <w:t xml:space="preserve">.1 </w:t>
      </w:r>
      <w:r>
        <w:rPr>
          <w:rFonts w:hint="eastAsia" w:ascii="黑体" w:hAnsi="黑体" w:eastAsia="黑体" w:cs="黑体"/>
          <w:b w:val="0"/>
          <w:bCs w:val="0"/>
          <w:szCs w:val="21"/>
        </w:rPr>
        <w:t>自动控制与仪表要求</w:t>
      </w:r>
    </w:p>
    <w:p w14:paraId="0D599E76">
      <w:pPr>
        <w:spacing w:before="157" w:beforeLines="50" w:after="157" w:afterLines="50"/>
        <w:rPr>
          <w:rFonts w:ascii="Times New Roman" w:hAnsi="Times New Roman" w:eastAsia="宋体" w:cs="Times New Roman"/>
          <w:b/>
          <w:bCs/>
          <w:color w:val="auto"/>
        </w:rPr>
      </w:pPr>
      <w:r>
        <w:rPr>
          <w:rFonts w:ascii="Times New Roman" w:hAnsi="Times New Roman" w:eastAsia="宋体" w:cs="Times New Roman"/>
          <w:b/>
          <w:bCs/>
          <w:color w:val="auto"/>
        </w:rPr>
        <w:t>A</w:t>
      </w:r>
      <w:r>
        <w:rPr>
          <w:rFonts w:hint="eastAsia" w:ascii="黑体" w:hAnsi="黑体" w:eastAsia="黑体" w:cs="黑体"/>
          <w:b w:val="0"/>
          <w:bCs w:val="0"/>
          <w:color w:val="auto"/>
        </w:rPr>
        <w:t>.</w:t>
      </w:r>
      <w:r>
        <w:rPr>
          <w:rFonts w:hint="eastAsia" w:ascii="黑体" w:hAnsi="黑体" w:eastAsia="黑体" w:cs="黑体"/>
          <w:b w:val="0"/>
          <w:bCs w:val="0"/>
          <w:color w:val="auto"/>
          <w:lang w:val="en-US" w:eastAsia="zh-CN"/>
        </w:rPr>
        <w:t>1</w:t>
      </w:r>
      <w:r>
        <w:rPr>
          <w:rFonts w:hint="eastAsia" w:ascii="黑体" w:hAnsi="黑体" w:eastAsia="黑体" w:cs="黑体"/>
          <w:b w:val="0"/>
          <w:bCs w:val="0"/>
          <w:color w:val="auto"/>
        </w:rPr>
        <w:t>.1 控制系统的结构</w:t>
      </w:r>
    </w:p>
    <w:p w14:paraId="0FE6FEBD">
      <w:pPr>
        <w:rPr>
          <w:rFonts w:ascii="Times New Roman" w:hAnsi="Times New Roman" w:eastAsia="宋体" w:cs="Times New Roman"/>
          <w:color w:val="auto"/>
        </w:rPr>
      </w:pPr>
      <w:r>
        <w:rPr>
          <w:rFonts w:ascii="Times New Roman" w:hAnsi="Times New Roman" w:eastAsia="宋体" w:cs="Times New Roman"/>
          <w:b/>
          <w:bCs/>
          <w:color w:val="auto"/>
        </w:rPr>
        <w:t>A</w:t>
      </w:r>
      <w:r>
        <w:rPr>
          <w:rFonts w:hint="eastAsia" w:ascii="黑体" w:hAnsi="黑体" w:eastAsia="黑体" w:cs="黑体"/>
          <w:b w:val="0"/>
          <w:bCs w:val="0"/>
          <w:color w:val="auto"/>
        </w:rPr>
        <w:t>.</w:t>
      </w:r>
      <w:r>
        <w:rPr>
          <w:rFonts w:hint="eastAsia" w:ascii="黑体" w:hAnsi="黑体" w:eastAsia="黑体" w:cs="黑体"/>
          <w:b w:val="0"/>
          <w:bCs w:val="0"/>
          <w:color w:val="auto"/>
          <w:lang w:val="en-US" w:eastAsia="zh-CN"/>
        </w:rPr>
        <w:t>1</w:t>
      </w:r>
      <w:r>
        <w:rPr>
          <w:rFonts w:hint="eastAsia" w:ascii="黑体" w:hAnsi="黑体" w:eastAsia="黑体" w:cs="黑体"/>
          <w:b w:val="0"/>
          <w:bCs w:val="0"/>
          <w:color w:val="auto"/>
        </w:rPr>
        <w:t>.1.1</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控制系统宜采用由控制层和设备层组成的两层结构。</w:t>
      </w:r>
    </w:p>
    <w:p w14:paraId="7B1E6298">
      <w:pPr>
        <w:rPr>
          <w:rFonts w:ascii="Times New Roman" w:hAnsi="Times New Roman" w:eastAsia="宋体" w:cs="Times New Roman"/>
          <w:color w:val="auto"/>
        </w:rPr>
      </w:pPr>
      <w:r>
        <w:rPr>
          <w:rFonts w:ascii="Times New Roman" w:hAnsi="Times New Roman" w:eastAsia="宋体" w:cs="Times New Roman"/>
          <w:b/>
          <w:bCs/>
          <w:color w:val="auto"/>
        </w:rPr>
        <w:t>A</w:t>
      </w:r>
      <w:r>
        <w:rPr>
          <w:rFonts w:hint="eastAsia" w:ascii="黑体" w:hAnsi="黑体" w:eastAsia="黑体" w:cs="黑体"/>
          <w:b w:val="0"/>
          <w:bCs w:val="0"/>
          <w:color w:val="auto"/>
        </w:rPr>
        <w:t>.</w:t>
      </w:r>
      <w:r>
        <w:rPr>
          <w:rFonts w:hint="eastAsia" w:ascii="黑体" w:hAnsi="黑体" w:eastAsia="黑体" w:cs="黑体"/>
          <w:b w:val="0"/>
          <w:bCs w:val="0"/>
          <w:color w:val="auto"/>
          <w:lang w:val="en-US" w:eastAsia="zh-CN"/>
        </w:rPr>
        <w:t>1</w:t>
      </w:r>
      <w:r>
        <w:rPr>
          <w:rFonts w:hint="eastAsia" w:ascii="黑体" w:hAnsi="黑体" w:eastAsia="黑体" w:cs="黑体"/>
          <w:b w:val="0"/>
          <w:bCs w:val="0"/>
          <w:color w:val="auto"/>
        </w:rPr>
        <w:t>.1.2</w:t>
      </w:r>
      <w:r>
        <w:rPr>
          <w:rFonts w:hint="eastAsia" w:ascii="Times New Roman" w:hAnsi="Times New Roman" w:eastAsia="宋体" w:cs="Times New Roman"/>
          <w:color w:val="auto"/>
        </w:rPr>
        <w:t xml:space="preserve"> 设备层的控制优先级应高于控制层，当控制层出现故障时，设备层</w:t>
      </w:r>
      <w:r>
        <w:rPr>
          <w:rFonts w:hint="eastAsia" w:cs="Times New Roman"/>
          <w:color w:val="auto"/>
          <w:lang w:val="en-US" w:eastAsia="zh-CN"/>
        </w:rPr>
        <w:t>应</w:t>
      </w:r>
      <w:r>
        <w:rPr>
          <w:rFonts w:hint="eastAsia" w:ascii="Times New Roman" w:hAnsi="Times New Roman" w:eastAsia="宋体" w:cs="Times New Roman"/>
          <w:color w:val="auto"/>
        </w:rPr>
        <w:t>可独立运行。</w:t>
      </w:r>
    </w:p>
    <w:p w14:paraId="0A4F7B2E">
      <w:pPr>
        <w:rPr>
          <w:rFonts w:ascii="Times New Roman" w:hAnsi="Times New Roman" w:eastAsia="宋体" w:cs="Times New Roman"/>
          <w:color w:val="auto"/>
        </w:rPr>
      </w:pPr>
      <w:r>
        <w:rPr>
          <w:rFonts w:ascii="Times New Roman" w:hAnsi="Times New Roman" w:eastAsia="宋体" w:cs="Times New Roman"/>
          <w:b/>
          <w:bCs/>
          <w:color w:val="auto"/>
        </w:rPr>
        <w:t>A</w:t>
      </w:r>
      <w:r>
        <w:rPr>
          <w:rFonts w:hint="eastAsia" w:ascii="黑体" w:hAnsi="黑体" w:eastAsia="黑体" w:cs="黑体"/>
          <w:b w:val="0"/>
          <w:bCs w:val="0"/>
          <w:color w:val="auto"/>
        </w:rPr>
        <w:t>.</w:t>
      </w:r>
      <w:r>
        <w:rPr>
          <w:rFonts w:hint="eastAsia" w:ascii="黑体" w:hAnsi="黑体" w:eastAsia="黑体" w:cs="黑体"/>
          <w:b w:val="0"/>
          <w:bCs w:val="0"/>
          <w:color w:val="auto"/>
          <w:lang w:val="en-US" w:eastAsia="zh-CN"/>
        </w:rPr>
        <w:t>1</w:t>
      </w:r>
      <w:r>
        <w:rPr>
          <w:rFonts w:hint="eastAsia" w:ascii="黑体" w:hAnsi="黑体" w:eastAsia="黑体" w:cs="黑体"/>
          <w:b w:val="0"/>
          <w:bCs w:val="0"/>
          <w:color w:val="auto"/>
        </w:rPr>
        <w:t>.1.3</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控制层宜采用可编程序控制</w:t>
      </w:r>
      <w:r>
        <w:rPr>
          <w:rFonts w:hint="default" w:ascii="Times New Roman" w:hAnsi="Times New Roman" w:eastAsia="宋体" w:cs="Times New Roman"/>
          <w:color w:val="auto"/>
        </w:rPr>
        <w:t>器(PLC</w:t>
      </w:r>
      <w:r>
        <w:rPr>
          <w:rFonts w:hint="eastAsia" w:cs="Times New Roman"/>
          <w:color w:val="auto"/>
          <w:lang w:eastAsia="zh-CN"/>
        </w:rPr>
        <w:t>，</w:t>
      </w:r>
      <w:r>
        <w:rPr>
          <w:rFonts w:hint="eastAsia" w:ascii="Times New Roman" w:hAnsi="Times New Roman" w:eastAsia="宋体" w:cs="Times New Roman"/>
          <w:color w:val="auto"/>
        </w:rPr>
        <w:t>为无人值守模式，操作方式可</w:t>
      </w:r>
      <w:r>
        <w:rPr>
          <w:rFonts w:hint="eastAsia" w:cs="Times New Roman"/>
          <w:color w:val="auto"/>
          <w:lang w:val="en-US" w:eastAsia="zh-CN"/>
        </w:rPr>
        <w:t>选择</w:t>
      </w:r>
      <w:r>
        <w:rPr>
          <w:rFonts w:hint="eastAsia" w:ascii="Times New Roman" w:hAnsi="Times New Roman" w:eastAsia="宋体" w:cs="Times New Roman"/>
          <w:color w:val="auto"/>
        </w:rPr>
        <w:t>面板按钮</w:t>
      </w:r>
      <w:r>
        <w:rPr>
          <w:rFonts w:hint="eastAsia" w:cs="Times New Roman"/>
          <w:color w:val="auto"/>
          <w:lang w:val="en-US" w:eastAsia="zh-CN"/>
        </w:rPr>
        <w:t>或</w:t>
      </w:r>
      <w:r>
        <w:rPr>
          <w:rFonts w:hint="eastAsia" w:ascii="Times New Roman" w:hAnsi="Times New Roman" w:eastAsia="宋体" w:cs="Times New Roman"/>
          <w:color w:val="auto"/>
        </w:rPr>
        <w:t>人机界面</w:t>
      </w:r>
      <w:r>
        <w:rPr>
          <w:rFonts w:hint="eastAsia" w:cs="Times New Roman"/>
          <w:color w:val="auto"/>
          <w:lang w:val="en-US" w:eastAsia="zh-CN"/>
        </w:rPr>
        <w:t>模式</w:t>
      </w:r>
      <w:r>
        <w:rPr>
          <w:rFonts w:hint="eastAsia" w:ascii="Times New Roman" w:hAnsi="Times New Roman" w:eastAsia="宋体" w:cs="Times New Roman"/>
          <w:color w:val="auto"/>
        </w:rPr>
        <w:t>。</w:t>
      </w:r>
    </w:p>
    <w:p w14:paraId="110F8ADC">
      <w:pPr>
        <w:rPr>
          <w:rFonts w:ascii="Times New Roman" w:hAnsi="Times New Roman" w:eastAsia="宋体" w:cs="Times New Roman"/>
          <w:color w:val="auto"/>
        </w:rPr>
      </w:pPr>
      <w:r>
        <w:rPr>
          <w:rFonts w:ascii="Times New Roman" w:hAnsi="Times New Roman" w:eastAsia="宋体" w:cs="Times New Roman"/>
          <w:b/>
          <w:bCs/>
          <w:color w:val="auto"/>
        </w:rPr>
        <w:t>A</w:t>
      </w:r>
      <w:r>
        <w:rPr>
          <w:rFonts w:hint="eastAsia" w:ascii="黑体" w:hAnsi="黑体" w:eastAsia="黑体" w:cs="黑体"/>
          <w:b w:val="0"/>
          <w:bCs w:val="0"/>
          <w:color w:val="auto"/>
        </w:rPr>
        <w:t>.</w:t>
      </w:r>
      <w:r>
        <w:rPr>
          <w:rFonts w:hint="eastAsia" w:ascii="黑体" w:hAnsi="黑体" w:eastAsia="黑体" w:cs="黑体"/>
          <w:b w:val="0"/>
          <w:bCs w:val="0"/>
          <w:color w:val="auto"/>
          <w:lang w:val="en-US" w:eastAsia="zh-CN"/>
        </w:rPr>
        <w:t>1</w:t>
      </w:r>
      <w:r>
        <w:rPr>
          <w:rFonts w:hint="eastAsia" w:ascii="黑体" w:hAnsi="黑体" w:eastAsia="黑体" w:cs="黑体"/>
          <w:b w:val="0"/>
          <w:bCs w:val="0"/>
          <w:color w:val="auto"/>
        </w:rPr>
        <w:t>.1.4</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设备层宜采用星型拓扑结构方式，以硬接线电缆连接仪表和设备。</w:t>
      </w:r>
    </w:p>
    <w:p w14:paraId="1B2BF140">
      <w:pPr>
        <w:spacing w:before="157" w:beforeLines="50" w:after="157" w:afterLines="50"/>
        <w:rPr>
          <w:rFonts w:ascii="Times New Roman" w:hAnsi="Times New Roman" w:eastAsia="宋体" w:cs="Times New Roman"/>
          <w:b/>
          <w:bCs/>
          <w:color w:val="auto"/>
        </w:rPr>
      </w:pPr>
      <w:r>
        <w:rPr>
          <w:rFonts w:ascii="Times New Roman" w:hAnsi="Times New Roman" w:eastAsia="宋体" w:cs="Times New Roman"/>
          <w:b/>
          <w:bCs/>
          <w:color w:val="auto"/>
        </w:rPr>
        <w:t>A</w:t>
      </w:r>
      <w:r>
        <w:rPr>
          <w:rFonts w:hint="eastAsia" w:ascii="黑体" w:hAnsi="黑体" w:eastAsia="黑体" w:cs="黑体"/>
          <w:b w:val="0"/>
          <w:bCs w:val="0"/>
          <w:color w:val="auto"/>
        </w:rPr>
        <w:t>.</w:t>
      </w:r>
      <w:r>
        <w:rPr>
          <w:rFonts w:hint="eastAsia" w:ascii="黑体" w:hAnsi="黑体" w:eastAsia="黑体" w:cs="黑体"/>
          <w:b w:val="0"/>
          <w:bCs w:val="0"/>
          <w:color w:val="auto"/>
          <w:lang w:val="en-US" w:eastAsia="zh-CN"/>
        </w:rPr>
        <w:t>1</w:t>
      </w:r>
      <w:r>
        <w:rPr>
          <w:rFonts w:hint="eastAsia" w:ascii="黑体" w:hAnsi="黑体" w:eastAsia="黑体" w:cs="黑体"/>
          <w:b w:val="0"/>
          <w:bCs w:val="0"/>
          <w:color w:val="auto"/>
        </w:rPr>
        <w:t>.2</w:t>
      </w:r>
      <w:r>
        <w:rPr>
          <w:rFonts w:ascii="Times New Roman" w:hAnsi="Times New Roman" w:eastAsia="宋体" w:cs="Times New Roman"/>
          <w:b/>
          <w:bCs/>
          <w:color w:val="auto"/>
        </w:rPr>
        <w:t xml:space="preserve"> </w:t>
      </w:r>
      <w:r>
        <w:rPr>
          <w:rFonts w:hint="eastAsia" w:ascii="黑体" w:hAnsi="黑体" w:eastAsia="黑体" w:cs="黑体"/>
          <w:b w:val="0"/>
          <w:bCs w:val="0"/>
          <w:color w:val="auto"/>
        </w:rPr>
        <w:t>控制系统的功能</w:t>
      </w:r>
    </w:p>
    <w:p w14:paraId="199174E6">
      <w:pPr>
        <w:rPr>
          <w:rFonts w:ascii="Times New Roman" w:hAnsi="Times New Roman" w:eastAsia="宋体" w:cs="Times New Roman"/>
          <w:color w:val="auto"/>
        </w:rPr>
      </w:pPr>
      <w:r>
        <w:rPr>
          <w:rFonts w:ascii="Times New Roman" w:hAnsi="Times New Roman" w:eastAsia="宋体" w:cs="Times New Roman"/>
          <w:b/>
          <w:bCs/>
          <w:color w:val="auto"/>
        </w:rPr>
        <w:t>A</w:t>
      </w:r>
      <w:r>
        <w:rPr>
          <w:rFonts w:hint="eastAsia" w:ascii="黑体" w:hAnsi="黑体" w:eastAsia="黑体" w:cs="黑体"/>
          <w:b w:val="0"/>
          <w:bCs w:val="0"/>
          <w:color w:val="auto"/>
        </w:rPr>
        <w:t>.</w:t>
      </w:r>
      <w:r>
        <w:rPr>
          <w:rFonts w:hint="eastAsia" w:ascii="黑体" w:hAnsi="黑体" w:eastAsia="黑体" w:cs="黑体"/>
          <w:b w:val="0"/>
          <w:bCs w:val="0"/>
          <w:color w:val="auto"/>
          <w:lang w:val="en-US" w:eastAsia="zh-CN"/>
        </w:rPr>
        <w:t>1</w:t>
      </w:r>
      <w:r>
        <w:rPr>
          <w:rFonts w:hint="eastAsia" w:ascii="黑体" w:hAnsi="黑体" w:eastAsia="黑体" w:cs="黑体"/>
          <w:b w:val="0"/>
          <w:bCs w:val="0"/>
          <w:color w:val="auto"/>
        </w:rPr>
        <w:t>.2.1</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控制系统应具有手动和自动两种控制方式。</w:t>
      </w:r>
    </w:p>
    <w:p w14:paraId="2BC599DE">
      <w:pPr>
        <w:rPr>
          <w:rFonts w:ascii="Times New Roman" w:hAnsi="Times New Roman" w:eastAsia="宋体" w:cs="Times New Roman"/>
          <w:color w:val="auto"/>
        </w:rPr>
      </w:pPr>
      <w:r>
        <w:rPr>
          <w:rFonts w:ascii="Times New Roman" w:hAnsi="Times New Roman" w:eastAsia="宋体" w:cs="Times New Roman"/>
          <w:b/>
          <w:bCs/>
          <w:color w:val="auto"/>
        </w:rPr>
        <w:t>A</w:t>
      </w:r>
      <w:r>
        <w:rPr>
          <w:rFonts w:hint="eastAsia" w:ascii="黑体" w:hAnsi="黑体" w:eastAsia="黑体" w:cs="黑体"/>
          <w:b w:val="0"/>
          <w:bCs w:val="0"/>
          <w:color w:val="auto"/>
        </w:rPr>
        <w:t>.</w:t>
      </w:r>
      <w:r>
        <w:rPr>
          <w:rFonts w:hint="eastAsia" w:ascii="黑体" w:hAnsi="黑体" w:eastAsia="黑体" w:cs="黑体"/>
          <w:b w:val="0"/>
          <w:bCs w:val="0"/>
          <w:color w:val="auto"/>
          <w:lang w:val="en-US" w:eastAsia="zh-CN"/>
        </w:rPr>
        <w:t>1</w:t>
      </w:r>
      <w:r>
        <w:rPr>
          <w:rFonts w:hint="eastAsia" w:ascii="黑体" w:hAnsi="黑体" w:eastAsia="黑体" w:cs="黑体"/>
          <w:b w:val="0"/>
          <w:bCs w:val="0"/>
          <w:color w:val="auto"/>
        </w:rPr>
        <w:t>.2.2</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控制系统运行监视范围可包括：各机械设备运行状态（运行、停止、故障）、</w:t>
      </w:r>
      <w:r>
        <w:rPr>
          <w:rFonts w:hint="eastAsia" w:ascii="Times New Roman" w:hAnsi="Times New Roman" w:eastAsia="宋体" w:cs="Times New Roman"/>
          <w:color w:val="auto"/>
          <w:lang w:val="en-US" w:eastAsia="zh-CN"/>
        </w:rPr>
        <w:t>进气、出气流量</w:t>
      </w:r>
      <w:r>
        <w:rPr>
          <w:rFonts w:hint="eastAsia" w:ascii="Times New Roman" w:hAnsi="Times New Roman" w:eastAsia="宋体" w:cs="Times New Roman"/>
          <w:color w:val="auto"/>
        </w:rPr>
        <w:t>，如需要，也可对进、出</w:t>
      </w:r>
      <w:r>
        <w:rPr>
          <w:rFonts w:hint="eastAsia" w:ascii="Times New Roman" w:hAnsi="Times New Roman" w:eastAsia="宋体" w:cs="Times New Roman"/>
          <w:color w:val="auto"/>
          <w:lang w:val="en-US" w:eastAsia="zh-CN"/>
        </w:rPr>
        <w:t>气主要污染物浓度</w:t>
      </w:r>
      <w:r>
        <w:rPr>
          <w:rFonts w:hint="eastAsia" w:ascii="Times New Roman" w:hAnsi="Times New Roman" w:eastAsia="宋体" w:cs="Times New Roman"/>
          <w:color w:val="auto"/>
        </w:rPr>
        <w:t>进行监视。</w:t>
      </w:r>
    </w:p>
    <w:p w14:paraId="5A097081">
      <w:pPr>
        <w:rPr>
          <w:rFonts w:ascii="Times New Roman" w:hAnsi="Times New Roman" w:eastAsia="宋体" w:cs="Times New Roman"/>
          <w:color w:val="auto"/>
        </w:rPr>
      </w:pPr>
      <w:r>
        <w:rPr>
          <w:rFonts w:ascii="Times New Roman" w:hAnsi="Times New Roman" w:eastAsia="宋体" w:cs="Times New Roman"/>
          <w:b/>
          <w:bCs/>
          <w:color w:val="auto"/>
        </w:rPr>
        <w:t>A</w:t>
      </w:r>
      <w:r>
        <w:rPr>
          <w:rFonts w:hint="eastAsia" w:ascii="黑体" w:hAnsi="黑体" w:eastAsia="黑体" w:cs="黑体"/>
          <w:b w:val="0"/>
          <w:bCs w:val="0"/>
          <w:color w:val="auto"/>
        </w:rPr>
        <w:t>.</w:t>
      </w:r>
      <w:r>
        <w:rPr>
          <w:rFonts w:hint="eastAsia" w:ascii="黑体" w:hAnsi="黑体" w:eastAsia="黑体" w:cs="黑体"/>
          <w:b w:val="0"/>
          <w:bCs w:val="0"/>
          <w:color w:val="auto"/>
          <w:lang w:val="en-US" w:eastAsia="zh-CN"/>
        </w:rPr>
        <w:t>1</w:t>
      </w:r>
      <w:r>
        <w:rPr>
          <w:rFonts w:hint="eastAsia" w:ascii="黑体" w:hAnsi="黑体" w:eastAsia="黑体" w:cs="黑体"/>
          <w:b w:val="0"/>
          <w:bCs w:val="0"/>
          <w:color w:val="auto"/>
        </w:rPr>
        <w:t>.2.3</w:t>
      </w:r>
      <w:r>
        <w:rPr>
          <w:rFonts w:hint="eastAsia" w:ascii="Times New Roman" w:hAnsi="Times New Roman" w:eastAsia="宋体" w:cs="Times New Roman"/>
          <w:color w:val="auto"/>
        </w:rPr>
        <w:t xml:space="preserve"> 控制系统应具有声、光报警功能。</w:t>
      </w:r>
    </w:p>
    <w:p w14:paraId="0EB6F698">
      <w:pPr>
        <w:rPr>
          <w:rFonts w:ascii="Times New Roman" w:hAnsi="Times New Roman" w:eastAsia="宋体" w:cs="Times New Roman"/>
          <w:color w:val="auto"/>
        </w:rPr>
      </w:pPr>
      <w:r>
        <w:rPr>
          <w:rFonts w:ascii="Times New Roman" w:hAnsi="Times New Roman" w:eastAsia="宋体" w:cs="Times New Roman"/>
          <w:b/>
          <w:bCs/>
          <w:color w:val="auto"/>
        </w:rPr>
        <w:t>A</w:t>
      </w:r>
      <w:r>
        <w:rPr>
          <w:rFonts w:hint="eastAsia" w:ascii="黑体" w:hAnsi="黑体" w:eastAsia="黑体" w:cs="黑体"/>
          <w:b w:val="0"/>
          <w:bCs w:val="0"/>
          <w:color w:val="auto"/>
        </w:rPr>
        <w:t>.</w:t>
      </w:r>
      <w:r>
        <w:rPr>
          <w:rFonts w:hint="eastAsia" w:ascii="黑体" w:hAnsi="黑体" w:eastAsia="黑体" w:cs="黑体"/>
          <w:b w:val="0"/>
          <w:bCs w:val="0"/>
          <w:color w:val="auto"/>
          <w:lang w:val="en-US" w:eastAsia="zh-CN"/>
        </w:rPr>
        <w:t>1</w:t>
      </w:r>
      <w:r>
        <w:rPr>
          <w:rFonts w:hint="eastAsia" w:ascii="黑体" w:hAnsi="黑体" w:eastAsia="黑体" w:cs="黑体"/>
          <w:b w:val="0"/>
          <w:bCs w:val="0"/>
          <w:color w:val="auto"/>
        </w:rPr>
        <w:t>.2.4</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当设备配有人机界面时，人机界面上应显示各机械设备及自动阀门的运行状态系统故障报警等内容</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循环液水位及pH等信息</w:t>
      </w:r>
      <w:r>
        <w:rPr>
          <w:rFonts w:hint="eastAsia" w:ascii="Times New Roman" w:hAnsi="Times New Roman" w:eastAsia="宋体" w:cs="Times New Roman"/>
          <w:color w:val="auto"/>
        </w:rPr>
        <w:t>，其管理软件可对监控对象进行形象图符设计、组态、链接、生成完整的实时监控画面，可采集各种数据并自动生成各种数据库和报表，供查询、修改、打印。</w:t>
      </w:r>
    </w:p>
    <w:p w14:paraId="58155F53">
      <w:pPr>
        <w:rPr>
          <w:rFonts w:ascii="Times New Roman" w:hAnsi="Times New Roman" w:eastAsia="宋体" w:cs="Times New Roman"/>
          <w:color w:val="auto"/>
        </w:rPr>
      </w:pPr>
      <w:r>
        <w:rPr>
          <w:rFonts w:ascii="Times New Roman" w:hAnsi="Times New Roman" w:eastAsia="宋体" w:cs="Times New Roman"/>
          <w:b/>
          <w:bCs/>
          <w:color w:val="auto"/>
        </w:rPr>
        <w:t>A</w:t>
      </w:r>
      <w:r>
        <w:rPr>
          <w:rFonts w:hint="eastAsia" w:ascii="黑体" w:hAnsi="黑体" w:eastAsia="黑体" w:cs="黑体"/>
          <w:b w:val="0"/>
          <w:bCs w:val="0"/>
          <w:color w:val="auto"/>
        </w:rPr>
        <w:t>.</w:t>
      </w:r>
      <w:r>
        <w:rPr>
          <w:rFonts w:hint="eastAsia" w:ascii="黑体" w:hAnsi="黑体" w:eastAsia="黑体" w:cs="黑体"/>
          <w:b w:val="0"/>
          <w:bCs w:val="0"/>
          <w:color w:val="auto"/>
          <w:lang w:val="en-US" w:eastAsia="zh-CN"/>
        </w:rPr>
        <w:t>1</w:t>
      </w:r>
      <w:r>
        <w:rPr>
          <w:rFonts w:hint="eastAsia" w:ascii="黑体" w:hAnsi="黑体" w:eastAsia="黑体" w:cs="黑体"/>
          <w:b w:val="0"/>
          <w:bCs w:val="0"/>
          <w:color w:val="auto"/>
        </w:rPr>
        <w:t>.2.5</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控制系统宜预留与外界通讯的接口。</w:t>
      </w:r>
    </w:p>
    <w:p w14:paraId="0E9D5935">
      <w:pPr>
        <w:spacing w:before="157" w:beforeLines="50" w:after="157" w:afterLines="50"/>
        <w:rPr>
          <w:rFonts w:ascii="Times New Roman" w:hAnsi="Times New Roman" w:eastAsia="宋体" w:cs="Times New Roman"/>
          <w:b/>
          <w:bCs/>
          <w:color w:val="auto"/>
        </w:rPr>
      </w:pPr>
      <w:r>
        <w:rPr>
          <w:rFonts w:ascii="Times New Roman" w:hAnsi="Times New Roman" w:eastAsia="宋体" w:cs="Times New Roman"/>
          <w:b/>
          <w:bCs/>
          <w:color w:val="auto"/>
        </w:rPr>
        <w:t>A</w:t>
      </w:r>
      <w:r>
        <w:rPr>
          <w:rFonts w:hint="eastAsia" w:ascii="黑体" w:hAnsi="黑体" w:eastAsia="黑体" w:cs="黑体"/>
          <w:b w:val="0"/>
          <w:bCs w:val="0"/>
          <w:color w:val="auto"/>
        </w:rPr>
        <w:t>.</w:t>
      </w:r>
      <w:r>
        <w:rPr>
          <w:rFonts w:hint="eastAsia" w:ascii="黑体" w:hAnsi="黑体" w:eastAsia="黑体" w:cs="黑体"/>
          <w:b w:val="0"/>
          <w:bCs w:val="0"/>
          <w:color w:val="auto"/>
          <w:lang w:val="en-US" w:eastAsia="zh-CN"/>
        </w:rPr>
        <w:t>1</w:t>
      </w:r>
      <w:r>
        <w:rPr>
          <w:rFonts w:hint="eastAsia" w:ascii="黑体" w:hAnsi="黑体" w:eastAsia="黑体" w:cs="黑体"/>
          <w:b w:val="0"/>
          <w:bCs w:val="0"/>
          <w:color w:val="auto"/>
        </w:rPr>
        <w:t>.3</w:t>
      </w:r>
      <w:r>
        <w:rPr>
          <w:rFonts w:ascii="Times New Roman" w:hAnsi="Times New Roman" w:eastAsia="宋体" w:cs="Times New Roman"/>
          <w:b/>
          <w:bCs/>
          <w:color w:val="auto"/>
        </w:rPr>
        <w:t xml:space="preserve"> </w:t>
      </w:r>
      <w:r>
        <w:rPr>
          <w:rFonts w:hint="eastAsia" w:ascii="黑体" w:hAnsi="黑体" w:eastAsia="黑体" w:cs="黑体"/>
          <w:b w:val="0"/>
          <w:bCs w:val="0"/>
          <w:color w:val="auto"/>
        </w:rPr>
        <w:t>仪表配置</w:t>
      </w:r>
    </w:p>
    <w:p w14:paraId="39B627F9">
      <w:pPr>
        <w:rPr>
          <w:rFonts w:ascii="Times New Roman" w:hAnsi="Times New Roman" w:eastAsia="宋体" w:cs="Times New Roman"/>
          <w:color w:val="auto"/>
        </w:rPr>
      </w:pPr>
      <w:r>
        <w:rPr>
          <w:rFonts w:ascii="Times New Roman" w:hAnsi="Times New Roman" w:eastAsia="宋体" w:cs="Times New Roman"/>
          <w:b/>
          <w:bCs/>
          <w:color w:val="auto"/>
        </w:rPr>
        <w:t>A</w:t>
      </w:r>
      <w:r>
        <w:rPr>
          <w:rFonts w:hint="eastAsia" w:ascii="黑体" w:hAnsi="黑体" w:eastAsia="黑体" w:cs="黑体"/>
          <w:b w:val="0"/>
          <w:bCs w:val="0"/>
          <w:color w:val="auto"/>
        </w:rPr>
        <w:t>.</w:t>
      </w:r>
      <w:r>
        <w:rPr>
          <w:rFonts w:hint="eastAsia" w:ascii="黑体" w:hAnsi="黑体" w:eastAsia="黑体" w:cs="黑体"/>
          <w:b w:val="0"/>
          <w:bCs w:val="0"/>
          <w:color w:val="auto"/>
          <w:lang w:val="en-US" w:eastAsia="zh-CN"/>
        </w:rPr>
        <w:t>1</w:t>
      </w:r>
      <w:r>
        <w:rPr>
          <w:rFonts w:hint="eastAsia" w:ascii="黑体" w:hAnsi="黑体" w:eastAsia="黑体" w:cs="黑体"/>
          <w:b w:val="0"/>
          <w:bCs w:val="0"/>
          <w:color w:val="auto"/>
        </w:rPr>
        <w:t>.3.1</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如工艺需要，</w:t>
      </w:r>
      <w:r>
        <w:rPr>
          <w:rFonts w:hint="eastAsia" w:ascii="Times New Roman" w:hAnsi="Times New Roman" w:eastAsia="宋体" w:cs="Times New Roman"/>
          <w:color w:val="auto"/>
          <w:lang w:val="en-US" w:eastAsia="zh-CN"/>
        </w:rPr>
        <w:t>循环液池（罐）</w:t>
      </w:r>
      <w:r>
        <w:rPr>
          <w:rFonts w:hint="eastAsia" w:ascii="Times New Roman" w:hAnsi="Times New Roman" w:eastAsia="宋体" w:cs="Times New Roman"/>
          <w:color w:val="auto"/>
        </w:rPr>
        <w:t>应设置液位测量仪表</w:t>
      </w:r>
      <w:r>
        <w:rPr>
          <w:rFonts w:hint="eastAsia" w:ascii="Times New Roman" w:hAnsi="Times New Roman" w:eastAsia="宋体" w:cs="Times New Roman"/>
          <w:color w:val="auto"/>
          <w:lang w:val="en-US" w:eastAsia="zh-CN"/>
        </w:rPr>
        <w:t>和pH自控系统</w:t>
      </w:r>
      <w:r>
        <w:rPr>
          <w:rFonts w:hint="eastAsia" w:ascii="Times New Roman" w:hAnsi="Times New Roman" w:eastAsia="宋体" w:cs="Times New Roman"/>
          <w:color w:val="auto"/>
        </w:rPr>
        <w:t>，以监测水位</w:t>
      </w:r>
      <w:r>
        <w:rPr>
          <w:rFonts w:hint="eastAsia" w:ascii="Times New Roman" w:hAnsi="Times New Roman" w:eastAsia="宋体" w:cs="Times New Roman"/>
          <w:color w:val="auto"/>
          <w:lang w:val="en-US" w:eastAsia="zh-CN"/>
        </w:rPr>
        <w:t>和循环液pH</w:t>
      </w:r>
      <w:r>
        <w:rPr>
          <w:rFonts w:hint="eastAsia" w:ascii="Times New Roman" w:hAnsi="Times New Roman" w:eastAsia="宋体" w:cs="Times New Roman"/>
          <w:color w:val="auto"/>
        </w:rPr>
        <w:t>。应采取屏蔽水位波动以及避免污泥粘附的措施，所选液位测量仪表</w:t>
      </w:r>
      <w:r>
        <w:rPr>
          <w:rFonts w:hint="eastAsia" w:ascii="Times New Roman" w:hAnsi="Times New Roman" w:eastAsia="宋体" w:cs="Times New Roman"/>
          <w:color w:val="auto"/>
          <w:lang w:val="en-US" w:eastAsia="zh-CN"/>
        </w:rPr>
        <w:t>和pH测定仪</w:t>
      </w:r>
      <w:r>
        <w:rPr>
          <w:rFonts w:hint="eastAsia" w:ascii="Times New Roman" w:hAnsi="Times New Roman" w:eastAsia="宋体" w:cs="Times New Roman"/>
          <w:color w:val="auto"/>
        </w:rPr>
        <w:t>应符合相关标准的规定。</w:t>
      </w:r>
    </w:p>
    <w:p w14:paraId="7EABA79C">
      <w:pPr>
        <w:rPr>
          <w:rFonts w:ascii="Times New Roman" w:hAnsi="Times New Roman" w:eastAsia="宋体" w:cs="Times New Roman"/>
          <w:color w:val="auto"/>
        </w:rPr>
      </w:pPr>
      <w:r>
        <w:rPr>
          <w:rFonts w:ascii="Times New Roman" w:hAnsi="Times New Roman" w:eastAsia="宋体" w:cs="Times New Roman"/>
          <w:b/>
          <w:bCs/>
          <w:color w:val="auto"/>
        </w:rPr>
        <w:t>A</w:t>
      </w:r>
      <w:r>
        <w:rPr>
          <w:rFonts w:hint="eastAsia" w:ascii="黑体" w:hAnsi="黑体" w:eastAsia="黑体" w:cs="黑体"/>
          <w:b w:val="0"/>
          <w:bCs w:val="0"/>
          <w:color w:val="auto"/>
        </w:rPr>
        <w:t>.</w:t>
      </w:r>
      <w:r>
        <w:rPr>
          <w:rFonts w:hint="eastAsia" w:ascii="黑体" w:hAnsi="黑体" w:eastAsia="黑体" w:cs="黑体"/>
          <w:b w:val="0"/>
          <w:bCs w:val="0"/>
          <w:color w:val="auto"/>
          <w:lang w:val="en-US" w:eastAsia="zh-CN"/>
        </w:rPr>
        <w:t>1</w:t>
      </w:r>
      <w:r>
        <w:rPr>
          <w:rFonts w:hint="eastAsia" w:ascii="黑体" w:hAnsi="黑体" w:eastAsia="黑体" w:cs="黑体"/>
          <w:b w:val="0"/>
          <w:bCs w:val="0"/>
          <w:color w:val="auto"/>
        </w:rPr>
        <w:t>.3.2</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应配置</w:t>
      </w:r>
      <w:r>
        <w:rPr>
          <w:rFonts w:hint="eastAsia" w:ascii="Times New Roman" w:hAnsi="Times New Roman" w:eastAsia="宋体" w:cs="Times New Roman"/>
          <w:color w:val="auto"/>
          <w:lang w:val="en-US" w:eastAsia="zh-CN"/>
        </w:rPr>
        <w:t>风量</w:t>
      </w:r>
      <w:r>
        <w:rPr>
          <w:rFonts w:hint="eastAsia" w:ascii="Times New Roman" w:hAnsi="Times New Roman" w:eastAsia="宋体" w:cs="Times New Roman"/>
          <w:color w:val="auto"/>
        </w:rPr>
        <w:t>测量仪表，以监测</w:t>
      </w:r>
      <w:r>
        <w:rPr>
          <w:rFonts w:hint="eastAsia" w:ascii="Times New Roman" w:hAnsi="Times New Roman" w:eastAsia="宋体" w:cs="Times New Roman"/>
          <w:color w:val="auto"/>
          <w:lang w:val="en-US" w:eastAsia="zh-CN"/>
        </w:rPr>
        <w:t>装置的进气量和出气量</w:t>
      </w:r>
      <w:r>
        <w:rPr>
          <w:rFonts w:hint="eastAsia" w:ascii="Times New Roman" w:hAnsi="Times New Roman" w:eastAsia="宋体" w:cs="Times New Roman"/>
          <w:color w:val="auto"/>
        </w:rPr>
        <w:t>。所选</w:t>
      </w:r>
      <w:r>
        <w:rPr>
          <w:rFonts w:hint="eastAsia" w:cs="Times New Roman"/>
          <w:color w:val="auto"/>
          <w:lang w:val="en-US" w:eastAsia="zh-CN"/>
        </w:rPr>
        <w:t>风量</w:t>
      </w:r>
      <w:r>
        <w:rPr>
          <w:rFonts w:hint="eastAsia" w:ascii="Times New Roman" w:hAnsi="Times New Roman" w:eastAsia="宋体" w:cs="Times New Roman"/>
          <w:color w:val="auto"/>
        </w:rPr>
        <w:t>测量仪表根据选型的不同应分别符合CJ/ T 3063、JB/ T 9246、JB/ T 9248、JB/ T 9249和JB/ T 9255的规定 。</w:t>
      </w:r>
    </w:p>
    <w:p w14:paraId="22FBD789">
      <w:pPr>
        <w:rPr>
          <w:rFonts w:ascii="Times New Roman" w:hAnsi="Times New Roman" w:eastAsia="宋体" w:cs="Times New Roman"/>
          <w:color w:val="auto"/>
        </w:rPr>
      </w:pPr>
      <w:r>
        <w:rPr>
          <w:rFonts w:ascii="Times New Roman" w:hAnsi="Times New Roman" w:eastAsia="宋体" w:cs="Times New Roman"/>
          <w:b/>
          <w:bCs/>
          <w:color w:val="auto"/>
        </w:rPr>
        <w:t>A</w:t>
      </w:r>
      <w:r>
        <w:rPr>
          <w:rFonts w:hint="eastAsia" w:ascii="黑体" w:hAnsi="黑体" w:eastAsia="黑体" w:cs="黑体"/>
          <w:b w:val="0"/>
          <w:bCs w:val="0"/>
          <w:color w:val="auto"/>
        </w:rPr>
        <w:t>.</w:t>
      </w:r>
      <w:r>
        <w:rPr>
          <w:rFonts w:hint="eastAsia" w:ascii="黑体" w:hAnsi="黑体" w:eastAsia="黑体" w:cs="黑体"/>
          <w:b w:val="0"/>
          <w:bCs w:val="0"/>
          <w:color w:val="auto"/>
          <w:lang w:val="en-US" w:eastAsia="zh-CN"/>
        </w:rPr>
        <w:t>1</w:t>
      </w:r>
      <w:r>
        <w:rPr>
          <w:rFonts w:hint="eastAsia" w:ascii="黑体" w:hAnsi="黑体" w:eastAsia="黑体" w:cs="黑体"/>
          <w:b w:val="0"/>
          <w:bCs w:val="0"/>
          <w:color w:val="auto"/>
        </w:rPr>
        <w:t>.3.3</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宜设置</w:t>
      </w:r>
      <w:r>
        <w:rPr>
          <w:rFonts w:hint="eastAsia" w:ascii="Times New Roman" w:hAnsi="Times New Roman" w:eastAsia="宋体" w:cs="Times New Roman"/>
          <w:color w:val="auto"/>
          <w:lang w:val="en-US" w:eastAsia="zh-CN"/>
        </w:rPr>
        <w:t>气体成分和浓度</w:t>
      </w:r>
      <w:r>
        <w:rPr>
          <w:rFonts w:hint="eastAsia" w:ascii="Times New Roman" w:hAnsi="Times New Roman" w:eastAsia="宋体" w:cs="Times New Roman"/>
          <w:color w:val="auto"/>
        </w:rPr>
        <w:t>监测仪表，以对</w:t>
      </w:r>
      <w:r>
        <w:rPr>
          <w:rFonts w:hint="eastAsia" w:ascii="Times New Roman" w:hAnsi="Times New Roman" w:eastAsia="宋体" w:cs="Times New Roman"/>
          <w:color w:val="auto"/>
          <w:lang w:val="en-US" w:eastAsia="zh-CN"/>
        </w:rPr>
        <w:t>进气和出气中主要污染物和浓度</w:t>
      </w:r>
      <w:r>
        <w:rPr>
          <w:rFonts w:hint="eastAsia" w:ascii="Times New Roman" w:hAnsi="Times New Roman" w:eastAsia="宋体" w:cs="Times New Roman"/>
          <w:color w:val="auto"/>
        </w:rPr>
        <w:t>等指标进行实时在线连续监测</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以评估净化装置的处理效能</w:t>
      </w:r>
      <w:r>
        <w:rPr>
          <w:rFonts w:hint="eastAsia" w:ascii="Times New Roman" w:hAnsi="Times New Roman" w:eastAsia="宋体" w:cs="Times New Roman"/>
          <w:color w:val="auto"/>
        </w:rPr>
        <w:t>。所选仪表应符合相关标准的规定。</w:t>
      </w:r>
    </w:p>
    <w:p w14:paraId="7346D47C">
      <w:pPr>
        <w:rPr>
          <w:rFonts w:ascii="Times New Roman" w:hAnsi="Times New Roman" w:eastAsia="宋体" w:cs="Times New Roman"/>
          <w:color w:val="auto"/>
        </w:rPr>
      </w:pPr>
      <w:r>
        <w:rPr>
          <w:rFonts w:ascii="Times New Roman" w:hAnsi="Times New Roman" w:eastAsia="宋体" w:cs="Times New Roman"/>
          <w:b/>
          <w:bCs/>
          <w:color w:val="auto"/>
        </w:rPr>
        <w:t>A</w:t>
      </w:r>
      <w:r>
        <w:rPr>
          <w:rFonts w:hint="eastAsia" w:ascii="黑体" w:hAnsi="黑体" w:eastAsia="黑体" w:cs="黑体"/>
          <w:color w:val="auto"/>
        </w:rPr>
        <w:t>.</w:t>
      </w:r>
      <w:r>
        <w:rPr>
          <w:rFonts w:hint="eastAsia" w:ascii="黑体" w:hAnsi="黑体" w:eastAsia="黑体" w:cs="黑体"/>
          <w:color w:val="auto"/>
          <w:lang w:val="en-US" w:eastAsia="zh-CN"/>
        </w:rPr>
        <w:t>1</w:t>
      </w:r>
      <w:r>
        <w:rPr>
          <w:rFonts w:hint="eastAsia" w:ascii="黑体" w:hAnsi="黑体" w:eastAsia="黑体" w:cs="黑体"/>
          <w:color w:val="auto"/>
        </w:rPr>
        <w:t>.3.4</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仪表的量程和精度应满足设备所选用的</w:t>
      </w:r>
      <w:r>
        <w:rPr>
          <w:rFonts w:hint="eastAsia" w:ascii="Times New Roman" w:hAnsi="Times New Roman" w:eastAsia="宋体" w:cs="Times New Roman"/>
          <w:color w:val="auto"/>
          <w:lang w:val="en-US" w:eastAsia="zh-CN"/>
        </w:rPr>
        <w:t>废气</w:t>
      </w:r>
      <w:r>
        <w:rPr>
          <w:rFonts w:hint="eastAsia" w:ascii="Times New Roman" w:hAnsi="Times New Roman" w:eastAsia="宋体" w:cs="Times New Roman"/>
          <w:color w:val="auto"/>
        </w:rPr>
        <w:t>处理工艺的要求。</w:t>
      </w:r>
    </w:p>
    <w:p w14:paraId="00FE8F74">
      <w:pPr>
        <w:rPr>
          <w:rFonts w:ascii="Times New Roman" w:hAnsi="Times New Roman" w:eastAsia="宋体" w:cs="Times New Roman"/>
          <w:color w:val="auto"/>
        </w:rPr>
      </w:pPr>
      <w:r>
        <w:rPr>
          <w:rFonts w:ascii="Times New Roman" w:hAnsi="Times New Roman" w:eastAsia="宋体" w:cs="Times New Roman"/>
          <w:b/>
          <w:bCs/>
          <w:color w:val="auto"/>
        </w:rPr>
        <w:t>A</w:t>
      </w:r>
      <w:r>
        <w:rPr>
          <w:rFonts w:hint="eastAsia" w:ascii="黑体" w:hAnsi="黑体" w:eastAsia="黑体" w:cs="黑体"/>
          <w:color w:val="auto"/>
        </w:rPr>
        <w:t>.</w:t>
      </w:r>
      <w:r>
        <w:rPr>
          <w:rFonts w:hint="eastAsia" w:ascii="黑体" w:hAnsi="黑体" w:eastAsia="黑体" w:cs="黑体"/>
          <w:color w:val="auto"/>
          <w:lang w:val="en-US" w:eastAsia="zh-CN"/>
        </w:rPr>
        <w:t>1</w:t>
      </w:r>
      <w:r>
        <w:rPr>
          <w:rFonts w:hint="eastAsia" w:ascii="黑体" w:hAnsi="黑体" w:eastAsia="黑体" w:cs="黑体"/>
          <w:color w:val="auto"/>
        </w:rPr>
        <w:t>.3.5</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监测和测量仪表应按照控制系统的要求提供标准的电流或电压信号输出或总线式的通信接口。</w:t>
      </w:r>
    </w:p>
    <w:p w14:paraId="1A57D369">
      <w:pPr>
        <w:rPr>
          <w:rFonts w:ascii="Times New Roman" w:hAnsi="Times New Roman" w:eastAsia="宋体" w:cs="Times New Roman"/>
          <w:color w:val="auto"/>
        </w:rPr>
      </w:pPr>
      <w:r>
        <w:rPr>
          <w:rFonts w:ascii="Times New Roman" w:hAnsi="Times New Roman" w:eastAsia="宋体" w:cs="Times New Roman"/>
          <w:b/>
          <w:bCs/>
          <w:color w:val="auto"/>
        </w:rPr>
        <w:t>A</w:t>
      </w:r>
      <w:r>
        <w:rPr>
          <w:rFonts w:hint="eastAsia" w:ascii="黑体" w:hAnsi="黑体" w:eastAsia="黑体" w:cs="黑体"/>
          <w:color w:val="auto"/>
        </w:rPr>
        <w:t>.</w:t>
      </w:r>
      <w:r>
        <w:rPr>
          <w:rFonts w:hint="eastAsia" w:ascii="黑体" w:hAnsi="黑体" w:eastAsia="黑体" w:cs="黑体"/>
          <w:color w:val="auto"/>
          <w:lang w:val="en-US" w:eastAsia="zh-CN"/>
        </w:rPr>
        <w:t>1</w:t>
      </w:r>
      <w:r>
        <w:rPr>
          <w:rFonts w:hint="eastAsia" w:ascii="黑体" w:hAnsi="黑体" w:eastAsia="黑体" w:cs="黑体"/>
          <w:color w:val="auto"/>
        </w:rPr>
        <w:t>.3.6</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直接与</w:t>
      </w:r>
      <w:r>
        <w:rPr>
          <w:rFonts w:hint="eastAsia" w:ascii="Times New Roman" w:hAnsi="Times New Roman" w:eastAsia="宋体" w:cs="Times New Roman"/>
          <w:color w:val="auto"/>
          <w:lang w:val="en-US" w:eastAsia="zh-CN"/>
        </w:rPr>
        <w:t>废气</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循环液</w:t>
      </w:r>
      <w:r>
        <w:rPr>
          <w:rFonts w:hint="eastAsia" w:ascii="Times New Roman" w:hAnsi="Times New Roman" w:eastAsia="宋体" w:cs="Times New Roman"/>
          <w:color w:val="auto"/>
        </w:rPr>
        <w:t>接触的仪表传感器防护等级不应</w:t>
      </w:r>
      <w:r>
        <w:rPr>
          <w:rFonts w:hint="eastAsia" w:cs="Times New Roman"/>
          <w:color w:val="auto"/>
          <w:lang w:val="en-US" w:eastAsia="zh-CN"/>
        </w:rPr>
        <w:t>低</w:t>
      </w:r>
      <w:r>
        <w:rPr>
          <w:rFonts w:hint="eastAsia" w:ascii="Times New Roman" w:hAnsi="Times New Roman" w:eastAsia="宋体" w:cs="Times New Roman"/>
          <w:color w:val="auto"/>
        </w:rPr>
        <w:t xml:space="preserve">于GB 4208—2008中的IP 68 </w:t>
      </w:r>
      <w:r>
        <w:rPr>
          <w:rFonts w:hint="eastAsia" w:cs="Times New Roman"/>
          <w:color w:val="auto"/>
          <w:lang w:val="en-US" w:eastAsia="zh-CN"/>
        </w:rPr>
        <w:t>要求</w:t>
      </w:r>
      <w:r>
        <w:rPr>
          <w:rFonts w:hint="eastAsia" w:ascii="Times New Roman" w:hAnsi="Times New Roman" w:eastAsia="宋体" w:cs="Times New Roman"/>
          <w:color w:val="auto"/>
        </w:rPr>
        <w:t>。</w:t>
      </w:r>
    </w:p>
    <w:p w14:paraId="67C82CA8">
      <w:pPr>
        <w:rPr>
          <w:rFonts w:ascii="Times New Roman"/>
          <w:kern w:val="2"/>
          <w:szCs w:val="21"/>
        </w:rPr>
      </w:pPr>
      <w:r>
        <w:rPr>
          <w:rFonts w:ascii="Times New Roman"/>
          <w:kern w:val="2"/>
          <w:szCs w:val="21"/>
        </w:rPr>
        <w:br w:type="page"/>
      </w:r>
    </w:p>
    <w:p w14:paraId="6F967AD5">
      <w:pPr>
        <w:pStyle w:val="161"/>
        <w:keepNext w:val="0"/>
        <w:keepLines w:val="0"/>
        <w:pageBreakBefore w:val="0"/>
        <w:widowControl/>
        <w:kinsoku/>
        <w:wordWrap/>
        <w:overflowPunct/>
        <w:topLinePunct w:val="0"/>
        <w:autoSpaceDE/>
        <w:autoSpaceDN/>
        <w:bidi w:val="0"/>
        <w:adjustRightInd/>
        <w:snapToGrid w:val="0"/>
        <w:spacing w:before="600"/>
        <w:textAlignment w:val="auto"/>
        <w:outlineLvl w:val="9"/>
        <w:rPr>
          <w:rFonts w:hint="eastAsia"/>
        </w:rPr>
      </w:pPr>
    </w:p>
    <w:p w14:paraId="36ED66A6">
      <w:pPr>
        <w:pStyle w:val="161"/>
        <w:keepNext w:val="0"/>
        <w:keepLines w:val="0"/>
        <w:pageBreakBefore w:val="0"/>
        <w:widowControl/>
        <w:kinsoku/>
        <w:wordWrap/>
        <w:overflowPunct/>
        <w:topLinePunct w:val="0"/>
        <w:autoSpaceDE/>
        <w:autoSpaceDN/>
        <w:bidi w:val="0"/>
        <w:adjustRightInd/>
        <w:snapToGrid w:val="0"/>
        <w:spacing w:before="600"/>
        <w:textAlignment w:val="auto"/>
      </w:pPr>
      <w:bookmarkStart w:id="47" w:name="_Toc1495"/>
      <w:r>
        <w:rPr>
          <w:rFonts w:hint="eastAsia"/>
        </w:rPr>
        <w:t>附录</w:t>
      </w:r>
      <w:r>
        <w:rPr>
          <w:rFonts w:ascii="Times New Roman"/>
          <w:b/>
          <w:bCs/>
        </w:rPr>
        <w:t>B</w:t>
      </w:r>
      <w:bookmarkEnd w:id="47"/>
    </w:p>
    <w:p w14:paraId="4C87BB68">
      <w:pPr>
        <w:spacing w:before="79" w:beforeLines="25" w:after="79" w:afterLines="25"/>
        <w:jc w:val="center"/>
        <w:rPr>
          <w:szCs w:val="21"/>
        </w:rPr>
      </w:pPr>
      <w:r>
        <w:rPr>
          <w:rFonts w:hint="eastAsia" w:hAnsi="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14:textFill>
            <w14:solidFill>
              <w14:schemeClr w14:val="tx1"/>
            </w14:solidFill>
          </w14:textFill>
        </w:rPr>
        <w:t>资料性）</w:t>
      </w:r>
    </w:p>
    <w:p w14:paraId="0E2D5B1A">
      <w:pPr>
        <w:pStyle w:val="161"/>
        <w:spacing w:before="79" w:beforeLines="25" w:after="79" w:afterLines="25"/>
        <w:outlineLvl w:val="9"/>
        <w:rPr>
          <w:rFonts w:ascii="Times New Roman"/>
          <w:kern w:val="2"/>
          <w:szCs w:val="21"/>
        </w:rPr>
      </w:pPr>
      <w:r>
        <w:rPr>
          <w:rFonts w:hint="eastAsia" w:ascii="Times New Roman"/>
          <w:kern w:val="2"/>
          <w:szCs w:val="21"/>
        </w:rPr>
        <w:t>复合</w:t>
      </w:r>
      <w:r>
        <w:rPr>
          <w:rFonts w:hint="eastAsia" w:ascii="Times New Roman"/>
          <w:kern w:val="2"/>
          <w:szCs w:val="21"/>
          <w:lang w:val="en-US" w:eastAsia="zh-CN"/>
        </w:rPr>
        <w:t>微生态制剂</w:t>
      </w:r>
      <w:r>
        <w:rPr>
          <w:rFonts w:hint="eastAsia" w:ascii="Times New Roman"/>
          <w:kern w:val="2"/>
          <w:szCs w:val="21"/>
        </w:rPr>
        <w:t>要求</w:t>
      </w:r>
    </w:p>
    <w:p w14:paraId="799027FB">
      <w:pPr>
        <w:pStyle w:val="162"/>
        <w:adjustRightInd w:val="0"/>
        <w:snapToGrid w:val="0"/>
        <w:spacing w:before="156" w:beforeLines="50" w:after="156" w:afterLines="50"/>
        <w:ind w:firstLine="0" w:firstLineChars="0"/>
        <w:rPr>
          <w:rFonts w:hint="eastAsia" w:ascii="Times New Roman" w:eastAsia="黑体"/>
          <w:b/>
          <w:bCs/>
          <w:szCs w:val="21"/>
          <w:lang w:val="en-US" w:eastAsia="zh-CN"/>
        </w:rPr>
      </w:pPr>
      <w:r>
        <w:rPr>
          <w:rFonts w:hint="eastAsia" w:ascii="Times New Roman" w:eastAsia="黑体"/>
          <w:b/>
          <w:bCs/>
          <w:szCs w:val="21"/>
          <w:lang w:val="en-US" w:eastAsia="zh-CN"/>
        </w:rPr>
        <w:t>B</w:t>
      </w:r>
      <w:r>
        <w:rPr>
          <w:rFonts w:hint="eastAsia" w:ascii="黑体" w:hAnsi="黑体" w:eastAsia="黑体" w:cs="黑体"/>
          <w:b w:val="0"/>
          <w:bCs w:val="0"/>
          <w:szCs w:val="21"/>
        </w:rPr>
        <w:t>.</w:t>
      </w:r>
      <w:r>
        <w:rPr>
          <w:rFonts w:hint="eastAsia" w:ascii="黑体" w:hAnsi="黑体" w:eastAsia="黑体" w:cs="黑体"/>
          <w:b w:val="0"/>
          <w:bCs w:val="0"/>
          <w:szCs w:val="21"/>
          <w:lang w:val="en-US" w:eastAsia="zh-CN"/>
        </w:rPr>
        <w:t>1</w:t>
      </w:r>
      <w:r>
        <w:rPr>
          <w:rFonts w:hint="eastAsia" w:ascii="Times New Roman" w:eastAsia="黑体"/>
          <w:b/>
          <w:bCs/>
          <w:szCs w:val="21"/>
        </w:rPr>
        <w:t xml:space="preserve"> </w:t>
      </w:r>
      <w:r>
        <w:rPr>
          <w:rFonts w:hint="eastAsia" w:ascii="Times New Roman" w:eastAsia="黑体"/>
          <w:b w:val="0"/>
          <w:bCs w:val="0"/>
          <w:szCs w:val="21"/>
          <w:lang w:val="en-US" w:eastAsia="zh-CN"/>
        </w:rPr>
        <w:t>复合微生态制剂组成</w:t>
      </w:r>
    </w:p>
    <w:p w14:paraId="3CF2EBFD">
      <w:pPr>
        <w:bidi w:val="0"/>
        <w:jc w:val="left"/>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B</w:t>
      </w:r>
      <w:r>
        <w:rPr>
          <w:rFonts w:hint="eastAsia" w:ascii="黑体" w:hAnsi="黑体" w:eastAsia="黑体" w:cs="黑体"/>
          <w:b w:val="0"/>
          <w:bCs w:val="0"/>
          <w:color w:val="auto"/>
          <w:lang w:val="en-US" w:eastAsia="zh-CN"/>
        </w:rPr>
        <w:t>.1.1</w:t>
      </w:r>
      <w:r>
        <w:rPr>
          <w:rFonts w:hint="eastAsia" w:ascii="Times New Roman" w:hAnsi="Times New Roman" w:cs="Times New Roman"/>
          <w:color w:val="auto"/>
          <w:lang w:val="en-US" w:eastAsia="zh-CN"/>
        </w:rPr>
        <w:t xml:space="preserve"> 复合微生态制剂分为固态和液态，它们含有的活性成分是</w:t>
      </w:r>
      <w:r>
        <w:rPr>
          <w:rFonts w:hint="eastAsia" w:cs="Times New Roman"/>
          <w:color w:val="auto"/>
          <w:lang w:val="en-US" w:eastAsia="zh-CN"/>
        </w:rPr>
        <w:t>具</w:t>
      </w:r>
      <w:r>
        <w:rPr>
          <w:rFonts w:hint="eastAsia" w:ascii="Times New Roman" w:hAnsi="Times New Roman" w:cs="Times New Roman"/>
          <w:color w:val="auto"/>
          <w:lang w:val="en-US" w:eastAsia="zh-CN"/>
        </w:rPr>
        <w:t>有特定功能的降解菌。</w:t>
      </w:r>
    </w:p>
    <w:p w14:paraId="592052F7">
      <w:pPr>
        <w:bidi w:val="0"/>
        <w:jc w:val="left"/>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B</w:t>
      </w:r>
      <w:r>
        <w:rPr>
          <w:rFonts w:hint="eastAsia" w:ascii="黑体" w:hAnsi="黑体" w:eastAsia="黑体" w:cs="黑体"/>
          <w:b w:val="0"/>
          <w:bCs w:val="0"/>
          <w:color w:val="auto"/>
          <w:lang w:val="en-US" w:eastAsia="zh-CN"/>
        </w:rPr>
        <w:t>.1.2</w:t>
      </w:r>
      <w:r>
        <w:rPr>
          <w:rFonts w:hint="eastAsia" w:ascii="Times New Roman" w:hAnsi="Times New Roman" w:cs="Times New Roman"/>
          <w:color w:val="auto"/>
          <w:lang w:val="en-US" w:eastAsia="zh-CN"/>
        </w:rPr>
        <w:t xml:space="preserve"> 固态微生态制剂采用的载体一般是木屑、麦麸等，液态微生态制剂采用的载体一般是菌种发酵液。</w:t>
      </w:r>
    </w:p>
    <w:p w14:paraId="399995F8">
      <w:pPr>
        <w:bidi w:val="0"/>
        <w:jc w:val="left"/>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B</w:t>
      </w:r>
      <w:r>
        <w:rPr>
          <w:rFonts w:hint="eastAsia" w:ascii="黑体" w:hAnsi="黑体" w:eastAsia="黑体" w:cs="黑体"/>
          <w:b w:val="0"/>
          <w:bCs w:val="0"/>
          <w:color w:val="auto"/>
          <w:lang w:val="en-US" w:eastAsia="zh-CN"/>
        </w:rPr>
        <w:t>.1.3</w:t>
      </w:r>
      <w:r>
        <w:rPr>
          <w:rFonts w:hint="eastAsia" w:ascii="Times New Roman" w:hAnsi="Times New Roman" w:cs="Times New Roman"/>
          <w:color w:val="auto"/>
          <w:lang w:val="en-US" w:eastAsia="zh-CN"/>
        </w:rPr>
        <w:t xml:space="preserve"> </w:t>
      </w:r>
      <w:r>
        <w:rPr>
          <w:rFonts w:hint="eastAsia" w:cs="Times New Roman"/>
          <w:color w:val="auto"/>
          <w:lang w:val="en-US" w:eastAsia="zh-CN"/>
        </w:rPr>
        <w:t>具有</w:t>
      </w:r>
      <w:r>
        <w:rPr>
          <w:rFonts w:hint="eastAsia" w:ascii="Times New Roman" w:hAnsi="Times New Roman" w:cs="Times New Roman"/>
          <w:color w:val="auto"/>
          <w:lang w:val="en-US" w:eastAsia="zh-CN"/>
        </w:rPr>
        <w:t>特定功能的降解菌一般从自然环境中筛选获得，对某类气态污染物（如苯系物、含硫有机物、卤代烃等）</w:t>
      </w:r>
      <w:r>
        <w:rPr>
          <w:rFonts w:hint="eastAsia" w:cs="Times New Roman"/>
          <w:color w:val="auto"/>
          <w:lang w:val="en-US" w:eastAsia="zh-CN"/>
        </w:rPr>
        <w:t>应</w:t>
      </w:r>
      <w:r>
        <w:rPr>
          <w:rFonts w:hint="eastAsia" w:ascii="Times New Roman" w:hAnsi="Times New Roman" w:cs="Times New Roman"/>
          <w:color w:val="auto"/>
          <w:lang w:val="en-US" w:eastAsia="zh-CN"/>
        </w:rPr>
        <w:t>具有较好的降解性能，且对环境无害。</w:t>
      </w:r>
    </w:p>
    <w:p w14:paraId="0CC48F21">
      <w:pPr>
        <w:pStyle w:val="162"/>
        <w:adjustRightInd w:val="0"/>
        <w:snapToGrid w:val="0"/>
        <w:spacing w:before="156" w:beforeLines="50" w:after="156" w:afterLines="50"/>
        <w:ind w:firstLine="0" w:firstLineChars="0"/>
        <w:rPr>
          <w:rFonts w:hint="eastAsia" w:ascii="Times New Roman" w:eastAsia="黑体"/>
          <w:b/>
          <w:bCs/>
          <w:szCs w:val="21"/>
          <w:lang w:val="en-US" w:eastAsia="zh-CN"/>
        </w:rPr>
      </w:pPr>
      <w:r>
        <w:rPr>
          <w:rFonts w:hint="eastAsia" w:ascii="Times New Roman" w:eastAsia="黑体"/>
          <w:b/>
          <w:bCs/>
          <w:szCs w:val="21"/>
          <w:lang w:val="en-US" w:eastAsia="zh-CN"/>
        </w:rPr>
        <w:t>B</w:t>
      </w:r>
      <w:r>
        <w:rPr>
          <w:rFonts w:hint="eastAsia" w:ascii="黑体" w:hAnsi="黑体" w:eastAsia="黑体" w:cs="黑体"/>
          <w:b w:val="0"/>
          <w:bCs w:val="0"/>
          <w:szCs w:val="21"/>
          <w:lang w:val="en-US" w:eastAsia="zh-CN"/>
        </w:rPr>
        <w:t>.2</w:t>
      </w:r>
      <w:r>
        <w:rPr>
          <w:rFonts w:hint="eastAsia" w:ascii="Times New Roman" w:eastAsia="黑体"/>
          <w:b/>
          <w:bCs/>
          <w:szCs w:val="21"/>
          <w:lang w:val="en-US" w:eastAsia="zh-CN"/>
        </w:rPr>
        <w:t xml:space="preserve"> </w:t>
      </w:r>
      <w:r>
        <w:rPr>
          <w:rFonts w:hint="eastAsia" w:ascii="Times New Roman" w:eastAsia="黑体"/>
          <w:b w:val="0"/>
          <w:bCs w:val="0"/>
          <w:szCs w:val="21"/>
          <w:lang w:val="en-US" w:eastAsia="zh-CN"/>
        </w:rPr>
        <w:t>复合微生态制剂特性</w:t>
      </w:r>
    </w:p>
    <w:p w14:paraId="55EC7E0C">
      <w:pPr>
        <w:bidi w:val="0"/>
        <w:jc w:val="left"/>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B</w:t>
      </w:r>
      <w:r>
        <w:rPr>
          <w:rFonts w:hint="eastAsia" w:ascii="黑体" w:hAnsi="黑体" w:eastAsia="黑体" w:cs="黑体"/>
          <w:b w:val="0"/>
          <w:bCs w:val="0"/>
          <w:color w:val="auto"/>
          <w:lang w:val="en-US" w:eastAsia="zh-CN"/>
        </w:rPr>
        <w:t>.2.1</w:t>
      </w:r>
      <w:r>
        <w:rPr>
          <w:rFonts w:hint="eastAsia" w:ascii="Times New Roman" w:hAnsi="Times New Roman" w:cs="Times New Roman"/>
          <w:color w:val="auto"/>
          <w:lang w:val="en-US" w:eastAsia="zh-CN"/>
        </w:rPr>
        <w:t xml:space="preserve"> 复合微生态制剂有效菌落数</w:t>
      </w:r>
      <w:r>
        <w:rPr>
          <w:rFonts w:hint="eastAsia" w:cs="Times New Roman"/>
          <w:color w:val="auto"/>
          <w:lang w:val="en-US" w:eastAsia="zh-CN"/>
        </w:rPr>
        <w:t>范围</w:t>
      </w:r>
      <w:r>
        <w:rPr>
          <w:rFonts w:hint="eastAsia" w:ascii="Times New Roman" w:hAnsi="Times New Roman" w:cs="Times New Roman"/>
          <w:color w:val="auto"/>
          <w:lang w:val="en-US" w:eastAsia="zh-CN"/>
        </w:rPr>
        <w:t>一般在10</w:t>
      </w:r>
      <w:r>
        <w:rPr>
          <w:rFonts w:hint="eastAsia" w:ascii="Times New Roman" w:hAnsi="Times New Roman" w:cs="Times New Roman"/>
          <w:color w:val="auto"/>
          <w:vertAlign w:val="superscript"/>
          <w:lang w:val="en-US" w:eastAsia="zh-CN"/>
        </w:rPr>
        <w:t>7</w:t>
      </w:r>
      <w:r>
        <w:rPr>
          <w:rFonts w:hint="eastAsia" w:ascii="Times New Roman" w:hAnsi="Times New Roman" w:cs="Times New Roman"/>
          <w:color w:val="auto"/>
          <w:lang w:val="en-US" w:eastAsia="zh-CN"/>
        </w:rPr>
        <w:t>CFU/g</w:t>
      </w:r>
      <w:r>
        <w:rPr>
          <w:rFonts w:hint="eastAsia" w:cs="Times New Roman"/>
          <w:color w:val="auto"/>
          <w:lang w:val="en-US" w:eastAsia="zh-CN"/>
        </w:rPr>
        <w:t>~</w:t>
      </w:r>
      <w:r>
        <w:rPr>
          <w:rFonts w:hint="eastAsia" w:ascii="Times New Roman" w:hAnsi="Times New Roman" w:cs="Times New Roman"/>
          <w:color w:val="auto"/>
          <w:lang w:val="en-US" w:eastAsia="zh-CN"/>
        </w:rPr>
        <w:t>10</w:t>
      </w:r>
      <w:r>
        <w:rPr>
          <w:rFonts w:hint="eastAsia" w:ascii="Times New Roman" w:hAnsi="Times New Roman" w:cs="Times New Roman"/>
          <w:color w:val="auto"/>
          <w:vertAlign w:val="superscript"/>
          <w:lang w:val="en-US" w:eastAsia="zh-CN"/>
        </w:rPr>
        <w:t>9</w:t>
      </w:r>
      <w:r>
        <w:rPr>
          <w:rFonts w:hint="eastAsia" w:ascii="Times New Roman" w:hAnsi="Times New Roman" w:cs="Times New Roman"/>
          <w:color w:val="auto"/>
          <w:lang w:val="en-US" w:eastAsia="zh-CN"/>
        </w:rPr>
        <w:t>CFU/g。</w:t>
      </w:r>
    </w:p>
    <w:p w14:paraId="1DA90AB1">
      <w:pPr>
        <w:bidi w:val="0"/>
        <w:jc w:val="left"/>
        <w:rPr>
          <w:rFonts w:hint="default" w:ascii="Times New Roman" w:hAnsi="Times New Roman" w:cs="Times New Roman"/>
          <w:color w:val="auto"/>
          <w:lang w:val="en-US" w:eastAsia="zh-CN"/>
        </w:rPr>
      </w:pPr>
      <w:r>
        <w:rPr>
          <w:rFonts w:hint="eastAsia" w:ascii="Times New Roman" w:hAnsi="Times New Roman" w:cs="Times New Roman"/>
          <w:b/>
          <w:bCs/>
          <w:color w:val="auto"/>
          <w:lang w:val="en-US" w:eastAsia="zh-CN"/>
        </w:rPr>
        <w:t>B</w:t>
      </w:r>
      <w:r>
        <w:rPr>
          <w:rFonts w:hint="eastAsia" w:ascii="黑体" w:hAnsi="黑体" w:eastAsia="黑体" w:cs="黑体"/>
          <w:b w:val="0"/>
          <w:bCs w:val="0"/>
          <w:color w:val="auto"/>
          <w:lang w:val="en-US" w:eastAsia="zh-CN"/>
        </w:rPr>
        <w:t>.2.2</w:t>
      </w:r>
      <w:r>
        <w:rPr>
          <w:rFonts w:hint="eastAsia" w:ascii="Times New Roman" w:hAnsi="Times New Roman" w:cs="Times New Roman"/>
          <w:color w:val="auto"/>
          <w:lang w:val="en-US" w:eastAsia="zh-CN"/>
        </w:rPr>
        <w:t xml:space="preserve"> 复合微生态制剂使用后</w:t>
      </w:r>
      <w:r>
        <w:rPr>
          <w:rFonts w:hint="eastAsia" w:cs="Times New Roman"/>
          <w:color w:val="auto"/>
          <w:lang w:val="en-US" w:eastAsia="zh-CN"/>
        </w:rPr>
        <w:t>应</w:t>
      </w:r>
      <w:r>
        <w:rPr>
          <w:rFonts w:hint="eastAsia" w:ascii="Times New Roman" w:hAnsi="Times New Roman" w:cs="Times New Roman"/>
          <w:color w:val="auto"/>
          <w:lang w:val="en-US" w:eastAsia="zh-CN"/>
        </w:rPr>
        <w:t>能显著缩短生物反应装置的启动时间、生物膜形成时间，</w:t>
      </w:r>
      <w:r>
        <w:rPr>
          <w:rFonts w:hint="eastAsia" w:cs="Times New Roman"/>
          <w:color w:val="auto"/>
          <w:lang w:val="en-US" w:eastAsia="zh-CN"/>
        </w:rPr>
        <w:t>可</w:t>
      </w:r>
      <w:r>
        <w:rPr>
          <w:rFonts w:hint="eastAsia" w:ascii="Times New Roman" w:hAnsi="Times New Roman" w:cs="Times New Roman"/>
          <w:color w:val="auto"/>
          <w:lang w:val="en-US" w:eastAsia="zh-CN"/>
        </w:rPr>
        <w:t>提高特定污染物的净化效率。</w:t>
      </w:r>
    </w:p>
    <w:p w14:paraId="13E339BA">
      <w:pPr>
        <w:bidi w:val="0"/>
        <w:jc w:val="center"/>
        <w:rPr>
          <w:rFonts w:hint="default" w:ascii="Times New Roman" w:hAnsi="Times New Roman" w:cs="Times New Roman"/>
          <w:color w:val="auto"/>
          <w:lang w:val="en-US" w:eastAsia="zh-CN"/>
        </w:rPr>
      </w:pPr>
    </w:p>
    <w:p w14:paraId="01D235BA">
      <w:pPr>
        <w:bidi w:val="0"/>
        <w:jc w:val="left"/>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注：本附录中关于复合微生态制剂性能指标</w:t>
      </w:r>
      <w:r>
        <w:rPr>
          <w:rFonts w:hint="eastAsia" w:cs="Times New Roman"/>
          <w:color w:val="auto"/>
          <w:lang w:val="en-US" w:eastAsia="zh-CN"/>
        </w:rPr>
        <w:t>的判定，</w:t>
      </w:r>
      <w:r>
        <w:rPr>
          <w:rFonts w:hint="eastAsia" w:ascii="Times New Roman" w:hAnsi="Times New Roman" w:cs="Times New Roman"/>
          <w:color w:val="auto"/>
          <w:lang w:val="en-US" w:eastAsia="zh-CN"/>
        </w:rPr>
        <w:t>需提供第三方检测机构出具的相关报告供评价是否满足本</w:t>
      </w:r>
      <w:r>
        <w:rPr>
          <w:rFonts w:hint="eastAsia" w:cs="Times New Roman"/>
          <w:color w:val="auto"/>
          <w:lang w:val="en-US" w:eastAsia="zh-CN"/>
        </w:rPr>
        <w:t>文件</w:t>
      </w:r>
      <w:r>
        <w:rPr>
          <w:rFonts w:hint="eastAsia" w:ascii="Times New Roman" w:hAnsi="Times New Roman" w:cs="Times New Roman"/>
          <w:color w:val="auto"/>
          <w:lang w:val="en-US" w:eastAsia="zh-CN"/>
        </w:rPr>
        <w:t>所列的创新指标。</w:t>
      </w:r>
    </w:p>
    <w:p w14:paraId="194216F9">
      <w:pPr>
        <w:widowControl/>
        <w:numPr>
          <w:ilvl w:val="255"/>
          <w:numId w:val="0"/>
        </w:numPr>
        <w:adjustRightInd w:val="0"/>
        <w:snapToGrid w:val="0"/>
        <w:spacing w:before="156" w:beforeLines="50"/>
        <w:jc w:val="left"/>
        <w:rPr>
          <w:rFonts w:hint="eastAsia"/>
          <w:color w:val="000000" w:themeColor="text1"/>
          <w:kern w:val="1"/>
          <w:szCs w:val="21"/>
          <w:lang w:bidi="ar"/>
          <w14:textFill>
            <w14:solidFill>
              <w14:schemeClr w14:val="tx1"/>
            </w14:solidFill>
          </w14:textFill>
        </w:rPr>
      </w:pPr>
      <w:bookmarkStart w:id="52" w:name="_GoBack"/>
      <w:bookmarkEnd w:id="52"/>
    </w:p>
    <w:p w14:paraId="7128A248">
      <w:pPr>
        <w:jc w:val="left"/>
        <w:rPr>
          <w:color w:val="000000" w:themeColor="text1"/>
          <w:kern w:val="1"/>
          <w:szCs w:val="21"/>
          <w:lang w:bidi="ar"/>
          <w14:textFill>
            <w14:solidFill>
              <w14:schemeClr w14:val="tx1"/>
            </w14:solidFill>
          </w14:textFill>
        </w:rPr>
      </w:pPr>
      <w:r>
        <w:rPr>
          <w:color w:val="000000" w:themeColor="text1"/>
          <w:kern w:val="1"/>
          <w:szCs w:val="21"/>
          <w:lang w:bidi="ar"/>
          <w14:textFill>
            <w14:solidFill>
              <w14:schemeClr w14:val="tx1"/>
            </w14:solidFill>
          </w14:textFill>
        </w:rPr>
        <w:br w:type="page"/>
      </w:r>
    </w:p>
    <w:p w14:paraId="5BC5EC8A">
      <w:pPr>
        <w:pStyle w:val="161"/>
        <w:spacing w:before="650"/>
        <w:outlineLvl w:val="9"/>
        <w:rPr>
          <w:rFonts w:hint="eastAsia"/>
        </w:rPr>
      </w:pPr>
    </w:p>
    <w:p w14:paraId="3EE69107">
      <w:pPr>
        <w:pStyle w:val="161"/>
        <w:keepNext w:val="0"/>
        <w:keepLines w:val="0"/>
        <w:pageBreakBefore w:val="0"/>
        <w:widowControl/>
        <w:kinsoku/>
        <w:wordWrap/>
        <w:overflowPunct/>
        <w:topLinePunct w:val="0"/>
        <w:autoSpaceDE/>
        <w:autoSpaceDN/>
        <w:bidi w:val="0"/>
        <w:adjustRightInd/>
        <w:snapToGrid/>
        <w:spacing w:before="600"/>
        <w:textAlignment w:val="auto"/>
        <w:rPr>
          <w:spacing w:val="20"/>
        </w:rPr>
      </w:pPr>
      <w:bookmarkStart w:id="48" w:name="_Toc14299"/>
      <w:r>
        <w:rPr>
          <w:rFonts w:hint="eastAsia"/>
        </w:rPr>
        <w:t>附录</w:t>
      </w:r>
      <w:r>
        <w:rPr>
          <w:rFonts w:hint="eastAsia" w:ascii="Times New Roman"/>
          <w:b/>
          <w:bCs/>
        </w:rPr>
        <w:t>C</w:t>
      </w:r>
      <w:bookmarkEnd w:id="48"/>
    </w:p>
    <w:p w14:paraId="2E569089">
      <w:pPr>
        <w:spacing w:before="79" w:beforeLines="25" w:after="79" w:afterLines="25"/>
        <w:jc w:val="center"/>
        <w:rPr>
          <w:rFonts w:hint="eastAsia" w:ascii="黑体" w:hAnsi="黑体" w:eastAsia="黑体" w:cs="黑体"/>
          <w:color w:val="000000" w:themeColor="text1"/>
          <w14:textFill>
            <w14:solidFill>
              <w14:schemeClr w14:val="tx1"/>
            </w14:solidFill>
          </w14:textFill>
        </w:rPr>
      </w:pPr>
      <w:r>
        <w:rPr>
          <w:rFonts w:hint="eastAsia" w:hAnsi="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14:textFill>
            <w14:solidFill>
              <w14:schemeClr w14:val="tx1"/>
            </w14:solidFill>
          </w14:textFill>
        </w:rPr>
        <w:t>资料性）</w:t>
      </w:r>
    </w:p>
    <w:p w14:paraId="49F3AD30">
      <w:pPr>
        <w:autoSpaceDE w:val="0"/>
        <w:autoSpaceDN w:val="0"/>
        <w:spacing w:before="79" w:beforeLines="25" w:after="79" w:afterLines="25"/>
        <w:jc w:val="center"/>
        <w:rPr>
          <w:rFonts w:hint="eastAsia" w:ascii="黑体" w:hAnsi="黑体" w:eastAsia="黑体" w:cs="黑体"/>
        </w:rPr>
      </w:pPr>
      <w:r>
        <w:rPr>
          <w:rFonts w:hint="eastAsia" w:ascii="黑体" w:hAnsi="黑体" w:eastAsia="黑体" w:cs="黑体"/>
        </w:rPr>
        <w:t>新型填料要求</w:t>
      </w:r>
    </w:p>
    <w:p w14:paraId="7B211413">
      <w:pPr>
        <w:pStyle w:val="162"/>
        <w:bidi w:val="0"/>
        <w:adjustRightInd w:val="0"/>
        <w:snapToGrid w:val="0"/>
        <w:spacing w:before="156" w:beforeLines="50" w:after="156" w:afterLines="50"/>
        <w:ind w:firstLine="0" w:firstLineChars="0"/>
        <w:jc w:val="left"/>
        <w:rPr>
          <w:rFonts w:hint="eastAsia" w:ascii="Times New Roman" w:hAnsi="Times New Roman" w:eastAsia="黑体" w:cs="Times New Roman"/>
          <w:b/>
          <w:bCs/>
          <w:color w:val="auto"/>
          <w:szCs w:val="21"/>
          <w:lang w:val="en-US" w:eastAsia="zh-CN"/>
        </w:rPr>
      </w:pPr>
      <w:r>
        <w:rPr>
          <w:rFonts w:hint="eastAsia" w:ascii="Times New Roman" w:hAnsi="Times New Roman" w:eastAsia="黑体" w:cs="Times New Roman"/>
          <w:b/>
          <w:bCs/>
          <w:color w:val="auto"/>
          <w:szCs w:val="21"/>
          <w:lang w:val="en-US" w:eastAsia="zh-CN"/>
        </w:rPr>
        <w:t>C</w:t>
      </w:r>
      <w:r>
        <w:rPr>
          <w:rFonts w:hint="eastAsia" w:ascii="Times New Roman" w:hAnsi="Times New Roman" w:eastAsia="黑体" w:cs="Times New Roman"/>
          <w:b/>
          <w:bCs/>
          <w:color w:val="auto"/>
          <w:szCs w:val="21"/>
        </w:rPr>
        <w:t>.</w:t>
      </w:r>
      <w:r>
        <w:rPr>
          <w:rFonts w:hint="eastAsia" w:ascii="黑体" w:hAnsi="黑体" w:eastAsia="黑体" w:cs="黑体"/>
          <w:b w:val="0"/>
          <w:bCs w:val="0"/>
          <w:color w:val="auto"/>
          <w:szCs w:val="21"/>
          <w:lang w:val="en-US" w:eastAsia="zh-CN"/>
        </w:rPr>
        <w:t>1</w:t>
      </w:r>
      <w:r>
        <w:rPr>
          <w:rFonts w:hint="eastAsia" w:ascii="Times New Roman" w:hAnsi="Times New Roman" w:eastAsia="黑体" w:cs="Times New Roman"/>
          <w:b/>
          <w:bCs/>
          <w:color w:val="auto"/>
          <w:szCs w:val="21"/>
        </w:rPr>
        <w:t xml:space="preserve"> </w:t>
      </w:r>
      <w:r>
        <w:rPr>
          <w:rFonts w:hint="eastAsia" w:ascii="Times New Roman" w:hAnsi="Times New Roman" w:eastAsia="黑体" w:cs="Times New Roman"/>
          <w:b w:val="0"/>
          <w:bCs w:val="0"/>
          <w:color w:val="auto"/>
          <w:szCs w:val="21"/>
          <w:lang w:val="en-US" w:eastAsia="zh-CN"/>
        </w:rPr>
        <w:t>基本特性</w:t>
      </w:r>
    </w:p>
    <w:p w14:paraId="7A500096">
      <w:pPr>
        <w:bidi w:val="0"/>
        <w:jc w:val="left"/>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C</w:t>
      </w:r>
      <w:r>
        <w:rPr>
          <w:rFonts w:hint="eastAsia" w:ascii="黑体" w:hAnsi="黑体" w:eastAsia="黑体" w:cs="黑体"/>
          <w:b w:val="0"/>
          <w:bCs w:val="0"/>
          <w:color w:val="auto"/>
          <w:lang w:val="en-US" w:eastAsia="zh-CN"/>
        </w:rPr>
        <w:t>.1.1</w:t>
      </w:r>
      <w:r>
        <w:rPr>
          <w:rFonts w:hint="eastAsia" w:ascii="Times New Roman" w:hAnsi="Times New Roman" w:cs="Times New Roman"/>
          <w:color w:val="auto"/>
          <w:lang w:val="en-US" w:eastAsia="zh-CN"/>
        </w:rPr>
        <w:t xml:space="preserve"> 新型填料按废气生物净化装置类型分为生物滴滤填料、生物过滤填料和生物洗涤填料。</w:t>
      </w:r>
    </w:p>
    <w:p w14:paraId="36C84C81">
      <w:pPr>
        <w:bidi w:val="0"/>
        <w:jc w:val="left"/>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C</w:t>
      </w:r>
      <w:r>
        <w:rPr>
          <w:rFonts w:hint="eastAsia" w:ascii="黑体" w:hAnsi="黑体" w:eastAsia="黑体" w:cs="黑体"/>
          <w:b w:val="0"/>
          <w:bCs w:val="0"/>
          <w:color w:val="auto"/>
          <w:lang w:val="en-US" w:eastAsia="zh-CN"/>
        </w:rPr>
        <w:t>.1.2</w:t>
      </w:r>
      <w:r>
        <w:rPr>
          <w:rFonts w:hint="eastAsia" w:ascii="Times New Roman" w:hAnsi="Times New Roman" w:cs="Times New Roman"/>
          <w:color w:val="auto"/>
          <w:lang w:val="en-US" w:eastAsia="zh-CN"/>
        </w:rPr>
        <w:t xml:space="preserve"> 新型填料除</w:t>
      </w:r>
      <w:r>
        <w:rPr>
          <w:rFonts w:hint="eastAsia" w:cs="Times New Roman"/>
          <w:color w:val="auto"/>
          <w:lang w:val="en-US" w:eastAsia="zh-CN"/>
        </w:rPr>
        <w:t>应</w:t>
      </w:r>
      <w:r>
        <w:rPr>
          <w:rFonts w:hint="eastAsia" w:ascii="Times New Roman" w:hAnsi="Times New Roman" w:cs="Times New Roman"/>
          <w:color w:val="auto"/>
          <w:lang w:val="en-US" w:eastAsia="zh-CN"/>
        </w:rPr>
        <w:t>符合填料的一般特性外，还</w:t>
      </w:r>
      <w:r>
        <w:rPr>
          <w:rFonts w:hint="eastAsia" w:cs="Times New Roman"/>
          <w:color w:val="auto"/>
          <w:lang w:val="en-US" w:eastAsia="zh-CN"/>
        </w:rPr>
        <w:t>应</w:t>
      </w:r>
      <w:r>
        <w:rPr>
          <w:rFonts w:hint="eastAsia" w:ascii="Times New Roman" w:hAnsi="Times New Roman" w:cs="Times New Roman"/>
          <w:color w:val="auto"/>
          <w:lang w:val="en-US" w:eastAsia="zh-CN"/>
        </w:rPr>
        <w:t>具有能显著改善净化性能的功能。</w:t>
      </w:r>
    </w:p>
    <w:p w14:paraId="35551D4B">
      <w:pPr>
        <w:bidi w:val="0"/>
        <w:jc w:val="left"/>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C</w:t>
      </w:r>
      <w:r>
        <w:rPr>
          <w:rFonts w:hint="eastAsia" w:ascii="黑体" w:hAnsi="黑体" w:eastAsia="黑体" w:cs="黑体"/>
          <w:b w:val="0"/>
          <w:bCs w:val="0"/>
          <w:color w:val="auto"/>
          <w:lang w:val="en-US" w:eastAsia="zh-CN"/>
        </w:rPr>
        <w:t>.1.3</w:t>
      </w:r>
      <w:r>
        <w:rPr>
          <w:rFonts w:hint="eastAsia" w:ascii="Times New Roman" w:hAnsi="Times New Roman" w:cs="Times New Roman"/>
          <w:color w:val="auto"/>
          <w:lang w:val="en-US" w:eastAsia="zh-CN"/>
        </w:rPr>
        <w:t xml:space="preserve"> 生物滴滤填料</w:t>
      </w:r>
      <w:r>
        <w:rPr>
          <w:rFonts w:hint="eastAsia" w:cs="Times New Roman"/>
          <w:color w:val="auto"/>
          <w:lang w:val="en-US" w:eastAsia="zh-CN"/>
        </w:rPr>
        <w:t>应具有包括</w:t>
      </w:r>
      <w:r>
        <w:rPr>
          <w:rFonts w:hint="eastAsia" w:ascii="Times New Roman" w:hAnsi="Times New Roman" w:cs="Times New Roman"/>
          <w:color w:val="auto"/>
          <w:lang w:val="en-US" w:eastAsia="zh-CN"/>
        </w:rPr>
        <w:t>良好的气液传质性能、易于微生物附着、易于老化生物膜脱落等</w:t>
      </w:r>
      <w:r>
        <w:rPr>
          <w:rFonts w:hint="eastAsia" w:cs="Times New Roman"/>
          <w:color w:val="auto"/>
          <w:lang w:val="en-US" w:eastAsia="zh-CN"/>
        </w:rPr>
        <w:t>特定功能</w:t>
      </w:r>
      <w:r>
        <w:rPr>
          <w:rFonts w:hint="eastAsia" w:ascii="Times New Roman" w:hAnsi="Times New Roman" w:cs="Times New Roman"/>
          <w:color w:val="auto"/>
          <w:lang w:val="en-US" w:eastAsia="zh-CN"/>
        </w:rPr>
        <w:t>。</w:t>
      </w:r>
    </w:p>
    <w:p w14:paraId="643BC8D6">
      <w:pPr>
        <w:bidi w:val="0"/>
        <w:jc w:val="left"/>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C</w:t>
      </w:r>
      <w:r>
        <w:rPr>
          <w:rFonts w:hint="eastAsia" w:ascii="黑体" w:hAnsi="黑体" w:eastAsia="黑体" w:cs="黑体"/>
          <w:b w:val="0"/>
          <w:bCs w:val="0"/>
          <w:color w:val="auto"/>
          <w:lang w:val="en-US" w:eastAsia="zh-CN"/>
        </w:rPr>
        <w:t>.1.4</w:t>
      </w:r>
      <w:r>
        <w:rPr>
          <w:rFonts w:hint="eastAsia" w:ascii="Times New Roman" w:hAnsi="Times New Roman" w:cs="Times New Roman"/>
          <w:color w:val="auto"/>
          <w:lang w:val="en-US" w:eastAsia="zh-CN"/>
        </w:rPr>
        <w:t xml:space="preserve"> 生物过滤填料</w:t>
      </w:r>
      <w:r>
        <w:rPr>
          <w:rFonts w:hint="eastAsia" w:cs="Times New Roman"/>
          <w:color w:val="auto"/>
          <w:lang w:val="en-US" w:eastAsia="zh-CN"/>
        </w:rPr>
        <w:t>应具有</w:t>
      </w:r>
      <w:r>
        <w:rPr>
          <w:rFonts w:hint="eastAsia" w:ascii="Times New Roman" w:hAnsi="Times New Roman" w:cs="Times New Roman"/>
          <w:color w:val="auto"/>
          <w:lang w:val="en-US" w:eastAsia="zh-CN"/>
        </w:rPr>
        <w:t>包括营养缓释功能、酸碱缓释功能、良好的通气功能等特定功能。</w:t>
      </w:r>
    </w:p>
    <w:p w14:paraId="44D1535B">
      <w:pPr>
        <w:bidi w:val="0"/>
        <w:jc w:val="left"/>
        <w:rPr>
          <w:rFonts w:hint="default" w:ascii="Times New Roman" w:hAnsi="Times New Roman" w:cs="Times New Roman"/>
          <w:color w:val="auto"/>
          <w:lang w:val="en-US" w:eastAsia="zh-CN"/>
        </w:rPr>
      </w:pPr>
      <w:r>
        <w:rPr>
          <w:rFonts w:hint="eastAsia" w:ascii="Times New Roman" w:hAnsi="Times New Roman" w:cs="Times New Roman"/>
          <w:b/>
          <w:bCs/>
          <w:color w:val="auto"/>
          <w:lang w:val="en-US" w:eastAsia="zh-CN"/>
        </w:rPr>
        <w:t>C</w:t>
      </w:r>
      <w:r>
        <w:rPr>
          <w:rFonts w:hint="eastAsia" w:ascii="黑体" w:hAnsi="黑体" w:eastAsia="黑体" w:cs="黑体"/>
          <w:b w:val="0"/>
          <w:bCs w:val="0"/>
          <w:color w:val="auto"/>
          <w:lang w:val="en-US" w:eastAsia="zh-CN"/>
        </w:rPr>
        <w:t>.1.5</w:t>
      </w:r>
      <w:r>
        <w:rPr>
          <w:rFonts w:hint="eastAsia" w:ascii="Times New Roman" w:hAnsi="Times New Roman" w:cs="Times New Roman"/>
          <w:color w:val="auto"/>
          <w:lang w:val="en-US" w:eastAsia="zh-CN"/>
        </w:rPr>
        <w:t xml:space="preserve"> 生物洗涤填料</w:t>
      </w:r>
      <w:r>
        <w:rPr>
          <w:rFonts w:hint="eastAsia" w:cs="Times New Roman"/>
          <w:color w:val="auto"/>
          <w:lang w:val="en-US" w:eastAsia="zh-CN"/>
        </w:rPr>
        <w:t>应具有</w:t>
      </w:r>
      <w:r>
        <w:rPr>
          <w:rFonts w:hint="eastAsia" w:ascii="Times New Roman" w:hAnsi="Times New Roman" w:cs="Times New Roman"/>
          <w:color w:val="auto"/>
          <w:lang w:val="en-US" w:eastAsia="zh-CN"/>
        </w:rPr>
        <w:t>包括强化气液传质性能特定功能。</w:t>
      </w:r>
    </w:p>
    <w:p w14:paraId="6357EDE2">
      <w:pPr>
        <w:pStyle w:val="162"/>
        <w:bidi w:val="0"/>
        <w:adjustRightInd w:val="0"/>
        <w:snapToGrid w:val="0"/>
        <w:spacing w:before="156" w:beforeLines="50" w:after="156" w:afterLines="50"/>
        <w:ind w:firstLine="0" w:firstLineChars="0"/>
        <w:jc w:val="left"/>
        <w:rPr>
          <w:rFonts w:hint="eastAsia" w:ascii="Times New Roman" w:hAnsi="Times New Roman" w:eastAsia="黑体" w:cs="Times New Roman"/>
          <w:b/>
          <w:bCs/>
          <w:color w:val="auto"/>
          <w:szCs w:val="21"/>
          <w:lang w:val="en-US" w:eastAsia="zh-CN"/>
        </w:rPr>
      </w:pPr>
      <w:r>
        <w:rPr>
          <w:rFonts w:hint="eastAsia" w:ascii="Times New Roman" w:hAnsi="Times New Roman" w:eastAsia="黑体" w:cs="Times New Roman"/>
          <w:b/>
          <w:bCs/>
          <w:color w:val="auto"/>
          <w:szCs w:val="21"/>
          <w:lang w:val="en-US" w:eastAsia="zh-CN"/>
        </w:rPr>
        <w:t>C</w:t>
      </w:r>
      <w:r>
        <w:rPr>
          <w:rFonts w:hint="eastAsia" w:ascii="黑体" w:hAnsi="黑体" w:eastAsia="黑体" w:cs="黑体"/>
          <w:b w:val="0"/>
          <w:bCs w:val="0"/>
          <w:color w:val="auto"/>
          <w:szCs w:val="21"/>
          <w:lang w:val="en-US" w:eastAsia="zh-CN"/>
        </w:rPr>
        <w:t>.2</w:t>
      </w:r>
      <w:r>
        <w:rPr>
          <w:rFonts w:hint="eastAsia" w:ascii="Times New Roman" w:eastAsia="黑体" w:cs="Times New Roman"/>
          <w:b/>
          <w:bCs/>
          <w:szCs w:val="21"/>
          <w:lang w:val="en-US" w:eastAsia="zh-CN"/>
        </w:rPr>
        <w:t xml:space="preserve"> </w:t>
      </w:r>
      <w:r>
        <w:rPr>
          <w:rFonts w:hint="eastAsia" w:ascii="Times New Roman" w:hAnsi="Times New Roman" w:eastAsia="黑体" w:cs="Times New Roman"/>
          <w:b w:val="0"/>
          <w:bCs w:val="0"/>
          <w:color w:val="auto"/>
          <w:szCs w:val="21"/>
          <w:lang w:val="en-US" w:eastAsia="zh-CN"/>
        </w:rPr>
        <w:t>使用寿命及环境影响</w:t>
      </w:r>
    </w:p>
    <w:p w14:paraId="3485352F">
      <w:pPr>
        <w:bidi w:val="0"/>
        <w:jc w:val="left"/>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C</w:t>
      </w:r>
      <w:r>
        <w:rPr>
          <w:rFonts w:hint="eastAsia" w:ascii="黑体" w:hAnsi="黑体" w:eastAsia="黑体" w:cs="黑体"/>
          <w:b w:val="0"/>
          <w:bCs w:val="0"/>
          <w:color w:val="auto"/>
          <w:lang w:val="en-US" w:eastAsia="zh-CN"/>
        </w:rPr>
        <w:t>.2.1</w:t>
      </w:r>
      <w:r>
        <w:rPr>
          <w:rFonts w:hint="eastAsia" w:ascii="Times New Roman" w:hAnsi="Times New Roman" w:cs="Times New Roman"/>
          <w:color w:val="auto"/>
          <w:lang w:val="en-US" w:eastAsia="zh-CN"/>
        </w:rPr>
        <w:t xml:space="preserve"> 新型填料使用寿命</w:t>
      </w:r>
      <w:r>
        <w:rPr>
          <w:rFonts w:hint="eastAsia" w:cs="Times New Roman"/>
          <w:color w:val="auto"/>
          <w:lang w:val="en-US" w:eastAsia="zh-CN"/>
        </w:rPr>
        <w:t>应</w:t>
      </w:r>
      <w:r>
        <w:rPr>
          <w:rFonts w:hint="eastAsia" w:ascii="Times New Roman" w:hAnsi="Times New Roman" w:cs="Times New Roman"/>
          <w:color w:val="auto"/>
          <w:lang w:val="en-US" w:eastAsia="zh-CN"/>
        </w:rPr>
        <w:t>满足本</w:t>
      </w:r>
      <w:r>
        <w:rPr>
          <w:rFonts w:hint="eastAsia" w:cs="Times New Roman"/>
          <w:color w:val="auto"/>
          <w:lang w:val="en-US" w:eastAsia="zh-CN"/>
        </w:rPr>
        <w:t>文件</w:t>
      </w:r>
      <w:r>
        <w:rPr>
          <w:rFonts w:hint="eastAsia" w:ascii="Times New Roman" w:hAnsi="Times New Roman" w:cs="Times New Roman"/>
          <w:color w:val="auto"/>
          <w:lang w:val="en-US" w:eastAsia="zh-CN"/>
        </w:rPr>
        <w:t>要求。</w:t>
      </w:r>
    </w:p>
    <w:p w14:paraId="314C0602">
      <w:pPr>
        <w:bidi w:val="0"/>
        <w:jc w:val="left"/>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C</w:t>
      </w:r>
      <w:r>
        <w:rPr>
          <w:rFonts w:hint="eastAsia" w:ascii="黑体" w:hAnsi="黑体" w:eastAsia="黑体" w:cs="黑体"/>
          <w:b w:val="0"/>
          <w:bCs w:val="0"/>
          <w:color w:val="auto"/>
          <w:lang w:val="en-US" w:eastAsia="zh-CN"/>
        </w:rPr>
        <w:t>.2.2</w:t>
      </w:r>
      <w:r>
        <w:rPr>
          <w:rFonts w:hint="eastAsia" w:ascii="Times New Roman" w:hAnsi="Times New Roman" w:cs="Times New Roman"/>
          <w:color w:val="auto"/>
          <w:lang w:val="en-US" w:eastAsia="zh-CN"/>
        </w:rPr>
        <w:t xml:space="preserve"> 新型填料使用后应作为一般固体废弃物</w:t>
      </w:r>
      <w:r>
        <w:rPr>
          <w:rFonts w:hint="eastAsia" w:cs="Times New Roman"/>
          <w:color w:val="auto"/>
          <w:lang w:val="en-US" w:eastAsia="zh-CN"/>
        </w:rPr>
        <w:t>处置</w:t>
      </w:r>
      <w:r>
        <w:rPr>
          <w:rFonts w:hint="eastAsia" w:ascii="Times New Roman" w:hAnsi="Times New Roman" w:cs="Times New Roman"/>
          <w:color w:val="auto"/>
          <w:lang w:val="en-US" w:eastAsia="zh-CN"/>
        </w:rPr>
        <w:t>，不能对环境产生其他危害。</w:t>
      </w:r>
    </w:p>
    <w:p w14:paraId="27ABA219">
      <w:pPr>
        <w:bidi w:val="0"/>
        <w:jc w:val="left"/>
        <w:rPr>
          <w:rFonts w:hint="eastAsia" w:ascii="Times New Roman" w:hAnsi="Times New Roman" w:cs="Times New Roman"/>
          <w:color w:val="auto"/>
          <w:lang w:val="en-US" w:eastAsia="zh-CN"/>
        </w:rPr>
      </w:pPr>
    </w:p>
    <w:p w14:paraId="24BC63FD">
      <w:pPr>
        <w:bidi w:val="0"/>
        <w:jc w:val="left"/>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注：本附录中关于</w:t>
      </w:r>
      <w:r>
        <w:rPr>
          <w:rFonts w:hint="default" w:ascii="Times New Roman" w:hAnsi="Times New Roman" w:cs="Times New Roman"/>
          <w:color w:val="auto"/>
          <w:lang w:val="en-US" w:eastAsia="zh-CN"/>
        </w:rPr>
        <w:t>新型</w:t>
      </w:r>
      <w:r>
        <w:rPr>
          <w:rFonts w:hint="eastAsia" w:ascii="Times New Roman" w:hAnsi="Times New Roman" w:cs="Times New Roman"/>
          <w:color w:val="auto"/>
          <w:lang w:val="en-US" w:eastAsia="zh-CN"/>
        </w:rPr>
        <w:t>填料性能指标</w:t>
      </w:r>
      <w:r>
        <w:rPr>
          <w:rFonts w:hint="eastAsia" w:cs="Times New Roman"/>
          <w:color w:val="auto"/>
          <w:lang w:val="en-US" w:eastAsia="zh-CN"/>
        </w:rPr>
        <w:t>的判定，</w:t>
      </w:r>
      <w:r>
        <w:rPr>
          <w:rFonts w:hint="eastAsia" w:ascii="Times New Roman" w:hAnsi="Times New Roman" w:cs="Times New Roman"/>
          <w:color w:val="auto"/>
          <w:lang w:val="en-US" w:eastAsia="zh-CN"/>
        </w:rPr>
        <w:t>需提供第三方检测机构出具的相关报告供评价是否满足本</w:t>
      </w:r>
      <w:r>
        <w:rPr>
          <w:rFonts w:hint="eastAsia" w:cs="Times New Roman"/>
          <w:color w:val="auto"/>
          <w:lang w:val="en-US" w:eastAsia="zh-CN"/>
        </w:rPr>
        <w:t>文件</w:t>
      </w:r>
      <w:r>
        <w:rPr>
          <w:rFonts w:hint="eastAsia" w:ascii="Times New Roman" w:hAnsi="Times New Roman" w:cs="Times New Roman"/>
          <w:color w:val="auto"/>
          <w:lang w:val="en-US" w:eastAsia="zh-CN"/>
        </w:rPr>
        <w:t>所列的创新</w:t>
      </w:r>
      <w:r>
        <w:rPr>
          <w:rFonts w:hint="eastAsia" w:cs="Times New Roman"/>
          <w:color w:val="auto"/>
          <w:lang w:val="en-US" w:eastAsia="zh-CN"/>
        </w:rPr>
        <w:t>性</w:t>
      </w:r>
      <w:r>
        <w:rPr>
          <w:rFonts w:hint="eastAsia" w:ascii="Times New Roman" w:hAnsi="Times New Roman" w:cs="Times New Roman"/>
          <w:color w:val="auto"/>
          <w:lang w:val="en-US" w:eastAsia="zh-CN"/>
        </w:rPr>
        <w:t>指标。</w:t>
      </w:r>
    </w:p>
    <w:p w14:paraId="272C705D">
      <w:pPr>
        <w:rPr>
          <w:rFonts w:hint="eastAsia"/>
        </w:rPr>
      </w:pPr>
      <w:r>
        <w:rPr>
          <w:rFonts w:hint="eastAsia"/>
        </w:rPr>
        <w:br w:type="page"/>
      </w:r>
    </w:p>
    <w:p w14:paraId="3486BD9B">
      <w:pPr>
        <w:pStyle w:val="161"/>
        <w:keepNext w:val="0"/>
        <w:keepLines w:val="0"/>
        <w:pageBreakBefore w:val="0"/>
        <w:widowControl/>
        <w:kinsoku/>
        <w:wordWrap/>
        <w:overflowPunct/>
        <w:topLinePunct w:val="0"/>
        <w:autoSpaceDE/>
        <w:autoSpaceDN/>
        <w:bidi w:val="0"/>
        <w:adjustRightInd/>
        <w:snapToGrid/>
        <w:spacing w:before="850"/>
        <w:textAlignment w:val="auto"/>
        <w:rPr>
          <w:rFonts w:hint="eastAsia" w:eastAsia="黑体"/>
          <w:spacing w:val="20"/>
          <w:lang w:eastAsia="zh-CN"/>
        </w:rPr>
      </w:pPr>
      <w:bookmarkStart w:id="49" w:name="_Toc898"/>
      <w:r>
        <w:rPr>
          <w:rFonts w:hint="eastAsia"/>
        </w:rPr>
        <w:t>附录</w:t>
      </w:r>
      <w:r>
        <w:rPr>
          <w:rFonts w:hint="eastAsia" w:ascii="Times New Roman"/>
          <w:b/>
          <w:bCs/>
          <w:lang w:val="en-US" w:eastAsia="zh-CN"/>
        </w:rPr>
        <w:t>D</w:t>
      </w:r>
      <w:bookmarkEnd w:id="49"/>
    </w:p>
    <w:p w14:paraId="19C82035">
      <w:pPr>
        <w:jc w:val="center"/>
        <w:rPr>
          <w:rFonts w:hint="eastAsia" w:ascii="黑体" w:hAnsi="黑体" w:eastAsia="黑体" w:cs="黑体"/>
          <w:color w:val="000000" w:themeColor="text1"/>
          <w14:textFill>
            <w14:solidFill>
              <w14:schemeClr w14:val="tx1"/>
            </w14:solidFill>
          </w14:textFill>
        </w:rPr>
      </w:pPr>
      <w:r>
        <w:rPr>
          <w:rFonts w:hint="eastAsia" w:hAnsi="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14:textFill>
            <w14:solidFill>
              <w14:schemeClr w14:val="tx1"/>
            </w14:solidFill>
          </w14:textFill>
        </w:rPr>
        <w:t>资料性）</w:t>
      </w:r>
    </w:p>
    <w:p w14:paraId="7EC5C718">
      <w:pPr>
        <w:keepNext w:val="0"/>
        <w:keepLines w:val="0"/>
        <w:pageBreakBefore w:val="0"/>
        <w:widowControl w:val="0"/>
        <w:kinsoku/>
        <w:wordWrap/>
        <w:overflowPunct/>
        <w:topLinePunct w:val="0"/>
        <w:autoSpaceDE w:val="0"/>
        <w:autoSpaceDN w:val="0"/>
        <w:bidi w:val="0"/>
        <w:adjustRightInd/>
        <w:snapToGrid/>
        <w:spacing w:after="283"/>
        <w:jc w:val="center"/>
        <w:textAlignment w:val="auto"/>
        <w:rPr>
          <w:rFonts w:hint="eastAsia" w:ascii="黑体" w:hAnsi="黑体" w:eastAsia="黑体" w:cs="黑体"/>
          <w:lang w:val="en-US" w:eastAsia="zh-CN"/>
        </w:rPr>
      </w:pPr>
      <w:r>
        <w:rPr>
          <w:rFonts w:hint="eastAsia" w:ascii="黑体" w:hAnsi="黑体" w:eastAsia="黑体" w:cs="黑体"/>
        </w:rPr>
        <w:t>新型反应器结构</w:t>
      </w:r>
      <w:r>
        <w:rPr>
          <w:rFonts w:hint="eastAsia" w:ascii="黑体" w:hAnsi="黑体" w:eastAsia="黑体" w:cs="黑体"/>
          <w:lang w:val="en-US" w:eastAsia="zh-CN"/>
        </w:rPr>
        <w:t>要求</w:t>
      </w:r>
    </w:p>
    <w:p w14:paraId="4002ABB6">
      <w:pPr>
        <w:pStyle w:val="162"/>
        <w:adjustRightInd w:val="0"/>
        <w:snapToGrid w:val="0"/>
        <w:spacing w:before="156" w:beforeLines="50" w:after="156" w:afterLines="50"/>
        <w:ind w:firstLine="0" w:firstLineChars="0"/>
        <w:rPr>
          <w:rFonts w:hint="eastAsia" w:ascii="Times New Roman" w:hAnsi="Times New Roman" w:eastAsia="黑体" w:cs="Times New Roman"/>
          <w:b/>
          <w:bCs/>
          <w:color w:val="auto"/>
          <w:szCs w:val="21"/>
          <w:lang w:val="en-US" w:eastAsia="zh-CN"/>
        </w:rPr>
      </w:pPr>
      <w:r>
        <w:rPr>
          <w:rFonts w:hint="eastAsia" w:ascii="Times New Roman" w:hAnsi="Times New Roman" w:eastAsia="黑体" w:cs="Times New Roman"/>
          <w:b/>
          <w:bCs/>
          <w:color w:val="auto"/>
          <w:szCs w:val="21"/>
          <w:lang w:val="en-US" w:eastAsia="zh-CN"/>
        </w:rPr>
        <w:t>D</w:t>
      </w:r>
      <w:r>
        <w:rPr>
          <w:rFonts w:hint="eastAsia" w:ascii="黑体" w:hAnsi="黑体" w:eastAsia="黑体" w:cs="黑体"/>
          <w:b w:val="0"/>
          <w:bCs w:val="0"/>
          <w:color w:val="auto"/>
          <w:szCs w:val="21"/>
          <w:lang w:val="en-US" w:eastAsia="zh-CN"/>
        </w:rPr>
        <w:t>.1</w:t>
      </w:r>
      <w:r>
        <w:rPr>
          <w:rFonts w:hint="eastAsia" w:ascii="Times New Roman" w:hAnsi="Times New Roman" w:eastAsia="黑体" w:cs="Times New Roman"/>
          <w:b/>
          <w:bCs/>
          <w:szCs w:val="21"/>
          <w:lang w:val="en-US" w:eastAsia="zh-CN"/>
        </w:rPr>
        <w:t xml:space="preserve"> </w:t>
      </w:r>
      <w:r>
        <w:rPr>
          <w:rFonts w:hint="eastAsia" w:ascii="Times New Roman" w:hAnsi="Times New Roman" w:eastAsia="黑体" w:cs="Times New Roman"/>
          <w:b w:val="0"/>
          <w:bCs w:val="0"/>
          <w:color w:val="auto"/>
          <w:szCs w:val="21"/>
          <w:lang w:val="en-US" w:eastAsia="zh-CN"/>
        </w:rPr>
        <w:t>基本要求</w:t>
      </w:r>
    </w:p>
    <w:p w14:paraId="1BF7F0AF">
      <w:pPr>
        <w:bidi w:val="0"/>
        <w:jc w:val="left"/>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D</w:t>
      </w:r>
      <w:r>
        <w:rPr>
          <w:rFonts w:hint="eastAsia" w:ascii="黑体" w:hAnsi="黑体" w:eastAsia="黑体" w:cs="黑体"/>
          <w:b w:val="0"/>
          <w:bCs w:val="0"/>
          <w:color w:val="auto"/>
          <w:lang w:val="en-US" w:eastAsia="zh-CN"/>
        </w:rPr>
        <w:t>.1.1</w:t>
      </w:r>
      <w:r>
        <w:rPr>
          <w:rFonts w:hint="eastAsia" w:ascii="Times New Roman" w:hAnsi="Times New Roman" w:cs="Times New Roman"/>
          <w:color w:val="auto"/>
          <w:lang w:val="en-US" w:eastAsia="zh-CN"/>
        </w:rPr>
        <w:t xml:space="preserve"> 新型反应器结构是指能显著改善装置总体净化性能而对结构所做的局部改造。</w:t>
      </w:r>
    </w:p>
    <w:p w14:paraId="39C4C541">
      <w:pPr>
        <w:bidi w:val="0"/>
        <w:jc w:val="left"/>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D</w:t>
      </w:r>
      <w:r>
        <w:rPr>
          <w:rFonts w:hint="eastAsia" w:ascii="黑体" w:hAnsi="黑体" w:eastAsia="黑体" w:cs="黑体"/>
          <w:b w:val="0"/>
          <w:bCs w:val="0"/>
          <w:color w:val="auto"/>
          <w:lang w:val="en-US" w:eastAsia="zh-CN"/>
        </w:rPr>
        <w:t>.1.2</w:t>
      </w:r>
      <w:r>
        <w:rPr>
          <w:rFonts w:hint="eastAsia" w:ascii="Times New Roman" w:hAnsi="Times New Roman" w:cs="Times New Roman"/>
          <w:color w:val="auto"/>
          <w:lang w:val="en-US" w:eastAsia="zh-CN"/>
        </w:rPr>
        <w:t xml:space="preserve"> 局部改造包括对循环液喷淋结构、填料安装结构及安装方式、气流分布结构和循环液收集结构</w:t>
      </w:r>
      <w:r>
        <w:rPr>
          <w:rFonts w:hint="eastAsia" w:cs="Times New Roman"/>
          <w:color w:val="auto"/>
          <w:lang w:val="en-US" w:eastAsia="zh-CN"/>
        </w:rPr>
        <w:t>的改造</w:t>
      </w:r>
      <w:r>
        <w:rPr>
          <w:rFonts w:hint="eastAsia" w:ascii="Times New Roman" w:hAnsi="Times New Roman" w:cs="Times New Roman"/>
          <w:color w:val="auto"/>
          <w:lang w:val="en-US" w:eastAsia="zh-CN"/>
        </w:rPr>
        <w:t>。</w:t>
      </w:r>
    </w:p>
    <w:p w14:paraId="1ECC1A37">
      <w:pPr>
        <w:bidi w:val="0"/>
        <w:jc w:val="left"/>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D</w:t>
      </w:r>
      <w:r>
        <w:rPr>
          <w:rFonts w:hint="eastAsia" w:ascii="黑体" w:hAnsi="黑体" w:eastAsia="黑体" w:cs="黑体"/>
          <w:b w:val="0"/>
          <w:bCs w:val="0"/>
          <w:color w:val="auto"/>
          <w:lang w:val="en-US" w:eastAsia="zh-CN"/>
        </w:rPr>
        <w:t>.1.3</w:t>
      </w:r>
      <w:r>
        <w:rPr>
          <w:rFonts w:hint="eastAsia" w:ascii="Times New Roman" w:hAnsi="Times New Roman" w:cs="Times New Roman"/>
          <w:color w:val="auto"/>
          <w:lang w:val="en-US" w:eastAsia="zh-CN"/>
        </w:rPr>
        <w:t xml:space="preserve"> 局部改造不能影响生物反应器的原本功能。</w:t>
      </w:r>
    </w:p>
    <w:p w14:paraId="48C3951F">
      <w:pPr>
        <w:pStyle w:val="162"/>
        <w:adjustRightInd w:val="0"/>
        <w:snapToGrid w:val="0"/>
        <w:spacing w:before="156" w:beforeLines="50" w:after="156" w:afterLines="50"/>
        <w:ind w:firstLine="0" w:firstLineChars="0"/>
        <w:rPr>
          <w:rFonts w:hint="eastAsia" w:ascii="Times New Roman" w:hAnsi="Times New Roman" w:eastAsia="黑体" w:cs="Times New Roman"/>
          <w:b/>
          <w:bCs/>
          <w:color w:val="auto"/>
          <w:szCs w:val="21"/>
          <w:lang w:val="en-US" w:eastAsia="zh-CN"/>
        </w:rPr>
      </w:pPr>
      <w:r>
        <w:rPr>
          <w:rFonts w:hint="eastAsia" w:ascii="Times New Roman" w:hAnsi="Times New Roman" w:eastAsia="黑体" w:cs="Times New Roman"/>
          <w:b/>
          <w:bCs/>
          <w:color w:val="auto"/>
          <w:szCs w:val="21"/>
          <w:lang w:val="en-US" w:eastAsia="zh-CN"/>
        </w:rPr>
        <w:t>D</w:t>
      </w:r>
      <w:r>
        <w:rPr>
          <w:rFonts w:hint="eastAsia" w:ascii="黑体" w:hAnsi="黑体" w:eastAsia="黑体" w:cs="黑体"/>
          <w:b w:val="0"/>
          <w:bCs w:val="0"/>
          <w:color w:val="auto"/>
          <w:szCs w:val="21"/>
          <w:lang w:val="en-US" w:eastAsia="zh-CN"/>
        </w:rPr>
        <w:t>.2</w:t>
      </w:r>
      <w:r>
        <w:rPr>
          <w:rFonts w:hint="eastAsia" w:ascii="Times New Roman" w:hAnsi="Times New Roman" w:eastAsia="黑体" w:cs="Times New Roman"/>
          <w:b/>
          <w:bCs/>
          <w:color w:val="auto"/>
          <w:szCs w:val="21"/>
          <w:lang w:val="en-US" w:eastAsia="zh-CN"/>
        </w:rPr>
        <w:t xml:space="preserve"> </w:t>
      </w:r>
      <w:r>
        <w:rPr>
          <w:rFonts w:hint="eastAsia" w:ascii="Times New Roman" w:hAnsi="Times New Roman" w:eastAsia="黑体" w:cs="Times New Roman"/>
          <w:b w:val="0"/>
          <w:bCs w:val="0"/>
          <w:color w:val="auto"/>
          <w:szCs w:val="21"/>
          <w:lang w:val="en-US" w:eastAsia="zh-CN"/>
        </w:rPr>
        <w:t>使用年限</w:t>
      </w:r>
    </w:p>
    <w:p w14:paraId="713EB4EE">
      <w:pPr>
        <w:bidi w:val="0"/>
        <w:jc w:val="left"/>
        <w:rPr>
          <w:rFonts w:hint="eastAsia" w:ascii="Times New Roman" w:hAnsi="Times New Roman" w:cs="Times New Roman"/>
          <w:color w:val="auto"/>
          <w:lang w:val="en-US" w:eastAsia="zh-CN"/>
        </w:rPr>
      </w:pPr>
      <w:r>
        <w:rPr>
          <w:rFonts w:hint="default" w:ascii="Times New Roman" w:hAnsi="Times New Roman" w:eastAsia="黑体" w:cs="Times New Roman"/>
          <w:b/>
          <w:bCs/>
          <w:color w:val="auto"/>
          <w:lang w:val="en-US" w:eastAsia="zh-CN"/>
        </w:rPr>
        <w:t>D</w:t>
      </w:r>
      <w:r>
        <w:rPr>
          <w:rFonts w:hint="eastAsia" w:ascii="黑体" w:hAnsi="黑体" w:eastAsia="黑体" w:cs="黑体"/>
          <w:b w:val="0"/>
          <w:bCs w:val="0"/>
          <w:color w:val="auto"/>
          <w:lang w:val="en-US" w:eastAsia="zh-CN"/>
        </w:rPr>
        <w:t>.2.1</w:t>
      </w:r>
      <w:r>
        <w:rPr>
          <w:rFonts w:hint="eastAsia" w:ascii="Times New Roman" w:hAnsi="Times New Roman" w:cs="Times New Roman"/>
          <w:color w:val="auto"/>
          <w:lang w:val="en-US" w:eastAsia="zh-CN"/>
        </w:rPr>
        <w:t xml:space="preserve"> 新型反应器结构使用年限</w:t>
      </w:r>
      <w:r>
        <w:rPr>
          <w:rFonts w:hint="eastAsia" w:cs="Times New Roman"/>
          <w:color w:val="auto"/>
          <w:lang w:val="en-US" w:eastAsia="zh-CN"/>
        </w:rPr>
        <w:t>须</w:t>
      </w:r>
      <w:r>
        <w:rPr>
          <w:rFonts w:hint="eastAsia" w:ascii="Times New Roman" w:hAnsi="Times New Roman" w:cs="Times New Roman"/>
          <w:color w:val="auto"/>
          <w:lang w:val="en-US" w:eastAsia="zh-CN"/>
        </w:rPr>
        <w:t>与主体使用寿命一致。</w:t>
      </w:r>
    </w:p>
    <w:p w14:paraId="0D345180">
      <w:pPr>
        <w:bidi w:val="0"/>
        <w:jc w:val="left"/>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D</w:t>
      </w:r>
      <w:r>
        <w:rPr>
          <w:rFonts w:hint="eastAsia" w:ascii="黑体" w:hAnsi="黑体" w:eastAsia="黑体" w:cs="黑体"/>
          <w:b w:val="0"/>
          <w:bCs w:val="0"/>
          <w:color w:val="auto"/>
          <w:lang w:val="en-US" w:eastAsia="zh-CN"/>
        </w:rPr>
        <w:t>.2.2</w:t>
      </w:r>
      <w:r>
        <w:rPr>
          <w:rFonts w:hint="eastAsia" w:ascii="Times New Roman" w:hAnsi="Times New Roman" w:cs="Times New Roman"/>
          <w:color w:val="auto"/>
          <w:lang w:val="en-US" w:eastAsia="zh-CN"/>
        </w:rPr>
        <w:t xml:space="preserve"> 新型反应器结构</w:t>
      </w:r>
      <w:r>
        <w:rPr>
          <w:rFonts w:hint="eastAsia" w:cs="Times New Roman"/>
          <w:color w:val="auto"/>
          <w:lang w:val="en-US" w:eastAsia="zh-CN"/>
        </w:rPr>
        <w:t>应</w:t>
      </w:r>
      <w:r>
        <w:rPr>
          <w:rFonts w:hint="eastAsia" w:ascii="Times New Roman" w:hAnsi="Times New Roman" w:cs="Times New Roman"/>
          <w:color w:val="auto"/>
          <w:lang w:val="en-US" w:eastAsia="zh-CN"/>
        </w:rPr>
        <w:t>易于维护，如需维修和更换，操作简便。</w:t>
      </w:r>
    </w:p>
    <w:p w14:paraId="369191C0">
      <w:pPr>
        <w:bidi w:val="0"/>
        <w:jc w:val="left"/>
        <w:rPr>
          <w:rFonts w:hint="eastAsia" w:ascii="Times New Roman" w:hAnsi="Times New Roman" w:cs="Times New Roman"/>
          <w:color w:val="auto"/>
          <w:lang w:val="en-US" w:eastAsia="zh-CN"/>
        </w:rPr>
      </w:pPr>
    </w:p>
    <w:p w14:paraId="1D8E9B50">
      <w:pPr>
        <w:bidi w:val="0"/>
        <w:jc w:val="left"/>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注：本附录中关于</w:t>
      </w:r>
      <w:r>
        <w:rPr>
          <w:rFonts w:hint="default" w:ascii="Times New Roman" w:hAnsi="Times New Roman" w:cs="Times New Roman"/>
          <w:color w:val="auto"/>
          <w:lang w:val="en-US" w:eastAsia="zh-CN"/>
        </w:rPr>
        <w:t>新型反应器结构</w:t>
      </w:r>
      <w:r>
        <w:rPr>
          <w:rFonts w:hint="eastAsia" w:ascii="Times New Roman" w:hAnsi="Times New Roman" w:cs="Times New Roman"/>
          <w:color w:val="auto"/>
          <w:lang w:val="en-US" w:eastAsia="zh-CN"/>
        </w:rPr>
        <w:t>性能指标</w:t>
      </w:r>
      <w:r>
        <w:rPr>
          <w:rFonts w:hint="eastAsia" w:cs="Times New Roman"/>
          <w:color w:val="auto"/>
          <w:lang w:val="en-US" w:eastAsia="zh-CN"/>
        </w:rPr>
        <w:t>的判定，</w:t>
      </w:r>
      <w:r>
        <w:rPr>
          <w:rFonts w:hint="eastAsia" w:ascii="Times New Roman" w:hAnsi="Times New Roman" w:cs="Times New Roman"/>
          <w:color w:val="auto"/>
          <w:lang w:val="en-US" w:eastAsia="zh-CN"/>
        </w:rPr>
        <w:t>需提供第三方检测机构出具的相关报告供评价是否满足本</w:t>
      </w:r>
      <w:r>
        <w:rPr>
          <w:rFonts w:hint="eastAsia" w:cs="Times New Roman"/>
          <w:color w:val="auto"/>
          <w:lang w:val="en-US" w:eastAsia="zh-CN"/>
        </w:rPr>
        <w:t>文件</w:t>
      </w:r>
      <w:r>
        <w:rPr>
          <w:rFonts w:hint="eastAsia" w:ascii="Times New Roman" w:hAnsi="Times New Roman" w:cs="Times New Roman"/>
          <w:color w:val="auto"/>
          <w:lang w:val="en-US" w:eastAsia="zh-CN"/>
        </w:rPr>
        <w:t>所列的创新</w:t>
      </w:r>
      <w:r>
        <w:rPr>
          <w:rFonts w:hint="eastAsia" w:cs="Times New Roman"/>
          <w:color w:val="auto"/>
          <w:lang w:val="en-US" w:eastAsia="zh-CN"/>
        </w:rPr>
        <w:t>性</w:t>
      </w:r>
      <w:r>
        <w:rPr>
          <w:rFonts w:hint="eastAsia" w:ascii="Times New Roman" w:hAnsi="Times New Roman" w:cs="Times New Roman"/>
          <w:color w:val="auto"/>
          <w:lang w:val="en-US" w:eastAsia="zh-CN"/>
        </w:rPr>
        <w:t>指标。</w:t>
      </w:r>
    </w:p>
    <w:p w14:paraId="1A9FD8B4">
      <w:pPr>
        <w:pStyle w:val="162"/>
        <w:ind w:firstLine="0" w:firstLineChars="0"/>
        <w:jc w:val="right"/>
        <w:rPr>
          <w:rFonts w:ascii="Times New Roman"/>
        </w:rPr>
      </w:pPr>
    </w:p>
    <w:p w14:paraId="01493A9A">
      <w:pPr>
        <w:pStyle w:val="162"/>
        <w:ind w:firstLine="0" w:firstLineChars="0"/>
        <w:jc w:val="center"/>
      </w:pPr>
      <w:r>
        <w:rPr>
          <w:rFonts w:ascii="Times New Roman"/>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14:paraId="7159C4D0">
      <w:pPr>
        <w:pStyle w:val="162"/>
        <w:ind w:firstLine="0" w:firstLineChars="0"/>
        <w:jc w:val="center"/>
      </w:pPr>
    </w:p>
    <w:sectPr>
      <w:type w:val="continuous"/>
      <w:pgSz w:w="11906" w:h="16838"/>
      <w:pgMar w:top="1417" w:right="1134" w:bottom="1134" w:left="1417" w:header="1417" w:footer="1134" w:gutter="0"/>
      <w:cols w:space="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A5AEF">
    <w:pPr>
      <w:pStyle w:val="119"/>
      <w:rPr>
        <w:rFonts w:hint="eastAsia" w:hAnsi="宋体"/>
      </w:rPr>
    </w:pPr>
    <w:r>
      <w:rPr>
        <w:rFonts w:ascii="黑体" w:hAnsi="宋体" w:eastAsia="黑体"/>
        <w:sz w:val="21"/>
        <w:szCs w:val="21"/>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5A23A">
    <w:pPr>
      <w:pStyle w:val="119"/>
      <w:spacing w:before="0"/>
      <w:jc w:val="both"/>
      <w:rPr>
        <w:rFonts w:hint="eastAsia" w:hAnsi="宋体"/>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985E98">
                          <w:pPr>
                            <w:keepNext w:val="0"/>
                            <w:keepLines w:val="0"/>
                            <w:pageBreakBefore w:val="0"/>
                            <w:widowControl w:val="0"/>
                            <w:kinsoku/>
                            <w:wordWrap/>
                            <w:overflowPunct/>
                            <w:topLinePunct w:val="0"/>
                            <w:bidi w:val="0"/>
                            <w:adjustRightInd/>
                            <w:snapToGrid w:val="0"/>
                            <w:ind w:left="0" w:right="227"/>
                            <w:textAlignment w:val="auto"/>
                            <w:rPr>
                              <w:rFonts w:hint="eastAsia" w:ascii="宋体" w:hAnsi="宋体" w:cs="宋体"/>
                              <w:sz w:val="18"/>
                            </w:rPr>
                          </w:pPr>
                          <w:r>
                            <w:rPr>
                              <w:rFonts w:hint="eastAsia" w:ascii="宋体" w:hAnsi="宋体" w:cs="宋体"/>
                              <w:sz w:val="18"/>
                            </w:rPr>
                            <w:fldChar w:fldCharType="begin"/>
                          </w:r>
                          <w:r>
                            <w:rPr>
                              <w:rFonts w:hint="eastAsia" w:ascii="宋体" w:hAnsi="宋体" w:cs="宋体"/>
                              <w:sz w:val="18"/>
                            </w:rPr>
                            <w:instrText xml:space="preserve"> PAGE  \* MERGEFORMAT </w:instrText>
                          </w:r>
                          <w:r>
                            <w:rPr>
                              <w:rFonts w:hint="eastAsia" w:ascii="宋体" w:hAnsi="宋体" w:cs="宋体"/>
                              <w:sz w:val="18"/>
                            </w:rPr>
                            <w:fldChar w:fldCharType="separate"/>
                          </w:r>
                          <w:r>
                            <w:rPr>
                              <w:rFonts w:hint="eastAsia" w:ascii="宋体" w:hAnsi="宋体" w:cs="宋体"/>
                              <w:sz w:val="18"/>
                            </w:rPr>
                            <w:t>3</w:t>
                          </w:r>
                          <w:r>
                            <w:rPr>
                              <w:rFonts w:hint="eastAsia" w:ascii="宋体" w:hAnsi="宋体" w:cs="宋体"/>
                              <w:sz w:val="18"/>
                            </w:rPr>
                            <w:fldChar w:fldCharType="end"/>
                          </w:r>
                        </w:p>
                      </w:txbxContent>
                    </wps:txbx>
                    <wps:bodyPr wrap="none" lIns="0" tIns="0" rIns="0" bIns="0">
                      <a:spAutoFit/>
                    </wps:bodyPr>
                  </wps:wsp>
                </a:graphicData>
              </a:graphic>
            </wp:anchor>
          </w:drawing>
        </mc:Choice>
        <mc:Fallback>
          <w:pict>
            <v:shape id="文本框 3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RKpCcIBAACP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hFeUOG5x4pfv3y4/fl1+fiUv&#10;l1mgPkCNeXcBM9Pw1g+YPPsBnZn3oKLNX2REMI7ynq/yyiERkR+tV+t1hSGBsfmC+OzheYiQ3klv&#10;STYaGnF+RVZ++gBpTJ1TcjXnb7UxZYbG/eVAzOxhufexx2ylYT9MhPa+PSOfHkffUIebTol571DZ&#10;vCWzEWdjPxm5BoQ3x4SFSz8ZdYSaiuGcCqNpp/Ii/HkvWQ//0f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kSqQnCAQAAjwMAAA4AAAAAAAAAAQAgAAAAHgEAAGRycy9lMm9Eb2MueG1sUEsF&#10;BgAAAAAGAAYAWQEAAFIFAAAAAA==&#10;">
              <v:fill on="f" focussize="0,0"/>
              <v:stroke on="f"/>
              <v:imagedata o:title=""/>
              <o:lock v:ext="edit" aspectratio="f"/>
              <v:textbox inset="0mm,0mm,0mm,0mm" style="mso-fit-shape-to-text:t;">
                <w:txbxContent>
                  <w:p w14:paraId="1E985E98">
                    <w:pPr>
                      <w:keepNext w:val="0"/>
                      <w:keepLines w:val="0"/>
                      <w:pageBreakBefore w:val="0"/>
                      <w:widowControl w:val="0"/>
                      <w:kinsoku/>
                      <w:wordWrap/>
                      <w:overflowPunct/>
                      <w:topLinePunct w:val="0"/>
                      <w:bidi w:val="0"/>
                      <w:adjustRightInd/>
                      <w:snapToGrid w:val="0"/>
                      <w:ind w:left="0" w:right="227"/>
                      <w:textAlignment w:val="auto"/>
                      <w:rPr>
                        <w:rFonts w:hint="eastAsia" w:ascii="宋体" w:hAnsi="宋体" w:cs="宋体"/>
                        <w:sz w:val="18"/>
                      </w:rPr>
                    </w:pPr>
                    <w:r>
                      <w:rPr>
                        <w:rFonts w:hint="eastAsia" w:ascii="宋体" w:hAnsi="宋体" w:cs="宋体"/>
                        <w:sz w:val="18"/>
                      </w:rPr>
                      <w:fldChar w:fldCharType="begin"/>
                    </w:r>
                    <w:r>
                      <w:rPr>
                        <w:rFonts w:hint="eastAsia" w:ascii="宋体" w:hAnsi="宋体" w:cs="宋体"/>
                        <w:sz w:val="18"/>
                      </w:rPr>
                      <w:instrText xml:space="preserve"> PAGE  \* MERGEFORMAT </w:instrText>
                    </w:r>
                    <w:r>
                      <w:rPr>
                        <w:rFonts w:hint="eastAsia" w:ascii="宋体" w:hAnsi="宋体" w:cs="宋体"/>
                        <w:sz w:val="18"/>
                      </w:rPr>
                      <w:fldChar w:fldCharType="separate"/>
                    </w:r>
                    <w:r>
                      <w:rPr>
                        <w:rFonts w:hint="eastAsia" w:ascii="宋体" w:hAnsi="宋体" w:cs="宋体"/>
                        <w:sz w:val="18"/>
                      </w:rPr>
                      <w:t>3</w:t>
                    </w:r>
                    <w:r>
                      <w:rPr>
                        <w:rFonts w:hint="eastAsia" w:ascii="宋体" w:hAnsi="宋体" w:cs="宋体"/>
                        <w:sz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23CAC">
    <w:pPr>
      <w:pStyle w:val="23"/>
      <w:jc w:val="both"/>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2AE4EA">
                          <w:pPr>
                            <w:snapToGrid w:val="0"/>
                            <w:ind w:left="227"/>
                            <w:rPr>
                              <w:rFonts w:hint="eastAsia" w:ascii="宋体" w:hAnsi="宋体" w:cs="宋体"/>
                              <w:sz w:val="18"/>
                            </w:rPr>
                          </w:pPr>
                          <w:r>
                            <w:rPr>
                              <w:rFonts w:hint="eastAsia" w:ascii="宋体" w:hAnsi="宋体" w:cs="宋体"/>
                              <w:sz w:val="18"/>
                            </w:rPr>
                            <w:fldChar w:fldCharType="begin"/>
                          </w:r>
                          <w:r>
                            <w:rPr>
                              <w:rFonts w:hint="eastAsia" w:ascii="宋体" w:hAnsi="宋体" w:cs="宋体"/>
                              <w:sz w:val="18"/>
                            </w:rPr>
                            <w:instrText xml:space="preserve"> PAGE  \* MERGEFORMAT </w:instrText>
                          </w:r>
                          <w:r>
                            <w:rPr>
                              <w:rFonts w:hint="eastAsia" w:ascii="宋体" w:hAnsi="宋体" w:cs="宋体"/>
                              <w:sz w:val="18"/>
                            </w:rPr>
                            <w:fldChar w:fldCharType="separate"/>
                          </w:r>
                          <w:r>
                            <w:rPr>
                              <w:rFonts w:hint="eastAsia" w:ascii="宋体" w:hAnsi="宋体" w:cs="宋体"/>
                              <w:sz w:val="18"/>
                            </w:rPr>
                            <w:t>4</w:t>
                          </w:r>
                          <w:r>
                            <w:rPr>
                              <w:rFonts w:hint="eastAsia" w:ascii="宋体" w:hAnsi="宋体" w:cs="宋体"/>
                              <w:sz w:val="18"/>
                            </w:rPr>
                            <w:fldChar w:fldCharType="end"/>
                          </w:r>
                        </w:p>
                      </w:txbxContent>
                    </wps:txbx>
                    <wps:bodyPr wrap="none" lIns="0" tIns="0" rIns="0" bIns="0">
                      <a:spAutoFit/>
                    </wps:bodyPr>
                  </wps:wsp>
                </a:graphicData>
              </a:graphic>
            </wp:anchor>
          </w:drawing>
        </mc:Choice>
        <mc:Fallback>
          <w:pict>
            <v:shape id="文本框 32"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GE2i8MBAACP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uAnXlDhuceLnnz/Ov/6cf38n&#10;b5dZoD5AjXn3ATPT8M4PmDz7AZ2Z96CizV9kRDCO8p4u8sohEZEfrZarVYUhgbH5gvjs4XmIkN5L&#10;b0k2GhpxfkVWfvwIaUydU3I15++0MWWGxv3jQMzsYbn3scdspWE3TIR2vj0hnx5H31CHm06J+eBQ&#10;2bwlsxFnYzcZuQaE20PCwqWfjDpCTcVwToXRtFN5ER7fS9bDf7T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0YTaLwwEAAI8DAAAOAAAAAAAAAAEAIAAAAB4BAABkcnMvZTJvRG9jLnhtbFBL&#10;BQYAAAAABgAGAFkBAABTBQAAAAA=&#10;">
              <v:fill on="f" focussize="0,0"/>
              <v:stroke on="f"/>
              <v:imagedata o:title=""/>
              <o:lock v:ext="edit" aspectratio="f"/>
              <v:textbox inset="0mm,0mm,0mm,0mm" style="mso-fit-shape-to-text:t;">
                <w:txbxContent>
                  <w:p w14:paraId="652AE4EA">
                    <w:pPr>
                      <w:snapToGrid w:val="0"/>
                      <w:ind w:left="227"/>
                      <w:rPr>
                        <w:rFonts w:hint="eastAsia" w:ascii="宋体" w:hAnsi="宋体" w:cs="宋体"/>
                        <w:sz w:val="18"/>
                      </w:rPr>
                    </w:pPr>
                    <w:r>
                      <w:rPr>
                        <w:rFonts w:hint="eastAsia" w:ascii="宋体" w:hAnsi="宋体" w:cs="宋体"/>
                        <w:sz w:val="18"/>
                      </w:rPr>
                      <w:fldChar w:fldCharType="begin"/>
                    </w:r>
                    <w:r>
                      <w:rPr>
                        <w:rFonts w:hint="eastAsia" w:ascii="宋体" w:hAnsi="宋体" w:cs="宋体"/>
                        <w:sz w:val="18"/>
                      </w:rPr>
                      <w:instrText xml:space="preserve"> PAGE  \* MERGEFORMAT </w:instrText>
                    </w:r>
                    <w:r>
                      <w:rPr>
                        <w:rFonts w:hint="eastAsia" w:ascii="宋体" w:hAnsi="宋体" w:cs="宋体"/>
                        <w:sz w:val="18"/>
                      </w:rPr>
                      <w:fldChar w:fldCharType="separate"/>
                    </w:r>
                    <w:r>
                      <w:rPr>
                        <w:rFonts w:hint="eastAsia" w:ascii="宋体" w:hAnsi="宋体" w:cs="宋体"/>
                        <w:sz w:val="18"/>
                      </w:rPr>
                      <w:t>4</w:t>
                    </w:r>
                    <w:r>
                      <w:rPr>
                        <w:rFonts w:hint="eastAsia" w:ascii="宋体" w:hAnsi="宋体" w:cs="宋体"/>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4BEE9">
    <w:pPr>
      <w:pStyle w:val="23"/>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8C680">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3D706">
    <w:pPr>
      <w:pStyle w:val="119"/>
      <w:rPr>
        <w:rFonts w:hint="eastAsia" w:hAnsi="宋体"/>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76FBA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caJ8MBAACO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99S4rjFgZ9//jj/+nP+/Z0s&#10;r7M+fYAa0+4DJqbhnR9wa2Y/oDPTHlS0+YuECMZR3dNFXTkkIvKj1XK1qjAkMDZfEJ89PA8R0nvp&#10;LclGQyOOr6jKjx8hjalzSq7m/J02pozQuH8ciJk9LPc+9pitNOyGidDOtyfk0+PkG+pw0SkxHxwK&#10;m5dkNuJs7CYj14Bwe0hYuPSTUUeoqRiOqTCaVirvweN7yXr4jT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AVxonwwEAAI4DAAAOAAAAAAAAAAEAIAAAAB4BAABkcnMvZTJvRG9jLnhtbFBL&#10;BQYAAAAABgAGAFkBAABTBQAAAAA=&#10;">
              <v:fill on="f" focussize="0,0"/>
              <v:stroke on="f"/>
              <v:imagedata o:title=""/>
              <o:lock v:ext="edit" aspectratio="f"/>
              <v:textbox inset="0mm,0mm,0mm,0mm" style="mso-fit-shape-to-text:t;">
                <w:txbxContent>
                  <w:p w14:paraId="2776FBA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B6362">
    <w:pPr>
      <w:pStyle w:val="23"/>
      <w:jc w:val="both"/>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CAF68B">
                          <w:pPr>
                            <w:snapToGrid w:val="0"/>
                            <w:ind w:right="227"/>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7"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Va4Q8IBAACO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3Hsjlsc+Pnnj/Ovx/PDd7J8&#10;m/XpA9SYdhcwMQ3v/YBbM/sBnZn2oKLNXyREMI7qni7qyiERkR+tlqtVhSGBsfmC+OzpeYiQPkhv&#10;STYaGnF8RVV+/ARpTJ1TcjXnb7UxZYTG/eVAzOxhufexx2ylYTdMhHa+PSGfHiffUIeLTon56FDY&#10;vCSzEWdjNxm5BoR3h4SFSz8ZdYSaiuGYCqNppfIe/HkvWU+/0e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VWuEPCAQAAjgMAAA4AAAAAAAAAAQAgAAAAHgEAAGRycy9lMm9Eb2MueG1sUEsF&#10;BgAAAAAGAAYAWQEAAFIFAAAAAA==&#10;">
              <v:fill on="f" focussize="0,0"/>
              <v:stroke on="f"/>
              <v:imagedata o:title=""/>
              <o:lock v:ext="edit" aspectratio="f"/>
              <v:textbox inset="0mm,0mm,0mm,0mm" style="mso-fit-shape-to-text:t;">
                <w:txbxContent>
                  <w:p w14:paraId="54CAF68B">
                    <w:pPr>
                      <w:snapToGrid w:val="0"/>
                      <w:ind w:right="227"/>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B18C2">
    <w:pPr>
      <w:pStyle w:val="23"/>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66EAB4">
                          <w:pPr>
                            <w:snapToGrid w:val="0"/>
                            <w:ind w:right="227"/>
                            <w:rPr>
                              <w:sz w:val="18"/>
                            </w:rPr>
                          </w:pPr>
                          <w:r>
                            <w:rPr>
                              <w:rFonts w:hint="eastAsia" w:ascii="宋体" w:hAnsi="宋体" w:cs="宋体"/>
                              <w:sz w:val="18"/>
                            </w:rPr>
                            <w:fldChar w:fldCharType="begin"/>
                          </w:r>
                          <w:r>
                            <w:rPr>
                              <w:rFonts w:hint="eastAsia" w:ascii="宋体" w:hAnsi="宋体" w:cs="宋体"/>
                              <w:sz w:val="18"/>
                            </w:rPr>
                            <w:instrText xml:space="preserve"> PAGE  \* MERGEFORMAT </w:instrText>
                          </w:r>
                          <w:r>
                            <w:rPr>
                              <w:rFonts w:hint="eastAsia" w:ascii="宋体" w:hAnsi="宋体" w:cs="宋体"/>
                              <w:sz w:val="18"/>
                            </w:rPr>
                            <w:fldChar w:fldCharType="separate"/>
                          </w:r>
                          <w:r>
                            <w:rPr>
                              <w:rFonts w:hint="eastAsia" w:ascii="宋体" w:hAnsi="宋体" w:cs="宋体"/>
                              <w:sz w:val="18"/>
                            </w:rPr>
                            <w:t>I</w:t>
                          </w:r>
                          <w:r>
                            <w:rPr>
                              <w:rFonts w:hint="eastAsia" w:ascii="宋体" w:hAnsi="宋体" w:cs="宋体"/>
                              <w:sz w:val="18"/>
                            </w:rPr>
                            <w:fldChar w:fldCharType="end"/>
                          </w:r>
                        </w:p>
                      </w:txbxContent>
                    </wps:txbx>
                    <wps:bodyPr wrap="none" lIns="0" tIns="0" rIns="0" bIns="0">
                      <a:spAutoFit/>
                    </wps:bodyPr>
                  </wps:wsp>
                </a:graphicData>
              </a:graphic>
            </wp:anchor>
          </w:drawing>
        </mc:Choice>
        <mc:Fallback>
          <w:pict>
            <v:shape id="文本框 28"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c0evMEBAACO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1nX&#10;WZ8hQINp9wET0/jGj7g1ix/QmWmPKtr8RUIE46ju+aquHBMR+VG9rusKQwJjywXx2cPzECG9ld6S&#10;bLQ04viKqvz0HtKUuqTkas7faWPKCI37y4GY2cNy71OP2UrjfpwJ7X13Rj4DTr6lDhedEvPOobB5&#10;SRYjLsZ+NnINCK+PCQuXfjLqBDUXwzEVRvNK5T34816yHn6j7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gc0evMEBAACOAwAADgAAAAAAAAABACAAAAAeAQAAZHJzL2Uyb0RvYy54bWxQSwUG&#10;AAAAAAYABgBZAQAAUQUAAAAA&#10;">
              <v:fill on="f" focussize="0,0"/>
              <v:stroke on="f"/>
              <v:imagedata o:title=""/>
              <o:lock v:ext="edit" aspectratio="f"/>
              <v:textbox inset="0mm,0mm,0mm,0mm" style="mso-fit-shape-to-text:t;">
                <w:txbxContent>
                  <w:p w14:paraId="6066EAB4">
                    <w:pPr>
                      <w:snapToGrid w:val="0"/>
                      <w:ind w:right="227"/>
                      <w:rPr>
                        <w:sz w:val="18"/>
                      </w:rPr>
                    </w:pPr>
                    <w:r>
                      <w:rPr>
                        <w:rFonts w:hint="eastAsia" w:ascii="宋体" w:hAnsi="宋体" w:cs="宋体"/>
                        <w:sz w:val="18"/>
                      </w:rPr>
                      <w:fldChar w:fldCharType="begin"/>
                    </w:r>
                    <w:r>
                      <w:rPr>
                        <w:rFonts w:hint="eastAsia" w:ascii="宋体" w:hAnsi="宋体" w:cs="宋体"/>
                        <w:sz w:val="18"/>
                      </w:rPr>
                      <w:instrText xml:space="preserve"> PAGE  \* MERGEFORMAT </w:instrText>
                    </w:r>
                    <w:r>
                      <w:rPr>
                        <w:rFonts w:hint="eastAsia" w:ascii="宋体" w:hAnsi="宋体" w:cs="宋体"/>
                        <w:sz w:val="18"/>
                      </w:rPr>
                      <w:fldChar w:fldCharType="separate"/>
                    </w:r>
                    <w:r>
                      <w:rPr>
                        <w:rFonts w:hint="eastAsia" w:ascii="宋体" w:hAnsi="宋体" w:cs="宋体"/>
                        <w:sz w:val="18"/>
                      </w:rPr>
                      <w:t>I</w:t>
                    </w:r>
                    <w:r>
                      <w:rPr>
                        <w:rFonts w:hint="eastAsia" w:ascii="宋体" w:hAnsi="宋体" w:cs="宋体"/>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0FCD">
    <w:pPr>
      <w:pStyle w:val="119"/>
      <w:rPr>
        <w:rFonts w:hint="eastAsia" w:hAnsi="宋体"/>
      </w:rPr>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085FA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HKN8MBAACP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EtbsJbShy3OPHzzx/nX3/Ov7+T&#10;5XUWqA9QY959wMw0vPMDJs9+QGfmPaho8xcZEYyjvKeLvHJIRORHq+VqVWFIYGy+ID57eB4ipPfS&#10;W5KNhkacX5GVHz9CGlPnlFzN+TttTJmhcf84EDN7WO597DFbadgNE6Gdb0/Ip8fRN9ThplNiPjhU&#10;Nm/JbMTZ2E1GrgHh9pCwcOkno45QUzGcU2E07VRehMf3kvXwH2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w4co3wwEAAI8DAAAOAAAAAAAAAAEAIAAAAB4BAABkcnMvZTJvRG9jLnhtbFBL&#10;BQYAAAAABgAGAFkBAABTBQAAAAA=&#10;">
              <v:fill on="f" focussize="0,0"/>
              <v:stroke on="f"/>
              <v:imagedata o:title=""/>
              <o:lock v:ext="edit" aspectratio="f"/>
              <v:textbox inset="0mm,0mm,0mm,0mm" style="mso-fit-shape-to-text:t;">
                <w:txbxContent>
                  <w:p w14:paraId="02085FA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C0DB2">
    <w:pPr>
      <w:pStyle w:val="23"/>
      <w:jc w:val="both"/>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543929">
                          <w:pPr>
                            <w:snapToGrid w:val="0"/>
                            <w:ind w:right="227"/>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7"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BoU8IBAACP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LO3XGLEz///HH+9Xh++E6W&#10;b7N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XgaFPCAQAAjwMAAA4AAAAAAAAAAQAgAAAAHgEAAGRycy9lMm9Eb2MueG1sUEsF&#10;BgAAAAAGAAYAWQEAAFIFAAAAAA==&#10;">
              <v:fill on="f" focussize="0,0"/>
              <v:stroke on="f"/>
              <v:imagedata o:title=""/>
              <o:lock v:ext="edit" aspectratio="f"/>
              <v:textbox inset="0mm,0mm,0mm,0mm" style="mso-fit-shape-to-text:t;">
                <w:txbxContent>
                  <w:p w14:paraId="2C543929">
                    <w:pPr>
                      <w:snapToGrid w:val="0"/>
                      <w:ind w:right="227"/>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9979">
    <w:pPr>
      <w:pStyle w:val="23"/>
    </w:pPr>
    <w: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088409">
                          <w:pPr>
                            <w:snapToGrid w:val="0"/>
                            <w:ind w:right="227"/>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wps:txbx>
                    <wps:bodyPr wrap="none" lIns="0" tIns="0" rIns="0" bIns="0">
                      <a:spAutoFit/>
                    </wps:bodyPr>
                  </wps:wsp>
                </a:graphicData>
              </a:graphic>
            </wp:anchor>
          </w:drawing>
        </mc:Choice>
        <mc:Fallback>
          <w:pict>
            <v:shape id="文本框 28"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OrMEBAACP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Xr&#10;Ogs0BGgw7z5gZhrf+BGTFz+gM/MeVbT5i4wIxlHe81VeOSYi8qN6XdcVhgTGlgvis4fnIUJ6K70l&#10;2WhpxPkVWfnpPaQpdUnJ1Zy/08aUGRr3lwMxs4fl3qces5XG/TgT2vvujHwGHH1LHW46JeadQ2Xz&#10;lixGXIz9bOQaEF4fExYu/WTUCWouhnMqjOadyovw571kPfxH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sXvOrMEBAACPAwAADgAAAAAAAAABACAAAAAeAQAAZHJzL2Uyb0RvYy54bWxQSwUG&#10;AAAAAAYABgBZAQAAUQUAAAAA&#10;">
              <v:fill on="f" focussize="0,0"/>
              <v:stroke on="f"/>
              <v:imagedata o:title=""/>
              <o:lock v:ext="edit" aspectratio="f"/>
              <v:textbox inset="0mm,0mm,0mm,0mm" style="mso-fit-shape-to-text:t;">
                <w:txbxContent>
                  <w:p w14:paraId="6F088409">
                    <w:pPr>
                      <w:snapToGrid w:val="0"/>
                      <w:ind w:right="227"/>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720B6">
    <w:pPr>
      <w:pStyle w:val="24"/>
      <w:tabs>
        <w:tab w:val="center" w:pos="4153"/>
        <w:tab w:val="right" w:pos="8306"/>
      </w:tabs>
      <w:jc w:val="left"/>
      <w:rPr>
        <w:rFonts w:hint="eastAsia" w:ascii="黑体" w:hAnsi="黑体" w:eastAsia="黑体" w:cs="黑体"/>
        <w:sz w:val="21"/>
        <w:szCs w:val="21"/>
        <w:lang w:val="fr-FR" w:eastAsia="zh-CN"/>
      </w:rPr>
    </w:pPr>
    <w:bookmarkStart w:id="50" w:name="OLE_LINK27"/>
    <w:r>
      <w:rPr>
        <w:rFonts w:eastAsia="黑体"/>
        <w:b/>
        <w:bCs/>
        <w:sz w:val="21"/>
        <w:szCs w:val="21"/>
        <w:lang w:val="fr-FR"/>
      </w:rPr>
      <w:t>T/</w:t>
    </w:r>
    <w:r>
      <w:rPr>
        <w:rFonts w:hint="eastAsia" w:eastAsia="黑体"/>
        <w:b/>
        <w:bCs/>
        <w:sz w:val="21"/>
        <w:szCs w:val="21"/>
        <w:lang w:val="fr-FR"/>
      </w:rPr>
      <w:t>ACEF</w:t>
    </w:r>
    <w:r>
      <w:rPr>
        <w:rFonts w:hint="eastAsia" w:ascii="黑体" w:hAnsi="黑体" w:eastAsia="黑体" w:cs="黑体"/>
        <w:sz w:val="21"/>
        <w:szCs w:val="21"/>
        <w:lang w:val="fr-FR"/>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lang w:val="fr-FR"/>
      </w:rPr>
      <w:t>—202</w:t>
    </w:r>
    <w:r>
      <w:rPr>
        <w:rFonts w:hint="eastAsia" w:ascii="黑体" w:hAnsi="黑体" w:eastAsia="黑体" w:cs="黑体"/>
        <w:sz w:val="21"/>
        <w:szCs w:val="21"/>
        <w:lang w:val="en-US" w:eastAsia="zh-CN"/>
      </w:rPr>
      <w:t>5</w:t>
    </w:r>
  </w:p>
  <w:p w14:paraId="5FDEA8E0">
    <w:pPr>
      <w:pStyle w:val="24"/>
      <w:tabs>
        <w:tab w:val="center" w:pos="4153"/>
        <w:tab w:val="right" w:pos="8306"/>
      </w:tabs>
      <w:jc w:val="left"/>
      <w:rPr>
        <w:rFonts w:hint="eastAsia" w:eastAsia="黑体"/>
        <w:lang w:eastAsia="zh-CN"/>
      </w:rPr>
    </w:pPr>
    <w:bookmarkStart w:id="51" w:name="OLE_LINK5"/>
    <w:r>
      <w:rPr>
        <w:rFonts w:eastAsia="黑体"/>
        <w:b/>
        <w:bCs/>
        <w:sz w:val="21"/>
        <w:szCs w:val="21"/>
        <w:lang w:val="fr-FR"/>
      </w:rPr>
      <w:t>T/</w:t>
    </w:r>
    <w:r>
      <w:rPr>
        <w:rFonts w:hint="eastAsia" w:eastAsia="黑体"/>
        <w:b/>
        <w:bCs/>
        <w:sz w:val="21"/>
        <w:szCs w:val="21"/>
        <w:lang w:val="fr-FR"/>
      </w:rPr>
      <w:t>CSTE</w:t>
    </w:r>
    <w:bookmarkEnd w:id="51"/>
    <w:r>
      <w:rPr>
        <w:rFonts w:hint="eastAsia" w:ascii="黑体" w:hAnsi="黑体" w:eastAsia="黑体" w:cs="黑体"/>
        <w:sz w:val="21"/>
        <w:szCs w:val="21"/>
        <w:lang w:val="fr-FR"/>
      </w:rPr>
      <w:t xml:space="preserve"> </w:t>
    </w:r>
    <w:r>
      <w:rPr>
        <w:rFonts w:hint="eastAsia" w:ascii="黑体" w:hAnsi="黑体" w:eastAsia="黑体" w:cs="黑体"/>
        <w:sz w:val="21"/>
        <w:szCs w:val="21"/>
        <w:lang w:val="en-US" w:eastAsia="zh-CN"/>
      </w:rPr>
      <w:t>XXXX</w:t>
    </w:r>
    <w:r>
      <w:rPr>
        <w:rFonts w:hint="eastAsia" w:ascii="黑体" w:hAnsi="黑体" w:eastAsia="黑体" w:cs="黑体"/>
        <w:sz w:val="21"/>
        <w:szCs w:val="21"/>
        <w:lang w:val="fr-FR"/>
      </w:rPr>
      <w:t>—202</w:t>
    </w:r>
    <w:bookmarkEnd w:id="50"/>
    <w:r>
      <w:rPr>
        <w:rFonts w:hint="eastAsia" w:ascii="黑体" w:hAnsi="黑体" w:eastAsia="黑体" w:cs="黑体"/>
        <w:sz w:val="21"/>
        <w:szCs w:val="21"/>
        <w:lang w:val="en-US" w:eastAsia="zh-CN"/>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63B87">
    <w:pPr>
      <w:pStyle w:val="24"/>
      <w:rPr>
        <w:rFonts w:hint="eastAsia" w:ascii="黑体" w:hAnsi="黑体" w:eastAsia="黑体"/>
        <w:sz w:val="21"/>
        <w:szCs w:val="21"/>
      </w:rPr>
    </w:pPr>
    <w:r>
      <w:rPr>
        <w:rFonts w:ascii="黑体" w:eastAsia="黑体"/>
        <w:sz w:val="21"/>
        <w:szCs w:val="21"/>
      </w:rPr>
      <w:t>T/</w:t>
    </w:r>
    <w:r>
      <w:rPr>
        <w:rFonts w:hint="eastAsia" w:ascii="黑体" w:eastAsia="黑体"/>
        <w:sz w:val="21"/>
        <w:szCs w:val="21"/>
      </w:rPr>
      <w:t>ACEF 0X-2024</w:t>
    </w:r>
  </w:p>
  <w:p w14:paraId="4F86818F">
    <w:pPr>
      <w:pStyle w:val="24"/>
      <w:rPr>
        <w:rFonts w:ascii="黑体" w:eastAsia="黑体"/>
        <w:sz w:val="21"/>
        <w:szCs w:val="21"/>
      </w:rPr>
    </w:pPr>
    <w:r>
      <w:rPr>
        <w:rFonts w:ascii="黑体" w:eastAsia="黑体"/>
        <w:sz w:val="21"/>
        <w:szCs w:val="21"/>
      </w:rPr>
      <w:t>T/</w:t>
    </w:r>
    <w:r>
      <w:rPr>
        <w:rFonts w:hint="eastAsia" w:ascii="黑体" w:eastAsia="黑体"/>
        <w:sz w:val="21"/>
        <w:szCs w:val="21"/>
      </w:rPr>
      <w:t>CSTE 0X-2024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8F7E0">
    <w:pPr>
      <w:pStyle w:val="24"/>
      <w:pBdr>
        <w:bottom w:val="none" w:color="auto" w:sz="0" w:space="0"/>
      </w:pBdr>
      <w:jc w:val="right"/>
      <w:rPr>
        <w:rFonts w:ascii="黑体" w:eastAsia="黑体"/>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A679">
    <w:pPr>
      <w:pStyle w:val="24"/>
      <w:pBdr>
        <w:bottom w:val="none" w:color="auto" w:sz="0" w:space="0"/>
      </w:pBdr>
      <w:jc w:val="right"/>
      <w:rPr>
        <w:rFonts w:ascii="黑体" w:eastAsia="黑体"/>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6C3BF">
    <w:pPr>
      <w:pStyle w:val="24"/>
      <w:jc w:val="right"/>
      <w:rPr>
        <w:rFonts w:eastAsia="黑体"/>
      </w:rPr>
    </w:pPr>
    <w:r>
      <w:rPr>
        <w:rFonts w:ascii="黑体" w:eastAsia="黑体"/>
        <w:sz w:val="21"/>
        <w:szCs w:val="21"/>
      </w:rPr>
      <w:t>T/</w:t>
    </w:r>
    <w:r>
      <w:rPr>
        <w:rFonts w:hint="eastAsia" w:ascii="黑体" w:eastAsia="黑体"/>
        <w:sz w:val="21"/>
        <w:szCs w:val="21"/>
      </w:rPr>
      <w:t>ACEF 0X—2024</w:t>
    </w:r>
  </w:p>
  <w:p w14:paraId="6E4053AC">
    <w:pPr>
      <w:pStyle w:val="24"/>
      <w:jc w:val="right"/>
      <w:rPr>
        <w:rFonts w:eastAsia="黑体"/>
      </w:rPr>
    </w:pPr>
    <w:r>
      <w:rPr>
        <w:rFonts w:ascii="黑体" w:eastAsia="黑体"/>
        <w:sz w:val="21"/>
        <w:szCs w:val="21"/>
      </w:rPr>
      <w:t>T/</w:t>
    </w:r>
    <w:r>
      <w:rPr>
        <w:rFonts w:hint="eastAsia" w:ascii="黑体" w:eastAsia="黑体"/>
        <w:sz w:val="21"/>
        <w:szCs w:val="21"/>
      </w:rPr>
      <w:t>CSTE 0X—2024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D6892">
    <w:pPr>
      <w:pStyle w:val="24"/>
      <w:jc w:val="right"/>
      <w:rPr>
        <w:rFonts w:hint="eastAsia" w:ascii="黑体" w:hAnsi="黑体" w:eastAsia="黑体"/>
        <w:sz w:val="21"/>
        <w:szCs w:val="21"/>
      </w:rPr>
    </w:pPr>
    <w:r>
      <w:rPr>
        <w:rFonts w:ascii="黑体" w:eastAsia="黑体"/>
        <w:sz w:val="21"/>
        <w:szCs w:val="21"/>
      </w:rPr>
      <w:t>T/</w:t>
    </w:r>
    <w:r>
      <w:rPr>
        <w:rFonts w:hint="eastAsia" w:ascii="黑体" w:eastAsia="黑体"/>
        <w:sz w:val="21"/>
        <w:szCs w:val="21"/>
      </w:rPr>
      <w:t>ACEF 0X—2024</w:t>
    </w:r>
  </w:p>
  <w:p w14:paraId="5E11953C">
    <w:pPr>
      <w:pStyle w:val="24"/>
      <w:jc w:val="right"/>
      <w:rPr>
        <w:rFonts w:ascii="黑体" w:eastAsia="黑体"/>
        <w:sz w:val="21"/>
        <w:szCs w:val="21"/>
      </w:rPr>
    </w:pPr>
    <w:r>
      <w:rPr>
        <w:rFonts w:ascii="黑体" w:eastAsia="黑体"/>
        <w:sz w:val="21"/>
        <w:szCs w:val="21"/>
      </w:rPr>
      <w:t>T/</w:t>
    </w:r>
    <w:r>
      <w:rPr>
        <w:rFonts w:hint="eastAsia" w:ascii="黑体" w:eastAsia="黑体"/>
        <w:sz w:val="21"/>
        <w:szCs w:val="21"/>
      </w:rPr>
      <w:t>CSTE 0X—2024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68504">
    <w:pPr>
      <w:pStyle w:val="24"/>
      <w:jc w:val="right"/>
      <w:rPr>
        <w:rFonts w:hint="eastAsia" w:eastAsia="黑体"/>
        <w:lang w:eastAsia="zh-CN"/>
      </w:rPr>
    </w:pPr>
    <w:r>
      <w:rPr>
        <w:rFonts w:ascii="黑体" w:eastAsia="黑体"/>
        <w:sz w:val="21"/>
        <w:szCs w:val="21"/>
      </w:rPr>
      <w:t>T/</w:t>
    </w:r>
    <w:r>
      <w:rPr>
        <w:rFonts w:hint="eastAsia" w:ascii="黑体" w:eastAsia="黑体"/>
        <w:sz w:val="21"/>
        <w:szCs w:val="21"/>
      </w:rPr>
      <w:t>ACEF</w:t>
    </w:r>
    <w:r>
      <w:rPr>
        <w:rFonts w:ascii="黑体" w:eastAsia="黑体"/>
        <w:sz w:val="21"/>
        <w:szCs w:val="21"/>
      </w:rPr>
      <w:t xml:space="preserve"> </w:t>
    </w:r>
    <w:r>
      <w:rPr>
        <w:rFonts w:hint="eastAsia" w:ascii="黑体" w:eastAsia="黑体"/>
        <w:sz w:val="21"/>
        <w:szCs w:val="21"/>
        <w:lang w:val="en-US" w:eastAsia="zh-CN"/>
      </w:rPr>
      <w:t>xxx</w:t>
    </w:r>
    <w:r>
      <w:rPr>
        <w:rFonts w:hint="eastAsia" w:ascii="黑体" w:eastAsia="黑体"/>
        <w:sz w:val="21"/>
        <w:szCs w:val="21"/>
      </w:rPr>
      <w:t>—</w:t>
    </w:r>
    <w:r>
      <w:rPr>
        <w:rFonts w:ascii="黑体" w:eastAsia="黑体"/>
        <w:sz w:val="21"/>
        <w:szCs w:val="21"/>
      </w:rPr>
      <w:t>202</w:t>
    </w:r>
    <w:r>
      <w:rPr>
        <w:rFonts w:hint="eastAsia" w:ascii="黑体" w:eastAsia="黑体"/>
        <w:sz w:val="21"/>
        <w:szCs w:val="21"/>
        <w:lang w:val="en-US" w:eastAsia="zh-CN"/>
      </w:rPr>
      <w:t>5</w:t>
    </w:r>
  </w:p>
  <w:p w14:paraId="21C9BAB4">
    <w:pPr>
      <w:pStyle w:val="24"/>
      <w:jc w:val="right"/>
      <w:rPr>
        <w:rFonts w:hint="eastAsia" w:ascii="黑体" w:eastAsia="黑体"/>
        <w:sz w:val="21"/>
        <w:szCs w:val="21"/>
        <w:lang w:eastAsia="zh-CN"/>
      </w:rPr>
    </w:pPr>
    <w:r>
      <w:rPr>
        <w:rFonts w:ascii="黑体" w:eastAsia="黑体"/>
        <w:sz w:val="21"/>
        <w:szCs w:val="21"/>
      </w:rPr>
      <w:t>T/</w:t>
    </w:r>
    <w:r>
      <w:rPr>
        <w:rFonts w:hint="eastAsia" w:ascii="黑体" w:eastAsia="黑体"/>
        <w:sz w:val="21"/>
        <w:szCs w:val="21"/>
      </w:rPr>
      <w:t>CSTE</w:t>
    </w:r>
    <w:r>
      <w:rPr>
        <w:rFonts w:ascii="黑体" w:eastAsia="黑体"/>
        <w:sz w:val="21"/>
        <w:szCs w:val="21"/>
      </w:rPr>
      <w:t xml:space="preserve"> </w:t>
    </w:r>
    <w:r>
      <w:rPr>
        <w:rFonts w:hint="eastAsia" w:ascii="黑体" w:eastAsia="黑体"/>
        <w:sz w:val="21"/>
        <w:szCs w:val="21"/>
        <w:lang w:val="en-US" w:eastAsia="zh-CN"/>
      </w:rPr>
      <w:t>xxxx</w:t>
    </w:r>
    <w:r>
      <w:rPr>
        <w:rFonts w:hint="eastAsia" w:ascii="黑体" w:eastAsia="黑体"/>
        <w:sz w:val="21"/>
        <w:szCs w:val="21"/>
      </w:rPr>
      <w:t>—</w:t>
    </w:r>
    <w:r>
      <w:rPr>
        <w:rFonts w:ascii="黑体" w:eastAsia="黑体"/>
        <w:sz w:val="21"/>
        <w:szCs w:val="21"/>
      </w:rPr>
      <w:t>202</w:t>
    </w:r>
    <w:r>
      <w:rPr>
        <w:rFonts w:hint="eastAsia" w:ascii="黑体" w:eastAsia="黑体"/>
        <w:sz w:val="21"/>
        <w:szCs w:val="21"/>
        <w:lang w:val="en-US" w:eastAsia="zh-CN"/>
      </w:rPr>
      <w:t>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546EF">
    <w:pPr>
      <w:pStyle w:val="24"/>
      <w:jc w:val="right"/>
      <w:rPr>
        <w:rFonts w:hint="eastAsia" w:eastAsia="黑体"/>
        <w:lang w:eastAsia="zh-CN"/>
      </w:rPr>
    </w:pPr>
    <w:r>
      <w:rPr>
        <w:rFonts w:ascii="黑体" w:eastAsia="黑体"/>
        <w:sz w:val="21"/>
        <w:szCs w:val="21"/>
      </w:rPr>
      <w:t>T/</w:t>
    </w:r>
    <w:r>
      <w:rPr>
        <w:rFonts w:hint="eastAsia" w:ascii="黑体" w:eastAsia="黑体"/>
        <w:sz w:val="21"/>
        <w:szCs w:val="21"/>
      </w:rPr>
      <w:t xml:space="preserve">ACEF </w:t>
    </w:r>
    <w:r>
      <w:rPr>
        <w:rFonts w:hint="eastAsia" w:ascii="黑体" w:eastAsia="黑体"/>
        <w:sz w:val="21"/>
        <w:szCs w:val="21"/>
        <w:lang w:val="en-US" w:eastAsia="zh-CN"/>
      </w:rPr>
      <w:t>xxx</w:t>
    </w:r>
    <w:r>
      <w:rPr>
        <w:rFonts w:hint="eastAsia" w:ascii="黑体" w:eastAsia="黑体"/>
        <w:sz w:val="21"/>
        <w:szCs w:val="21"/>
      </w:rPr>
      <w:t>—202</w:t>
    </w:r>
    <w:r>
      <w:rPr>
        <w:rFonts w:hint="eastAsia" w:ascii="黑体" w:eastAsia="黑体"/>
        <w:sz w:val="21"/>
        <w:szCs w:val="21"/>
        <w:lang w:val="en-US" w:eastAsia="zh-CN"/>
      </w:rPr>
      <w:t>5</w:t>
    </w:r>
  </w:p>
  <w:p w14:paraId="1EAF0EDA">
    <w:pPr>
      <w:pStyle w:val="24"/>
      <w:jc w:val="right"/>
      <w:rPr>
        <w:rFonts w:hint="eastAsia" w:eastAsia="黑体"/>
        <w:lang w:eastAsia="zh-CN"/>
      </w:rPr>
    </w:pPr>
    <w:r>
      <w:rPr>
        <w:rFonts w:ascii="黑体" w:eastAsia="黑体"/>
        <w:sz w:val="21"/>
        <w:szCs w:val="21"/>
      </w:rPr>
      <w:t>T/</w:t>
    </w:r>
    <w:r>
      <w:rPr>
        <w:rFonts w:hint="eastAsia" w:ascii="黑体" w:eastAsia="黑体"/>
        <w:sz w:val="21"/>
        <w:szCs w:val="21"/>
      </w:rPr>
      <w:t xml:space="preserve">CSTE </w:t>
    </w:r>
    <w:r>
      <w:rPr>
        <w:rFonts w:hint="eastAsia" w:ascii="黑体" w:eastAsia="黑体"/>
        <w:sz w:val="21"/>
        <w:szCs w:val="21"/>
        <w:lang w:val="en-US" w:eastAsia="zh-CN"/>
      </w:rPr>
      <w:t>xxxx</w:t>
    </w:r>
    <w:r>
      <w:rPr>
        <w:rFonts w:hint="eastAsia" w:ascii="黑体" w:eastAsia="黑体"/>
        <w:sz w:val="21"/>
        <w:szCs w:val="21"/>
      </w:rPr>
      <w:t>—202</w:t>
    </w:r>
    <w:r>
      <w:rPr>
        <w:rFonts w:hint="eastAsia" w:ascii="黑体" w:eastAsia="黑体"/>
        <w:sz w:val="21"/>
        <w:szCs w:val="21"/>
        <w:lang w:val="en-US" w:eastAsia="zh-CN"/>
      </w:rPr>
      <w:t>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8797B">
    <w:pPr>
      <w:pStyle w:val="24"/>
      <w:rPr>
        <w:rFonts w:hint="eastAsia" w:ascii="黑体" w:hAnsi="黑体" w:eastAsia="黑体"/>
        <w:sz w:val="21"/>
        <w:szCs w:val="21"/>
        <w:lang w:eastAsia="zh-CN"/>
      </w:rPr>
    </w:pPr>
    <w:r>
      <w:rPr>
        <w:rFonts w:ascii="黑体" w:eastAsia="黑体"/>
        <w:sz w:val="21"/>
        <w:szCs w:val="21"/>
      </w:rPr>
      <w:t>T/</w:t>
    </w:r>
    <w:r>
      <w:rPr>
        <w:rFonts w:hint="eastAsia" w:ascii="黑体" w:eastAsia="黑体"/>
        <w:sz w:val="21"/>
        <w:szCs w:val="21"/>
      </w:rPr>
      <w:t xml:space="preserve">ACEF </w:t>
    </w:r>
    <w:r>
      <w:rPr>
        <w:rFonts w:hint="eastAsia" w:ascii="黑体" w:eastAsia="黑体"/>
        <w:sz w:val="21"/>
        <w:szCs w:val="21"/>
        <w:lang w:val="en-US" w:eastAsia="zh-CN"/>
      </w:rPr>
      <w:t>xxx</w:t>
    </w:r>
    <w:r>
      <w:rPr>
        <w:rFonts w:hint="eastAsia" w:ascii="黑体" w:eastAsia="黑体"/>
        <w:sz w:val="21"/>
        <w:szCs w:val="21"/>
      </w:rPr>
      <w:t>—202</w:t>
    </w:r>
    <w:r>
      <w:rPr>
        <w:rFonts w:hint="eastAsia" w:ascii="黑体" w:eastAsia="黑体"/>
        <w:sz w:val="21"/>
        <w:szCs w:val="21"/>
        <w:lang w:val="en-US" w:eastAsia="zh-CN"/>
      </w:rPr>
      <w:t>5</w:t>
    </w:r>
  </w:p>
  <w:p w14:paraId="3FD9082D">
    <w:pPr>
      <w:pStyle w:val="24"/>
      <w:rPr>
        <w:rFonts w:hint="eastAsia" w:ascii="黑体" w:eastAsia="黑体"/>
        <w:sz w:val="21"/>
        <w:szCs w:val="21"/>
        <w:lang w:val="en-US" w:eastAsia="zh-CN"/>
      </w:rPr>
    </w:pPr>
    <w:r>
      <w:rPr>
        <w:rFonts w:ascii="黑体" w:eastAsia="黑体"/>
        <w:sz w:val="21"/>
        <w:szCs w:val="21"/>
      </w:rPr>
      <w:t>T/</w:t>
    </w:r>
    <w:r>
      <w:rPr>
        <w:rFonts w:hint="eastAsia" w:ascii="黑体" w:eastAsia="黑体"/>
        <w:sz w:val="21"/>
        <w:szCs w:val="21"/>
      </w:rPr>
      <w:t xml:space="preserve">CSTE </w:t>
    </w:r>
    <w:r>
      <w:rPr>
        <w:rFonts w:hint="eastAsia" w:ascii="黑体" w:eastAsia="黑体"/>
        <w:sz w:val="21"/>
        <w:szCs w:val="21"/>
        <w:lang w:val="en-US" w:eastAsia="zh-CN"/>
      </w:rPr>
      <w:t>xxxx</w:t>
    </w:r>
    <w:r>
      <w:rPr>
        <w:rFonts w:hint="eastAsia" w:ascii="黑体" w:eastAsia="黑体"/>
        <w:sz w:val="21"/>
        <w:szCs w:val="21"/>
      </w:rPr>
      <w:t>—202</w:t>
    </w:r>
    <w:r>
      <w:rPr>
        <w:rFonts w:hint="eastAsia" w:ascii="黑体" w:eastAsia="黑体"/>
        <w:sz w:val="21"/>
        <w:szCs w:val="21"/>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0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64"/>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9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3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5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9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88"/>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132"/>
      <w:suff w:val="space"/>
      <w:lvlText w:val="%1"/>
      <w:lvlJc w:val="left"/>
      <w:pPr>
        <w:ind w:left="623" w:hanging="425"/>
      </w:pPr>
      <w:rPr>
        <w:rFonts w:hint="eastAsia"/>
      </w:rPr>
    </w:lvl>
    <w:lvl w:ilvl="1" w:tentative="0">
      <w:start w:val="1"/>
      <w:numFmt w:val="decimal"/>
      <w:pStyle w:val="11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143"/>
      <w:suff w:val="nothing"/>
      <w:lvlText w:val="%1——"/>
      <w:lvlJc w:val="left"/>
      <w:pPr>
        <w:ind w:left="833" w:hanging="408"/>
      </w:pPr>
      <w:rPr>
        <w:rFonts w:hint="eastAsia"/>
      </w:rPr>
    </w:lvl>
    <w:lvl w:ilvl="1" w:tentative="0">
      <w:start w:val="1"/>
      <w:numFmt w:val="bullet"/>
      <w:pStyle w:val="112"/>
      <w:lvlText w:val=""/>
      <w:lvlJc w:val="left"/>
      <w:pPr>
        <w:tabs>
          <w:tab w:val="left" w:pos="760"/>
        </w:tabs>
        <w:ind w:left="1264" w:hanging="413"/>
      </w:pPr>
      <w:rPr>
        <w:rFonts w:hint="default" w:ascii="Symbol" w:hAnsi="Symbol"/>
        <w:color w:val="auto"/>
      </w:rPr>
    </w:lvl>
    <w:lvl w:ilvl="2" w:tentative="0">
      <w:start w:val="1"/>
      <w:numFmt w:val="bullet"/>
      <w:pStyle w:val="7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30"/>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120"/>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154"/>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14"/>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9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0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5FEAFAF9"/>
    <w:multiLevelType w:val="multilevel"/>
    <w:tmpl w:val="5FEAFAF9"/>
    <w:lvl w:ilvl="0" w:tentative="0">
      <w:start w:val="1"/>
      <w:numFmt w:val="decimal"/>
      <w:pStyle w:val="7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9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95"/>
      <w:suff w:val="nothing"/>
      <w:lvlText w:val="%1.%2.%3　"/>
      <w:lvlJc w:val="left"/>
      <w:pPr>
        <w:tabs>
          <w:tab w:val="left" w:pos="0"/>
        </w:tabs>
        <w:ind w:left="0" w:firstLine="0"/>
      </w:pPr>
      <w:rPr>
        <w:rFonts w:hint="default" w:ascii="黑体" w:hAnsi="Times New Roman" w:eastAsia="宋体"/>
        <w:b w:val="0"/>
        <w:i w:val="0"/>
        <w:sz w:val="21"/>
      </w:rPr>
    </w:lvl>
    <w:lvl w:ilvl="3" w:tentative="0">
      <w:start w:val="1"/>
      <w:numFmt w:val="decimal"/>
      <w:pStyle w:val="89"/>
      <w:suff w:val="nothing"/>
      <w:lvlText w:val="%1.%2.%3.%4　"/>
      <w:lvlJc w:val="left"/>
      <w:pPr>
        <w:ind w:left="0" w:firstLine="0"/>
      </w:pPr>
      <w:rPr>
        <w:rFonts w:hint="eastAsia" w:ascii="黑体" w:hAnsi="Times New Roman" w:eastAsia="黑体"/>
        <w:b w:val="0"/>
        <w:i w:val="0"/>
        <w:sz w:val="21"/>
      </w:rPr>
    </w:lvl>
    <w:lvl w:ilvl="4" w:tentative="0">
      <w:start w:val="1"/>
      <w:numFmt w:val="decimal"/>
      <w:pStyle w:val="117"/>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144"/>
      <w:lvlText w:val="%1"/>
      <w:lvlJc w:val="left"/>
      <w:pPr>
        <w:tabs>
          <w:tab w:val="left" w:pos="0"/>
        </w:tabs>
        <w:ind w:left="0" w:hanging="425"/>
      </w:pPr>
      <w:rPr>
        <w:rFonts w:hint="eastAsia"/>
      </w:rPr>
    </w:lvl>
    <w:lvl w:ilvl="1" w:tentative="0">
      <w:start w:val="1"/>
      <w:numFmt w:val="decimal"/>
      <w:pStyle w:val="11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8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6"/>
      <w:suff w:val="nothing"/>
      <w:lvlText w:val="%1.%2.%3　"/>
      <w:lvlJc w:val="left"/>
      <w:pPr>
        <w:ind w:left="0" w:firstLine="0"/>
      </w:pPr>
      <w:rPr>
        <w:rFonts w:hint="eastAsia" w:ascii="黑体" w:hAnsi="Times New Roman" w:eastAsia="黑体"/>
        <w:b w:val="0"/>
        <w:i w:val="0"/>
        <w:sz w:val="21"/>
      </w:rPr>
    </w:lvl>
    <w:lvl w:ilvl="3" w:tentative="0">
      <w:start w:val="1"/>
      <w:numFmt w:val="decimal"/>
      <w:pStyle w:val="74"/>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00"/>
      <w:lvlText w:val="%1)"/>
      <w:lvlJc w:val="left"/>
      <w:pPr>
        <w:tabs>
          <w:tab w:val="left" w:pos="839"/>
        </w:tabs>
        <w:ind w:left="839" w:hanging="419"/>
      </w:pPr>
      <w:rPr>
        <w:rFonts w:hint="eastAsia" w:ascii="宋体" w:eastAsia="宋体"/>
        <w:b w:val="0"/>
        <w:i w:val="0"/>
        <w:sz w:val="21"/>
      </w:rPr>
    </w:lvl>
    <w:lvl w:ilvl="1" w:tentative="0">
      <w:start w:val="1"/>
      <w:numFmt w:val="decimal"/>
      <w:pStyle w:val="11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12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1"/>
  </w:num>
  <w:num w:numId="3">
    <w:abstractNumId w:val="15"/>
  </w:num>
  <w:num w:numId="4">
    <w:abstractNumId w:val="7"/>
  </w:num>
  <w:num w:numId="5">
    <w:abstractNumId w:val="12"/>
  </w:num>
  <w:num w:numId="6">
    <w:abstractNumId w:val="14"/>
  </w:num>
  <w:num w:numId="7">
    <w:abstractNumId w:val="5"/>
  </w:num>
  <w:num w:numId="8">
    <w:abstractNumId w:val="10"/>
  </w:num>
  <w:num w:numId="9">
    <w:abstractNumId w:val="2"/>
  </w:num>
  <w:num w:numId="10">
    <w:abstractNumId w:val="16"/>
  </w:num>
  <w:num w:numId="11">
    <w:abstractNumId w:val="11"/>
  </w:num>
  <w:num w:numId="12">
    <w:abstractNumId w:val="0"/>
  </w:num>
  <w:num w:numId="13">
    <w:abstractNumId w:val="6"/>
  </w:num>
  <w:num w:numId="14">
    <w:abstractNumId w:val="9"/>
  </w:num>
  <w:num w:numId="15">
    <w:abstractNumId w:val="13"/>
  </w:num>
  <w:num w:numId="16">
    <w:abstractNumId w:val="17"/>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mZmYyNDVlYTA0NjE3OTE2NjY2NTRlN2Y4NjNlZmIifQ=="/>
  </w:docVars>
  <w:rsids>
    <w:rsidRoot w:val="00172A27"/>
    <w:rsid w:val="00031168"/>
    <w:rsid w:val="0003326D"/>
    <w:rsid w:val="000338D2"/>
    <w:rsid w:val="00045FFF"/>
    <w:rsid w:val="00050767"/>
    <w:rsid w:val="0005757E"/>
    <w:rsid w:val="00064F2E"/>
    <w:rsid w:val="0006638E"/>
    <w:rsid w:val="000733E8"/>
    <w:rsid w:val="000749F2"/>
    <w:rsid w:val="00074F27"/>
    <w:rsid w:val="000766D0"/>
    <w:rsid w:val="00082C12"/>
    <w:rsid w:val="00083598"/>
    <w:rsid w:val="00096589"/>
    <w:rsid w:val="000A3537"/>
    <w:rsid w:val="000A712B"/>
    <w:rsid w:val="000B0598"/>
    <w:rsid w:val="000B09EA"/>
    <w:rsid w:val="000B120F"/>
    <w:rsid w:val="000B48CD"/>
    <w:rsid w:val="000C679B"/>
    <w:rsid w:val="000D0A37"/>
    <w:rsid w:val="000D0B3B"/>
    <w:rsid w:val="000D4330"/>
    <w:rsid w:val="000E251E"/>
    <w:rsid w:val="000F3D58"/>
    <w:rsid w:val="00100F62"/>
    <w:rsid w:val="0010263B"/>
    <w:rsid w:val="001135E2"/>
    <w:rsid w:val="00121792"/>
    <w:rsid w:val="00122179"/>
    <w:rsid w:val="00122693"/>
    <w:rsid w:val="001237D6"/>
    <w:rsid w:val="0012598C"/>
    <w:rsid w:val="00126F5F"/>
    <w:rsid w:val="00145C30"/>
    <w:rsid w:val="00151A84"/>
    <w:rsid w:val="001557EF"/>
    <w:rsid w:val="0016066E"/>
    <w:rsid w:val="00160B4D"/>
    <w:rsid w:val="00160DC8"/>
    <w:rsid w:val="0016313B"/>
    <w:rsid w:val="0016393D"/>
    <w:rsid w:val="0017090A"/>
    <w:rsid w:val="00172A27"/>
    <w:rsid w:val="00176DBA"/>
    <w:rsid w:val="00182165"/>
    <w:rsid w:val="00184057"/>
    <w:rsid w:val="001A2DD7"/>
    <w:rsid w:val="001A348D"/>
    <w:rsid w:val="001A3502"/>
    <w:rsid w:val="001A3C00"/>
    <w:rsid w:val="001B0905"/>
    <w:rsid w:val="001B1866"/>
    <w:rsid w:val="001B3B64"/>
    <w:rsid w:val="001B4027"/>
    <w:rsid w:val="001B771E"/>
    <w:rsid w:val="001C2438"/>
    <w:rsid w:val="001C4A2F"/>
    <w:rsid w:val="001C4E3E"/>
    <w:rsid w:val="001C79B3"/>
    <w:rsid w:val="001D54EE"/>
    <w:rsid w:val="001E0805"/>
    <w:rsid w:val="001E1A7D"/>
    <w:rsid w:val="001E1D10"/>
    <w:rsid w:val="001E4100"/>
    <w:rsid w:val="001F3828"/>
    <w:rsid w:val="001F4231"/>
    <w:rsid w:val="001F45C6"/>
    <w:rsid w:val="001F50A2"/>
    <w:rsid w:val="001F5D9E"/>
    <w:rsid w:val="00201329"/>
    <w:rsid w:val="00202C45"/>
    <w:rsid w:val="002066F8"/>
    <w:rsid w:val="0021001E"/>
    <w:rsid w:val="002158EA"/>
    <w:rsid w:val="00217624"/>
    <w:rsid w:val="0022035C"/>
    <w:rsid w:val="0022059F"/>
    <w:rsid w:val="00220BC3"/>
    <w:rsid w:val="002242D9"/>
    <w:rsid w:val="0022762F"/>
    <w:rsid w:val="002342B9"/>
    <w:rsid w:val="002429F2"/>
    <w:rsid w:val="00242F29"/>
    <w:rsid w:val="00243FEB"/>
    <w:rsid w:val="00245F58"/>
    <w:rsid w:val="002579E8"/>
    <w:rsid w:val="00257D1E"/>
    <w:rsid w:val="0026011F"/>
    <w:rsid w:val="00260CD2"/>
    <w:rsid w:val="002707A3"/>
    <w:rsid w:val="00272111"/>
    <w:rsid w:val="00281906"/>
    <w:rsid w:val="00286E14"/>
    <w:rsid w:val="0029194B"/>
    <w:rsid w:val="002B234C"/>
    <w:rsid w:val="002B5F1A"/>
    <w:rsid w:val="002B7530"/>
    <w:rsid w:val="002B76A4"/>
    <w:rsid w:val="002C1FE5"/>
    <w:rsid w:val="002E785D"/>
    <w:rsid w:val="002F3C2B"/>
    <w:rsid w:val="002F4E0F"/>
    <w:rsid w:val="002F7C4C"/>
    <w:rsid w:val="00300BB6"/>
    <w:rsid w:val="003020BD"/>
    <w:rsid w:val="0030681F"/>
    <w:rsid w:val="00306883"/>
    <w:rsid w:val="00310890"/>
    <w:rsid w:val="0031501B"/>
    <w:rsid w:val="00321029"/>
    <w:rsid w:val="003218B1"/>
    <w:rsid w:val="00325365"/>
    <w:rsid w:val="00330F70"/>
    <w:rsid w:val="00335B5D"/>
    <w:rsid w:val="0033662B"/>
    <w:rsid w:val="00336C25"/>
    <w:rsid w:val="00341FA0"/>
    <w:rsid w:val="0034423C"/>
    <w:rsid w:val="00344B01"/>
    <w:rsid w:val="00345F75"/>
    <w:rsid w:val="00350D17"/>
    <w:rsid w:val="00356104"/>
    <w:rsid w:val="003625FC"/>
    <w:rsid w:val="00362881"/>
    <w:rsid w:val="00363345"/>
    <w:rsid w:val="003638C4"/>
    <w:rsid w:val="00363DEE"/>
    <w:rsid w:val="00383CFE"/>
    <w:rsid w:val="0038559A"/>
    <w:rsid w:val="00394394"/>
    <w:rsid w:val="003A1064"/>
    <w:rsid w:val="003B313F"/>
    <w:rsid w:val="003B51D2"/>
    <w:rsid w:val="003B6466"/>
    <w:rsid w:val="003B657C"/>
    <w:rsid w:val="003B69E5"/>
    <w:rsid w:val="003B7478"/>
    <w:rsid w:val="003C6A54"/>
    <w:rsid w:val="003C7A67"/>
    <w:rsid w:val="003D55D4"/>
    <w:rsid w:val="003D57EA"/>
    <w:rsid w:val="003E19D8"/>
    <w:rsid w:val="00416697"/>
    <w:rsid w:val="00447428"/>
    <w:rsid w:val="004534D5"/>
    <w:rsid w:val="004643A1"/>
    <w:rsid w:val="00465707"/>
    <w:rsid w:val="00466277"/>
    <w:rsid w:val="0047248A"/>
    <w:rsid w:val="00473D26"/>
    <w:rsid w:val="004835B6"/>
    <w:rsid w:val="0048383B"/>
    <w:rsid w:val="00487230"/>
    <w:rsid w:val="004952B6"/>
    <w:rsid w:val="004A3F3F"/>
    <w:rsid w:val="004A4212"/>
    <w:rsid w:val="004A49E6"/>
    <w:rsid w:val="004B0B85"/>
    <w:rsid w:val="004B396A"/>
    <w:rsid w:val="004B4608"/>
    <w:rsid w:val="004B709D"/>
    <w:rsid w:val="004C4EB5"/>
    <w:rsid w:val="004C599F"/>
    <w:rsid w:val="004E5085"/>
    <w:rsid w:val="004E591C"/>
    <w:rsid w:val="004F294D"/>
    <w:rsid w:val="0050088E"/>
    <w:rsid w:val="00505446"/>
    <w:rsid w:val="0050550B"/>
    <w:rsid w:val="00505AB9"/>
    <w:rsid w:val="00516F5F"/>
    <w:rsid w:val="00517049"/>
    <w:rsid w:val="00521B85"/>
    <w:rsid w:val="00524D87"/>
    <w:rsid w:val="005269DA"/>
    <w:rsid w:val="0053126B"/>
    <w:rsid w:val="00536B78"/>
    <w:rsid w:val="005422CC"/>
    <w:rsid w:val="005522C7"/>
    <w:rsid w:val="00556098"/>
    <w:rsid w:val="00561C04"/>
    <w:rsid w:val="005644BB"/>
    <w:rsid w:val="00575D24"/>
    <w:rsid w:val="0057798E"/>
    <w:rsid w:val="00583B33"/>
    <w:rsid w:val="00586262"/>
    <w:rsid w:val="00591263"/>
    <w:rsid w:val="00592D38"/>
    <w:rsid w:val="005941B0"/>
    <w:rsid w:val="00594333"/>
    <w:rsid w:val="005954FB"/>
    <w:rsid w:val="00597632"/>
    <w:rsid w:val="005A5535"/>
    <w:rsid w:val="005B1E46"/>
    <w:rsid w:val="005B5357"/>
    <w:rsid w:val="005B5E13"/>
    <w:rsid w:val="005B65DB"/>
    <w:rsid w:val="005C68CB"/>
    <w:rsid w:val="005D170E"/>
    <w:rsid w:val="005D1A35"/>
    <w:rsid w:val="005D2DFB"/>
    <w:rsid w:val="005E1D7C"/>
    <w:rsid w:val="005E2DBC"/>
    <w:rsid w:val="005E30D9"/>
    <w:rsid w:val="005F0601"/>
    <w:rsid w:val="005F17CC"/>
    <w:rsid w:val="0060032A"/>
    <w:rsid w:val="00601143"/>
    <w:rsid w:val="006059BA"/>
    <w:rsid w:val="006115EB"/>
    <w:rsid w:val="0062251F"/>
    <w:rsid w:val="00624DED"/>
    <w:rsid w:val="0062607C"/>
    <w:rsid w:val="006342F3"/>
    <w:rsid w:val="00634D82"/>
    <w:rsid w:val="0064740A"/>
    <w:rsid w:val="00647EDD"/>
    <w:rsid w:val="0065094D"/>
    <w:rsid w:val="00652E1B"/>
    <w:rsid w:val="00652F2E"/>
    <w:rsid w:val="006628C8"/>
    <w:rsid w:val="00663702"/>
    <w:rsid w:val="00671D40"/>
    <w:rsid w:val="00674E75"/>
    <w:rsid w:val="0067665B"/>
    <w:rsid w:val="00685EBC"/>
    <w:rsid w:val="0068611F"/>
    <w:rsid w:val="0068672C"/>
    <w:rsid w:val="006869F8"/>
    <w:rsid w:val="006A213B"/>
    <w:rsid w:val="006A39F4"/>
    <w:rsid w:val="006A6C0A"/>
    <w:rsid w:val="006B2B24"/>
    <w:rsid w:val="006B7F70"/>
    <w:rsid w:val="006C6CCA"/>
    <w:rsid w:val="006D0017"/>
    <w:rsid w:val="006D13E3"/>
    <w:rsid w:val="006D21EC"/>
    <w:rsid w:val="006D394F"/>
    <w:rsid w:val="006D48A0"/>
    <w:rsid w:val="006E0351"/>
    <w:rsid w:val="006E3456"/>
    <w:rsid w:val="006F28C3"/>
    <w:rsid w:val="006F6409"/>
    <w:rsid w:val="00701A87"/>
    <w:rsid w:val="0070344D"/>
    <w:rsid w:val="00704894"/>
    <w:rsid w:val="00707927"/>
    <w:rsid w:val="00711AC4"/>
    <w:rsid w:val="00715F73"/>
    <w:rsid w:val="00732144"/>
    <w:rsid w:val="00737D41"/>
    <w:rsid w:val="00745B7C"/>
    <w:rsid w:val="007474B9"/>
    <w:rsid w:val="00755B7D"/>
    <w:rsid w:val="00761000"/>
    <w:rsid w:val="00761F5E"/>
    <w:rsid w:val="007622B4"/>
    <w:rsid w:val="00764136"/>
    <w:rsid w:val="00771459"/>
    <w:rsid w:val="00772C22"/>
    <w:rsid w:val="00780249"/>
    <w:rsid w:val="007815B2"/>
    <w:rsid w:val="00785AB7"/>
    <w:rsid w:val="00790174"/>
    <w:rsid w:val="00796704"/>
    <w:rsid w:val="007A0DA7"/>
    <w:rsid w:val="007A0DB9"/>
    <w:rsid w:val="007A3A78"/>
    <w:rsid w:val="007A57A6"/>
    <w:rsid w:val="007A7D10"/>
    <w:rsid w:val="007B1A37"/>
    <w:rsid w:val="007B5408"/>
    <w:rsid w:val="007D4645"/>
    <w:rsid w:val="007D5582"/>
    <w:rsid w:val="007D63F6"/>
    <w:rsid w:val="007D6E20"/>
    <w:rsid w:val="007E2B80"/>
    <w:rsid w:val="007E4FEC"/>
    <w:rsid w:val="007E5AF7"/>
    <w:rsid w:val="007F4FF6"/>
    <w:rsid w:val="007F67A9"/>
    <w:rsid w:val="0080516C"/>
    <w:rsid w:val="00810357"/>
    <w:rsid w:val="00810D2C"/>
    <w:rsid w:val="008158FE"/>
    <w:rsid w:val="00816EA6"/>
    <w:rsid w:val="00820202"/>
    <w:rsid w:val="00821C07"/>
    <w:rsid w:val="00822AA6"/>
    <w:rsid w:val="00822C21"/>
    <w:rsid w:val="00824711"/>
    <w:rsid w:val="00827251"/>
    <w:rsid w:val="008362D8"/>
    <w:rsid w:val="00837C69"/>
    <w:rsid w:val="00843235"/>
    <w:rsid w:val="00844519"/>
    <w:rsid w:val="00850752"/>
    <w:rsid w:val="00852540"/>
    <w:rsid w:val="008545AE"/>
    <w:rsid w:val="008573FD"/>
    <w:rsid w:val="00857D68"/>
    <w:rsid w:val="008756B9"/>
    <w:rsid w:val="00880C25"/>
    <w:rsid w:val="00882F94"/>
    <w:rsid w:val="00891DA4"/>
    <w:rsid w:val="00893107"/>
    <w:rsid w:val="00895678"/>
    <w:rsid w:val="008A5B13"/>
    <w:rsid w:val="008B00ED"/>
    <w:rsid w:val="008B1F44"/>
    <w:rsid w:val="008B337E"/>
    <w:rsid w:val="008B5D8E"/>
    <w:rsid w:val="008B68E4"/>
    <w:rsid w:val="008C12E9"/>
    <w:rsid w:val="008D2A3E"/>
    <w:rsid w:val="008D6A21"/>
    <w:rsid w:val="008D749F"/>
    <w:rsid w:val="008D7B86"/>
    <w:rsid w:val="008E09C4"/>
    <w:rsid w:val="008E3417"/>
    <w:rsid w:val="00905829"/>
    <w:rsid w:val="009060A0"/>
    <w:rsid w:val="00907540"/>
    <w:rsid w:val="0091053F"/>
    <w:rsid w:val="00911379"/>
    <w:rsid w:val="009207DC"/>
    <w:rsid w:val="00921AF6"/>
    <w:rsid w:val="0093227B"/>
    <w:rsid w:val="009500DA"/>
    <w:rsid w:val="00954807"/>
    <w:rsid w:val="00963CD9"/>
    <w:rsid w:val="009737E8"/>
    <w:rsid w:val="00977DFD"/>
    <w:rsid w:val="00982DC6"/>
    <w:rsid w:val="00985416"/>
    <w:rsid w:val="00990565"/>
    <w:rsid w:val="00990F64"/>
    <w:rsid w:val="00992776"/>
    <w:rsid w:val="009A1470"/>
    <w:rsid w:val="009A1A29"/>
    <w:rsid w:val="009A3F88"/>
    <w:rsid w:val="009A5C68"/>
    <w:rsid w:val="009C26F9"/>
    <w:rsid w:val="009D13F2"/>
    <w:rsid w:val="009D4794"/>
    <w:rsid w:val="009E1D16"/>
    <w:rsid w:val="009E3FA3"/>
    <w:rsid w:val="009F1E62"/>
    <w:rsid w:val="009F44E2"/>
    <w:rsid w:val="009F4ABE"/>
    <w:rsid w:val="00A03189"/>
    <w:rsid w:val="00A04B3E"/>
    <w:rsid w:val="00A133FD"/>
    <w:rsid w:val="00A20BBF"/>
    <w:rsid w:val="00A27F13"/>
    <w:rsid w:val="00A350E9"/>
    <w:rsid w:val="00A40E12"/>
    <w:rsid w:val="00A41200"/>
    <w:rsid w:val="00A4204C"/>
    <w:rsid w:val="00A54391"/>
    <w:rsid w:val="00A57E58"/>
    <w:rsid w:val="00A666AA"/>
    <w:rsid w:val="00A70961"/>
    <w:rsid w:val="00A710CC"/>
    <w:rsid w:val="00A71198"/>
    <w:rsid w:val="00A71287"/>
    <w:rsid w:val="00A77157"/>
    <w:rsid w:val="00A87E1D"/>
    <w:rsid w:val="00A91839"/>
    <w:rsid w:val="00A92F8E"/>
    <w:rsid w:val="00A93594"/>
    <w:rsid w:val="00A97658"/>
    <w:rsid w:val="00AA4928"/>
    <w:rsid w:val="00AB1952"/>
    <w:rsid w:val="00AB26DF"/>
    <w:rsid w:val="00AB6270"/>
    <w:rsid w:val="00AD0CFF"/>
    <w:rsid w:val="00AD2270"/>
    <w:rsid w:val="00AE26D0"/>
    <w:rsid w:val="00AF3C92"/>
    <w:rsid w:val="00AF5DE4"/>
    <w:rsid w:val="00AF7141"/>
    <w:rsid w:val="00B10265"/>
    <w:rsid w:val="00B107AB"/>
    <w:rsid w:val="00B10B74"/>
    <w:rsid w:val="00B12FD4"/>
    <w:rsid w:val="00B21980"/>
    <w:rsid w:val="00B2470E"/>
    <w:rsid w:val="00B314A1"/>
    <w:rsid w:val="00B453FE"/>
    <w:rsid w:val="00B503A9"/>
    <w:rsid w:val="00B5540E"/>
    <w:rsid w:val="00B578EE"/>
    <w:rsid w:val="00B77951"/>
    <w:rsid w:val="00B93187"/>
    <w:rsid w:val="00B9446F"/>
    <w:rsid w:val="00BA3670"/>
    <w:rsid w:val="00BA7B30"/>
    <w:rsid w:val="00BB7D10"/>
    <w:rsid w:val="00BD40D7"/>
    <w:rsid w:val="00BF4E1E"/>
    <w:rsid w:val="00BF6046"/>
    <w:rsid w:val="00C15391"/>
    <w:rsid w:val="00C21780"/>
    <w:rsid w:val="00C2466C"/>
    <w:rsid w:val="00C24C74"/>
    <w:rsid w:val="00C2727B"/>
    <w:rsid w:val="00C329D8"/>
    <w:rsid w:val="00C35392"/>
    <w:rsid w:val="00C37632"/>
    <w:rsid w:val="00C37709"/>
    <w:rsid w:val="00C37869"/>
    <w:rsid w:val="00C42CBC"/>
    <w:rsid w:val="00C42F7E"/>
    <w:rsid w:val="00C45118"/>
    <w:rsid w:val="00C46939"/>
    <w:rsid w:val="00C47CD0"/>
    <w:rsid w:val="00C512F6"/>
    <w:rsid w:val="00C522E3"/>
    <w:rsid w:val="00C563E6"/>
    <w:rsid w:val="00C56CC1"/>
    <w:rsid w:val="00C60492"/>
    <w:rsid w:val="00C6579B"/>
    <w:rsid w:val="00C77FCB"/>
    <w:rsid w:val="00C84F61"/>
    <w:rsid w:val="00C95209"/>
    <w:rsid w:val="00C95733"/>
    <w:rsid w:val="00C967C2"/>
    <w:rsid w:val="00CA3EA5"/>
    <w:rsid w:val="00CA6BEF"/>
    <w:rsid w:val="00CB4758"/>
    <w:rsid w:val="00CB47F2"/>
    <w:rsid w:val="00CC6C26"/>
    <w:rsid w:val="00CD3985"/>
    <w:rsid w:val="00CD494E"/>
    <w:rsid w:val="00CE0A6B"/>
    <w:rsid w:val="00CF2DC3"/>
    <w:rsid w:val="00CF316A"/>
    <w:rsid w:val="00CF6BE8"/>
    <w:rsid w:val="00CF7E02"/>
    <w:rsid w:val="00CF7FFB"/>
    <w:rsid w:val="00D02245"/>
    <w:rsid w:val="00D17C8C"/>
    <w:rsid w:val="00D34375"/>
    <w:rsid w:val="00D34DF6"/>
    <w:rsid w:val="00D35797"/>
    <w:rsid w:val="00D35826"/>
    <w:rsid w:val="00D4008C"/>
    <w:rsid w:val="00D50E8F"/>
    <w:rsid w:val="00D51A5E"/>
    <w:rsid w:val="00D547AC"/>
    <w:rsid w:val="00D60C33"/>
    <w:rsid w:val="00D63EFB"/>
    <w:rsid w:val="00D72B8F"/>
    <w:rsid w:val="00D73B86"/>
    <w:rsid w:val="00D84A5D"/>
    <w:rsid w:val="00D85CF6"/>
    <w:rsid w:val="00DA1C65"/>
    <w:rsid w:val="00DA3A01"/>
    <w:rsid w:val="00DA7C83"/>
    <w:rsid w:val="00DB280B"/>
    <w:rsid w:val="00DB5DCC"/>
    <w:rsid w:val="00DD1AB6"/>
    <w:rsid w:val="00DD279A"/>
    <w:rsid w:val="00DD3F48"/>
    <w:rsid w:val="00DD49E3"/>
    <w:rsid w:val="00DF25CC"/>
    <w:rsid w:val="00DF53E2"/>
    <w:rsid w:val="00E045EF"/>
    <w:rsid w:val="00E071D7"/>
    <w:rsid w:val="00E07755"/>
    <w:rsid w:val="00E16068"/>
    <w:rsid w:val="00E2447D"/>
    <w:rsid w:val="00E2521A"/>
    <w:rsid w:val="00E2533B"/>
    <w:rsid w:val="00E3383D"/>
    <w:rsid w:val="00E35223"/>
    <w:rsid w:val="00E41E90"/>
    <w:rsid w:val="00E50C6C"/>
    <w:rsid w:val="00E52D28"/>
    <w:rsid w:val="00E554DD"/>
    <w:rsid w:val="00E6343B"/>
    <w:rsid w:val="00E669DB"/>
    <w:rsid w:val="00E75A46"/>
    <w:rsid w:val="00E83159"/>
    <w:rsid w:val="00E849EF"/>
    <w:rsid w:val="00E925E4"/>
    <w:rsid w:val="00E96AD5"/>
    <w:rsid w:val="00E979E5"/>
    <w:rsid w:val="00EA0647"/>
    <w:rsid w:val="00EA7389"/>
    <w:rsid w:val="00EB2A52"/>
    <w:rsid w:val="00EC2F0E"/>
    <w:rsid w:val="00EC7C1E"/>
    <w:rsid w:val="00ED02AE"/>
    <w:rsid w:val="00ED1675"/>
    <w:rsid w:val="00ED18C4"/>
    <w:rsid w:val="00ED1901"/>
    <w:rsid w:val="00ED5B65"/>
    <w:rsid w:val="00EE2B01"/>
    <w:rsid w:val="00EE4400"/>
    <w:rsid w:val="00EE6A2B"/>
    <w:rsid w:val="00EE7C97"/>
    <w:rsid w:val="00EF5C39"/>
    <w:rsid w:val="00F05D37"/>
    <w:rsid w:val="00F12584"/>
    <w:rsid w:val="00F1313B"/>
    <w:rsid w:val="00F146F4"/>
    <w:rsid w:val="00F21477"/>
    <w:rsid w:val="00F30715"/>
    <w:rsid w:val="00F36955"/>
    <w:rsid w:val="00F40F30"/>
    <w:rsid w:val="00F410F2"/>
    <w:rsid w:val="00F45C5E"/>
    <w:rsid w:val="00F50169"/>
    <w:rsid w:val="00F51167"/>
    <w:rsid w:val="00F5174B"/>
    <w:rsid w:val="00F51FCD"/>
    <w:rsid w:val="00F538F5"/>
    <w:rsid w:val="00F55FD1"/>
    <w:rsid w:val="00F57607"/>
    <w:rsid w:val="00F60D47"/>
    <w:rsid w:val="00F624E1"/>
    <w:rsid w:val="00F72005"/>
    <w:rsid w:val="00F84174"/>
    <w:rsid w:val="00F85F0F"/>
    <w:rsid w:val="00F86F1F"/>
    <w:rsid w:val="00F9047B"/>
    <w:rsid w:val="00F91AFC"/>
    <w:rsid w:val="00F9271D"/>
    <w:rsid w:val="00FA10DF"/>
    <w:rsid w:val="00FA2292"/>
    <w:rsid w:val="00FA437E"/>
    <w:rsid w:val="00FB1CC0"/>
    <w:rsid w:val="00FB31DD"/>
    <w:rsid w:val="00FB3B06"/>
    <w:rsid w:val="00FC57E2"/>
    <w:rsid w:val="00FC7E8F"/>
    <w:rsid w:val="00FD6A90"/>
    <w:rsid w:val="00FE0A05"/>
    <w:rsid w:val="00FE1CA9"/>
    <w:rsid w:val="00FE62BB"/>
    <w:rsid w:val="00FF1679"/>
    <w:rsid w:val="00FF53E4"/>
    <w:rsid w:val="00FF59ED"/>
    <w:rsid w:val="016C4D34"/>
    <w:rsid w:val="03567529"/>
    <w:rsid w:val="03AE3AF3"/>
    <w:rsid w:val="04B97A34"/>
    <w:rsid w:val="04D32284"/>
    <w:rsid w:val="04F01EE9"/>
    <w:rsid w:val="06197B05"/>
    <w:rsid w:val="06884938"/>
    <w:rsid w:val="06E10C37"/>
    <w:rsid w:val="08A5307A"/>
    <w:rsid w:val="08E07889"/>
    <w:rsid w:val="09A54DD5"/>
    <w:rsid w:val="0A086B37"/>
    <w:rsid w:val="0A2007A5"/>
    <w:rsid w:val="0A6417B6"/>
    <w:rsid w:val="0B8A741D"/>
    <w:rsid w:val="0BEF4631"/>
    <w:rsid w:val="0BF945D9"/>
    <w:rsid w:val="0CD56865"/>
    <w:rsid w:val="0CE05ADF"/>
    <w:rsid w:val="0D1158FC"/>
    <w:rsid w:val="0D1F42A2"/>
    <w:rsid w:val="0D475D6D"/>
    <w:rsid w:val="0E6D38AE"/>
    <w:rsid w:val="0F6A110F"/>
    <w:rsid w:val="0F9C44C8"/>
    <w:rsid w:val="10297689"/>
    <w:rsid w:val="112A6783"/>
    <w:rsid w:val="12462718"/>
    <w:rsid w:val="12C16B83"/>
    <w:rsid w:val="13086650"/>
    <w:rsid w:val="131E55A9"/>
    <w:rsid w:val="13AE71F7"/>
    <w:rsid w:val="14093E00"/>
    <w:rsid w:val="15197BC9"/>
    <w:rsid w:val="165A77D5"/>
    <w:rsid w:val="166D6781"/>
    <w:rsid w:val="168F413A"/>
    <w:rsid w:val="169511E0"/>
    <w:rsid w:val="16C53421"/>
    <w:rsid w:val="17622E25"/>
    <w:rsid w:val="180B272D"/>
    <w:rsid w:val="180D2016"/>
    <w:rsid w:val="19001BF7"/>
    <w:rsid w:val="1A5B7967"/>
    <w:rsid w:val="1BF210BC"/>
    <w:rsid w:val="1C1B1B42"/>
    <w:rsid w:val="1C912760"/>
    <w:rsid w:val="1C991210"/>
    <w:rsid w:val="1CB248A1"/>
    <w:rsid w:val="1CC710F8"/>
    <w:rsid w:val="1CFF42B6"/>
    <w:rsid w:val="1D656373"/>
    <w:rsid w:val="1E347231"/>
    <w:rsid w:val="1E4C46D4"/>
    <w:rsid w:val="1E6C06C6"/>
    <w:rsid w:val="1ECD5F2F"/>
    <w:rsid w:val="1F4A19F1"/>
    <w:rsid w:val="21244F9D"/>
    <w:rsid w:val="217A34D2"/>
    <w:rsid w:val="217D1677"/>
    <w:rsid w:val="21BC3427"/>
    <w:rsid w:val="224F4EC9"/>
    <w:rsid w:val="22AE563F"/>
    <w:rsid w:val="22FA3FFA"/>
    <w:rsid w:val="232F7654"/>
    <w:rsid w:val="233208E4"/>
    <w:rsid w:val="23485651"/>
    <w:rsid w:val="2366189C"/>
    <w:rsid w:val="25390D74"/>
    <w:rsid w:val="25997F80"/>
    <w:rsid w:val="259B19D0"/>
    <w:rsid w:val="2658300A"/>
    <w:rsid w:val="26782DCE"/>
    <w:rsid w:val="279D59F2"/>
    <w:rsid w:val="27CA1178"/>
    <w:rsid w:val="27D6661A"/>
    <w:rsid w:val="28182FF0"/>
    <w:rsid w:val="29CC6D34"/>
    <w:rsid w:val="2A88774C"/>
    <w:rsid w:val="2B266566"/>
    <w:rsid w:val="2B6A38E0"/>
    <w:rsid w:val="2C9C4A57"/>
    <w:rsid w:val="2D970302"/>
    <w:rsid w:val="2E8F5DE0"/>
    <w:rsid w:val="2EE75A17"/>
    <w:rsid w:val="2EFC2386"/>
    <w:rsid w:val="303A4619"/>
    <w:rsid w:val="31A954CC"/>
    <w:rsid w:val="32620268"/>
    <w:rsid w:val="32737B32"/>
    <w:rsid w:val="32B735D6"/>
    <w:rsid w:val="32E170E9"/>
    <w:rsid w:val="33032082"/>
    <w:rsid w:val="33080ED4"/>
    <w:rsid w:val="33506FFA"/>
    <w:rsid w:val="349C1EFB"/>
    <w:rsid w:val="35231CE4"/>
    <w:rsid w:val="36362BA5"/>
    <w:rsid w:val="364C7EDF"/>
    <w:rsid w:val="3805124F"/>
    <w:rsid w:val="38920BF6"/>
    <w:rsid w:val="38AA31EF"/>
    <w:rsid w:val="39031D5E"/>
    <w:rsid w:val="39325D75"/>
    <w:rsid w:val="39763E26"/>
    <w:rsid w:val="3A780095"/>
    <w:rsid w:val="3A863A5B"/>
    <w:rsid w:val="3B307B9A"/>
    <w:rsid w:val="3B790D64"/>
    <w:rsid w:val="3C367C73"/>
    <w:rsid w:val="3C85195C"/>
    <w:rsid w:val="3D60105E"/>
    <w:rsid w:val="3D73511B"/>
    <w:rsid w:val="3DC41242"/>
    <w:rsid w:val="3E286774"/>
    <w:rsid w:val="3E2D4F8F"/>
    <w:rsid w:val="3F0808DA"/>
    <w:rsid w:val="3F0D6C18"/>
    <w:rsid w:val="3F5A7A14"/>
    <w:rsid w:val="3F925B37"/>
    <w:rsid w:val="3FC17C7A"/>
    <w:rsid w:val="408B24EB"/>
    <w:rsid w:val="409626DF"/>
    <w:rsid w:val="418D1865"/>
    <w:rsid w:val="42597D44"/>
    <w:rsid w:val="425F085F"/>
    <w:rsid w:val="43CC4611"/>
    <w:rsid w:val="444E7264"/>
    <w:rsid w:val="448C09C8"/>
    <w:rsid w:val="454A4722"/>
    <w:rsid w:val="4573686C"/>
    <w:rsid w:val="45F63A32"/>
    <w:rsid w:val="4737320C"/>
    <w:rsid w:val="479A37D6"/>
    <w:rsid w:val="47B93638"/>
    <w:rsid w:val="47C54F3D"/>
    <w:rsid w:val="47F638D9"/>
    <w:rsid w:val="4801714A"/>
    <w:rsid w:val="484B56BC"/>
    <w:rsid w:val="485561F8"/>
    <w:rsid w:val="48E15B1B"/>
    <w:rsid w:val="494576D2"/>
    <w:rsid w:val="49480DF4"/>
    <w:rsid w:val="49D35D71"/>
    <w:rsid w:val="4AD66FF7"/>
    <w:rsid w:val="4C0F2656"/>
    <w:rsid w:val="4C314723"/>
    <w:rsid w:val="4D9D1C7F"/>
    <w:rsid w:val="4DCD4144"/>
    <w:rsid w:val="4DE13A59"/>
    <w:rsid w:val="4E53287B"/>
    <w:rsid w:val="4E661EA1"/>
    <w:rsid w:val="4EBA0CA9"/>
    <w:rsid w:val="4EE668EE"/>
    <w:rsid w:val="4F362701"/>
    <w:rsid w:val="50A31857"/>
    <w:rsid w:val="510737AF"/>
    <w:rsid w:val="524937A8"/>
    <w:rsid w:val="52A24B7E"/>
    <w:rsid w:val="53007086"/>
    <w:rsid w:val="53B92742"/>
    <w:rsid w:val="543A7700"/>
    <w:rsid w:val="54537F63"/>
    <w:rsid w:val="55E52B5C"/>
    <w:rsid w:val="56452239"/>
    <w:rsid w:val="56466F48"/>
    <w:rsid w:val="569755C5"/>
    <w:rsid w:val="571873A0"/>
    <w:rsid w:val="57656DDD"/>
    <w:rsid w:val="587C684C"/>
    <w:rsid w:val="5A472012"/>
    <w:rsid w:val="5A4879AA"/>
    <w:rsid w:val="5A706B19"/>
    <w:rsid w:val="5AFD13E3"/>
    <w:rsid w:val="5BFF266F"/>
    <w:rsid w:val="5D035FDB"/>
    <w:rsid w:val="5D2D2508"/>
    <w:rsid w:val="5D37777A"/>
    <w:rsid w:val="5DAE2344"/>
    <w:rsid w:val="5ED2566F"/>
    <w:rsid w:val="5EF77271"/>
    <w:rsid w:val="6017749F"/>
    <w:rsid w:val="60287D38"/>
    <w:rsid w:val="60767C6F"/>
    <w:rsid w:val="60BF73DB"/>
    <w:rsid w:val="60CC1EC9"/>
    <w:rsid w:val="61676B15"/>
    <w:rsid w:val="62023672"/>
    <w:rsid w:val="629C65A9"/>
    <w:rsid w:val="62A74BE4"/>
    <w:rsid w:val="62D6275F"/>
    <w:rsid w:val="63F2029A"/>
    <w:rsid w:val="64327902"/>
    <w:rsid w:val="64BD3E63"/>
    <w:rsid w:val="655303A8"/>
    <w:rsid w:val="656745A9"/>
    <w:rsid w:val="656C344E"/>
    <w:rsid w:val="660B748F"/>
    <w:rsid w:val="66302539"/>
    <w:rsid w:val="66A51361"/>
    <w:rsid w:val="67064D50"/>
    <w:rsid w:val="67147AEF"/>
    <w:rsid w:val="67904AB8"/>
    <w:rsid w:val="67CF4098"/>
    <w:rsid w:val="67EF6AC2"/>
    <w:rsid w:val="68337E05"/>
    <w:rsid w:val="68C645C9"/>
    <w:rsid w:val="68D9718F"/>
    <w:rsid w:val="68E3722B"/>
    <w:rsid w:val="69012DE7"/>
    <w:rsid w:val="6974060E"/>
    <w:rsid w:val="69E50B6F"/>
    <w:rsid w:val="6A1404BD"/>
    <w:rsid w:val="6A9E67F3"/>
    <w:rsid w:val="6AC036C7"/>
    <w:rsid w:val="6B0D270E"/>
    <w:rsid w:val="6B6B1AD6"/>
    <w:rsid w:val="6BC73EC9"/>
    <w:rsid w:val="6CEC7CFD"/>
    <w:rsid w:val="6DA56F26"/>
    <w:rsid w:val="6E45029C"/>
    <w:rsid w:val="6E61402D"/>
    <w:rsid w:val="6E74728F"/>
    <w:rsid w:val="6EFA6B8D"/>
    <w:rsid w:val="6F352E14"/>
    <w:rsid w:val="714E1130"/>
    <w:rsid w:val="71D33FCD"/>
    <w:rsid w:val="73532C1D"/>
    <w:rsid w:val="739B7CFF"/>
    <w:rsid w:val="74087450"/>
    <w:rsid w:val="7431392D"/>
    <w:rsid w:val="744E06C5"/>
    <w:rsid w:val="74813A7D"/>
    <w:rsid w:val="74C125B1"/>
    <w:rsid w:val="75886BE2"/>
    <w:rsid w:val="76691279"/>
    <w:rsid w:val="773B2F8E"/>
    <w:rsid w:val="77F15326"/>
    <w:rsid w:val="78146CDE"/>
    <w:rsid w:val="788D490E"/>
    <w:rsid w:val="79E15F4D"/>
    <w:rsid w:val="7A695810"/>
    <w:rsid w:val="7AB979E2"/>
    <w:rsid w:val="7B0C679D"/>
    <w:rsid w:val="7B1F0AE0"/>
    <w:rsid w:val="7B633C69"/>
    <w:rsid w:val="7B7B0769"/>
    <w:rsid w:val="7BCB1B6B"/>
    <w:rsid w:val="7C880C60"/>
    <w:rsid w:val="7CC04CEF"/>
    <w:rsid w:val="7DE22BB5"/>
    <w:rsid w:val="7F1D4873"/>
    <w:rsid w:val="7FA01386"/>
    <w:rsid w:val="7FAF2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autoRedefine/>
    <w:qFormat/>
    <w:uiPriority w:val="9"/>
    <w:pPr>
      <w:keepNext/>
      <w:keepLines/>
      <w:spacing w:before="340" w:after="330" w:line="578" w:lineRule="auto"/>
      <w:outlineLvl w:val="0"/>
    </w:pPr>
    <w:rPr>
      <w:rFonts w:ascii="等线" w:hAnsi="等线" w:eastAsia="等线"/>
      <w:b/>
      <w:bCs/>
      <w:kern w:val="44"/>
      <w:sz w:val="44"/>
      <w:szCs w:val="44"/>
    </w:rPr>
  </w:style>
  <w:style w:type="paragraph" w:styleId="4">
    <w:name w:val="heading 2"/>
    <w:basedOn w:val="1"/>
    <w:next w:val="1"/>
    <w:link w:val="51"/>
    <w:autoRedefine/>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6">
    <w:name w:val="toc 7"/>
    <w:basedOn w:val="1"/>
    <w:next w:val="1"/>
    <w:autoRedefine/>
    <w:semiHidden/>
    <w:qFormat/>
    <w:uiPriority w:val="0"/>
    <w:pPr>
      <w:tabs>
        <w:tab w:val="right" w:leader="dot" w:pos="9241"/>
      </w:tabs>
      <w:ind w:firstLine="500" w:firstLineChars="500"/>
      <w:jc w:val="left"/>
    </w:pPr>
    <w:rPr>
      <w:rFonts w:ascii="宋体"/>
      <w:szCs w:val="21"/>
    </w:rPr>
  </w:style>
  <w:style w:type="paragraph" w:styleId="7">
    <w:name w:val="index 8"/>
    <w:basedOn w:val="1"/>
    <w:next w:val="1"/>
    <w:autoRedefine/>
    <w:qFormat/>
    <w:uiPriority w:val="0"/>
    <w:pPr>
      <w:ind w:left="1680" w:hanging="210"/>
      <w:jc w:val="left"/>
    </w:pPr>
    <w:rPr>
      <w:rFonts w:ascii="Calibri" w:hAnsi="Calibri"/>
      <w:sz w:val="20"/>
      <w:szCs w:val="20"/>
    </w:rPr>
  </w:style>
  <w:style w:type="paragraph" w:styleId="8">
    <w:name w:val="caption"/>
    <w:basedOn w:val="1"/>
    <w:next w:val="1"/>
    <w:autoRedefine/>
    <w:qFormat/>
    <w:uiPriority w:val="0"/>
    <w:pPr>
      <w:spacing w:before="152" w:after="160"/>
    </w:pPr>
    <w:rPr>
      <w:rFonts w:ascii="Arial" w:hAnsi="Arial" w:eastAsia="黑体" w:cs="Arial"/>
      <w:sz w:val="20"/>
      <w:szCs w:val="20"/>
    </w:rPr>
  </w:style>
  <w:style w:type="paragraph" w:styleId="9">
    <w:name w:val="index 5"/>
    <w:basedOn w:val="1"/>
    <w:next w:val="1"/>
    <w:autoRedefine/>
    <w:qFormat/>
    <w:uiPriority w:val="0"/>
    <w:pPr>
      <w:ind w:left="1050" w:hanging="210"/>
      <w:jc w:val="left"/>
    </w:pPr>
    <w:rPr>
      <w:rFonts w:ascii="Calibri" w:hAnsi="Calibri"/>
      <w:sz w:val="20"/>
      <w:szCs w:val="20"/>
    </w:rPr>
  </w:style>
  <w:style w:type="paragraph" w:styleId="10">
    <w:name w:val="Document Map"/>
    <w:basedOn w:val="1"/>
    <w:autoRedefine/>
    <w:semiHidden/>
    <w:qFormat/>
    <w:uiPriority w:val="0"/>
    <w:pPr>
      <w:shd w:val="clear" w:color="auto" w:fill="000080"/>
    </w:pPr>
  </w:style>
  <w:style w:type="paragraph" w:styleId="11">
    <w:name w:val="annotation text"/>
    <w:basedOn w:val="1"/>
    <w:link w:val="52"/>
    <w:autoRedefine/>
    <w:qFormat/>
    <w:uiPriority w:val="0"/>
    <w:pPr>
      <w:jc w:val="left"/>
    </w:pPr>
  </w:style>
  <w:style w:type="paragraph" w:styleId="12">
    <w:name w:val="index 6"/>
    <w:basedOn w:val="1"/>
    <w:next w:val="1"/>
    <w:autoRedefine/>
    <w:qFormat/>
    <w:uiPriority w:val="0"/>
    <w:pPr>
      <w:ind w:left="1260" w:hanging="210"/>
      <w:jc w:val="left"/>
    </w:pPr>
    <w:rPr>
      <w:rFonts w:ascii="Calibri" w:hAnsi="Calibri"/>
      <w:sz w:val="20"/>
      <w:szCs w:val="20"/>
    </w:rPr>
  </w:style>
  <w:style w:type="paragraph" w:styleId="13">
    <w:name w:val="Body Text Indent"/>
    <w:basedOn w:val="1"/>
    <w:next w:val="14"/>
    <w:link w:val="53"/>
    <w:autoRedefine/>
    <w:qFormat/>
    <w:uiPriority w:val="0"/>
    <w:pPr>
      <w:ind w:firstLine="420"/>
    </w:pPr>
    <w:rPr>
      <w:sz w:val="28"/>
      <w:szCs w:val="20"/>
    </w:rPr>
  </w:style>
  <w:style w:type="paragraph" w:styleId="14">
    <w:name w:val="envelope return"/>
    <w:basedOn w:val="1"/>
    <w:qFormat/>
    <w:uiPriority w:val="0"/>
    <w:pPr>
      <w:snapToGrid w:val="0"/>
    </w:pPr>
    <w:rPr>
      <w:rFonts w:ascii="Arial" w:hAnsi="Arial" w:cs="Arial"/>
      <w:szCs w:val="24"/>
    </w:rPr>
  </w:style>
  <w:style w:type="paragraph" w:styleId="15">
    <w:name w:val="index 4"/>
    <w:basedOn w:val="1"/>
    <w:next w:val="1"/>
    <w:autoRedefine/>
    <w:qFormat/>
    <w:uiPriority w:val="0"/>
    <w:pPr>
      <w:ind w:left="840" w:hanging="210"/>
      <w:jc w:val="left"/>
    </w:pPr>
    <w:rPr>
      <w:rFonts w:ascii="Calibri" w:hAnsi="Calibri"/>
      <w:sz w:val="20"/>
      <w:szCs w:val="20"/>
    </w:rPr>
  </w:style>
  <w:style w:type="paragraph" w:styleId="16">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17">
    <w:name w:val="toc 3"/>
    <w:basedOn w:val="1"/>
    <w:next w:val="1"/>
    <w:autoRedefine/>
    <w:semiHidden/>
    <w:qFormat/>
    <w:uiPriority w:val="0"/>
    <w:pPr>
      <w:tabs>
        <w:tab w:val="right" w:leader="dot" w:pos="9241"/>
      </w:tabs>
      <w:ind w:firstLine="100" w:firstLineChars="100"/>
      <w:jc w:val="left"/>
    </w:pPr>
    <w:rPr>
      <w:rFonts w:ascii="宋体"/>
      <w:szCs w:val="21"/>
    </w:rPr>
  </w:style>
  <w:style w:type="paragraph" w:styleId="18">
    <w:name w:val="Plain Text"/>
    <w:basedOn w:val="1"/>
    <w:link w:val="54"/>
    <w:autoRedefine/>
    <w:qFormat/>
    <w:uiPriority w:val="0"/>
    <w:rPr>
      <w:rFonts w:ascii="宋体" w:hAnsi="Courier New"/>
      <w:szCs w:val="20"/>
    </w:rPr>
  </w:style>
  <w:style w:type="paragraph" w:styleId="19">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endnote text"/>
    <w:basedOn w:val="1"/>
    <w:autoRedefine/>
    <w:semiHidden/>
    <w:qFormat/>
    <w:uiPriority w:val="0"/>
    <w:pPr>
      <w:snapToGrid w:val="0"/>
      <w:jc w:val="left"/>
    </w:pPr>
  </w:style>
  <w:style w:type="paragraph" w:styleId="22">
    <w:name w:val="Balloon Text"/>
    <w:basedOn w:val="1"/>
    <w:link w:val="55"/>
    <w:autoRedefine/>
    <w:qFormat/>
    <w:uiPriority w:val="0"/>
    <w:rPr>
      <w:sz w:val="18"/>
      <w:szCs w:val="18"/>
    </w:rPr>
  </w:style>
  <w:style w:type="paragraph" w:styleId="23">
    <w:name w:val="footer"/>
    <w:basedOn w:val="1"/>
    <w:link w:val="56"/>
    <w:autoRedefine/>
    <w:qFormat/>
    <w:uiPriority w:val="99"/>
    <w:pPr>
      <w:snapToGrid w:val="0"/>
      <w:ind w:right="210" w:rightChars="100"/>
      <w:jc w:val="right"/>
    </w:pPr>
    <w:rPr>
      <w:sz w:val="18"/>
      <w:szCs w:val="18"/>
    </w:rPr>
  </w:style>
  <w:style w:type="paragraph" w:styleId="24">
    <w:name w:val="header"/>
    <w:basedOn w:val="1"/>
    <w:link w:val="57"/>
    <w:autoRedefine/>
    <w:qFormat/>
    <w:uiPriority w:val="99"/>
    <w:pPr>
      <w:snapToGrid w:val="0"/>
      <w:jc w:val="left"/>
    </w:pPr>
    <w:rPr>
      <w:sz w:val="18"/>
      <w:szCs w:val="18"/>
    </w:rPr>
  </w:style>
  <w:style w:type="paragraph" w:styleId="25">
    <w:name w:val="toc 1"/>
    <w:basedOn w:val="1"/>
    <w:next w:val="1"/>
    <w:autoRedefine/>
    <w:semiHidden/>
    <w:qFormat/>
    <w:uiPriority w:val="0"/>
    <w:pPr>
      <w:tabs>
        <w:tab w:val="right" w:leader="dot" w:pos="9242"/>
      </w:tabs>
      <w:spacing w:beforeLines="25" w:afterLines="25"/>
      <w:jc w:val="left"/>
    </w:pPr>
    <w:rPr>
      <w:rFonts w:ascii="宋体"/>
      <w:szCs w:val="21"/>
    </w:rPr>
  </w:style>
  <w:style w:type="paragraph" w:styleId="26">
    <w:name w:val="toc 4"/>
    <w:basedOn w:val="1"/>
    <w:next w:val="1"/>
    <w:autoRedefine/>
    <w:semiHidden/>
    <w:qFormat/>
    <w:uiPriority w:val="0"/>
    <w:pPr>
      <w:tabs>
        <w:tab w:val="right" w:leader="dot" w:pos="9241"/>
      </w:tabs>
      <w:ind w:firstLine="200" w:firstLineChars="200"/>
      <w:jc w:val="left"/>
    </w:pPr>
    <w:rPr>
      <w:rFonts w:ascii="宋体"/>
      <w:szCs w:val="21"/>
    </w:rPr>
  </w:style>
  <w:style w:type="paragraph" w:styleId="27">
    <w:name w:val="index heading"/>
    <w:basedOn w:val="1"/>
    <w:next w:val="28"/>
    <w:autoRedefine/>
    <w:qFormat/>
    <w:uiPriority w:val="0"/>
    <w:pPr>
      <w:spacing w:before="120" w:after="120"/>
      <w:jc w:val="center"/>
    </w:pPr>
    <w:rPr>
      <w:rFonts w:ascii="Calibri" w:hAnsi="Calibri"/>
      <w:b/>
      <w:bCs/>
      <w:iCs/>
      <w:szCs w:val="20"/>
    </w:rPr>
  </w:style>
  <w:style w:type="paragraph" w:styleId="28">
    <w:name w:val="index 1"/>
    <w:basedOn w:val="1"/>
    <w:next w:val="29"/>
    <w:autoRedefine/>
    <w:qFormat/>
    <w:uiPriority w:val="0"/>
    <w:pPr>
      <w:tabs>
        <w:tab w:val="right" w:leader="dot" w:pos="9299"/>
      </w:tabs>
      <w:jc w:val="left"/>
    </w:pPr>
    <w:rPr>
      <w:rFonts w:ascii="宋体"/>
      <w:szCs w:val="21"/>
    </w:rPr>
  </w:style>
  <w:style w:type="paragraph" w:customStyle="1" w:styleId="29">
    <w:name w:val="段"/>
    <w:link w:val="5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0">
    <w:name w:val="footnote text"/>
    <w:basedOn w:val="1"/>
    <w:autoRedefine/>
    <w:qFormat/>
    <w:uiPriority w:val="0"/>
    <w:pPr>
      <w:numPr>
        <w:ilvl w:val="0"/>
        <w:numId w:val="1"/>
      </w:numPr>
      <w:snapToGrid w:val="0"/>
      <w:jc w:val="left"/>
    </w:pPr>
    <w:rPr>
      <w:rFonts w:ascii="宋体"/>
      <w:sz w:val="18"/>
      <w:szCs w:val="18"/>
    </w:rPr>
  </w:style>
  <w:style w:type="paragraph" w:styleId="31">
    <w:name w:val="toc 6"/>
    <w:basedOn w:val="1"/>
    <w:next w:val="1"/>
    <w:autoRedefine/>
    <w:semiHidden/>
    <w:qFormat/>
    <w:uiPriority w:val="0"/>
    <w:pPr>
      <w:tabs>
        <w:tab w:val="right" w:leader="dot" w:pos="9241"/>
      </w:tabs>
      <w:ind w:firstLine="400" w:firstLineChars="400"/>
      <w:jc w:val="left"/>
    </w:pPr>
    <w:rPr>
      <w:rFonts w:ascii="宋体"/>
      <w:szCs w:val="21"/>
    </w:rPr>
  </w:style>
  <w:style w:type="paragraph" w:styleId="32">
    <w:name w:val="index 7"/>
    <w:basedOn w:val="1"/>
    <w:next w:val="1"/>
    <w:autoRedefine/>
    <w:qFormat/>
    <w:uiPriority w:val="0"/>
    <w:pPr>
      <w:ind w:left="1470" w:hanging="210"/>
      <w:jc w:val="left"/>
    </w:pPr>
    <w:rPr>
      <w:rFonts w:ascii="Calibri" w:hAnsi="Calibri"/>
      <w:sz w:val="20"/>
      <w:szCs w:val="20"/>
    </w:rPr>
  </w:style>
  <w:style w:type="paragraph" w:styleId="33">
    <w:name w:val="index 9"/>
    <w:basedOn w:val="1"/>
    <w:next w:val="1"/>
    <w:autoRedefine/>
    <w:qFormat/>
    <w:uiPriority w:val="0"/>
    <w:pPr>
      <w:ind w:left="1890" w:hanging="210"/>
      <w:jc w:val="left"/>
    </w:pPr>
    <w:rPr>
      <w:rFonts w:ascii="Calibri" w:hAnsi="Calibri"/>
      <w:sz w:val="20"/>
      <w:szCs w:val="20"/>
    </w:rPr>
  </w:style>
  <w:style w:type="paragraph" w:styleId="34">
    <w:name w:val="toc 2"/>
    <w:basedOn w:val="1"/>
    <w:next w:val="1"/>
    <w:autoRedefine/>
    <w:semiHidden/>
    <w:qFormat/>
    <w:uiPriority w:val="0"/>
    <w:pPr>
      <w:tabs>
        <w:tab w:val="right" w:leader="dot" w:pos="9242"/>
      </w:tabs>
    </w:pPr>
    <w:rPr>
      <w:rFonts w:ascii="宋体"/>
      <w:szCs w:val="21"/>
    </w:rPr>
  </w:style>
  <w:style w:type="paragraph" w:styleId="35">
    <w:name w:val="toc 9"/>
    <w:basedOn w:val="1"/>
    <w:next w:val="1"/>
    <w:autoRedefine/>
    <w:semiHidden/>
    <w:qFormat/>
    <w:uiPriority w:val="0"/>
    <w:pPr>
      <w:ind w:left="1470"/>
      <w:jc w:val="left"/>
    </w:pPr>
    <w:rPr>
      <w:sz w:val="20"/>
      <w:szCs w:val="20"/>
    </w:rPr>
  </w:style>
  <w:style w:type="paragraph" w:styleId="3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7">
    <w:name w:val="index 2"/>
    <w:basedOn w:val="1"/>
    <w:next w:val="1"/>
    <w:autoRedefine/>
    <w:qFormat/>
    <w:uiPriority w:val="0"/>
    <w:pPr>
      <w:ind w:left="420" w:hanging="210"/>
      <w:jc w:val="left"/>
    </w:pPr>
    <w:rPr>
      <w:rFonts w:ascii="Calibri" w:hAnsi="Calibri"/>
      <w:sz w:val="20"/>
      <w:szCs w:val="20"/>
    </w:rPr>
  </w:style>
  <w:style w:type="paragraph" w:styleId="38">
    <w:name w:val="annotation subject"/>
    <w:basedOn w:val="11"/>
    <w:next w:val="11"/>
    <w:link w:val="59"/>
    <w:autoRedefine/>
    <w:qFormat/>
    <w:uiPriority w:val="0"/>
    <w:rPr>
      <w:b/>
      <w:bCs/>
    </w:rPr>
  </w:style>
  <w:style w:type="paragraph" w:styleId="39">
    <w:name w:val="Body Text First Indent 2"/>
    <w:basedOn w:val="13"/>
    <w:qFormat/>
    <w:uiPriority w:val="99"/>
    <w:pPr>
      <w:spacing w:after="120"/>
      <w:ind w:left="420" w:leftChars="200" w:firstLine="420"/>
    </w:pPr>
  </w:style>
  <w:style w:type="table" w:styleId="41">
    <w:name w:val="Table Grid"/>
    <w:basedOn w:val="40"/>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endnote reference"/>
    <w:autoRedefine/>
    <w:semiHidden/>
    <w:qFormat/>
    <w:uiPriority w:val="0"/>
    <w:rPr>
      <w:vertAlign w:val="superscript"/>
    </w:rPr>
  </w:style>
  <w:style w:type="character" w:styleId="44">
    <w:name w:val="page number"/>
    <w:autoRedefine/>
    <w:qFormat/>
    <w:uiPriority w:val="0"/>
    <w:rPr>
      <w:rFonts w:ascii="Times New Roman" w:hAnsi="Times New Roman" w:eastAsia="宋体"/>
      <w:sz w:val="18"/>
    </w:rPr>
  </w:style>
  <w:style w:type="character" w:styleId="45">
    <w:name w:val="FollowedHyperlink"/>
    <w:autoRedefine/>
    <w:qFormat/>
    <w:uiPriority w:val="0"/>
    <w:rPr>
      <w:color w:val="800080"/>
      <w:u w:val="single"/>
    </w:rPr>
  </w:style>
  <w:style w:type="character" w:styleId="46">
    <w:name w:val="Emphasis"/>
    <w:basedOn w:val="42"/>
    <w:qFormat/>
    <w:uiPriority w:val="0"/>
    <w:rPr>
      <w:i/>
    </w:rPr>
  </w:style>
  <w:style w:type="character" w:styleId="47">
    <w:name w:val="Hyperlink"/>
    <w:autoRedefine/>
    <w:qFormat/>
    <w:uiPriority w:val="0"/>
    <w:rPr>
      <w:color w:val="0000FF"/>
      <w:spacing w:val="0"/>
      <w:w w:val="100"/>
      <w:szCs w:val="21"/>
      <w:u w:val="single"/>
    </w:rPr>
  </w:style>
  <w:style w:type="character" w:styleId="48">
    <w:name w:val="annotation reference"/>
    <w:autoRedefine/>
    <w:qFormat/>
    <w:uiPriority w:val="0"/>
    <w:rPr>
      <w:sz w:val="21"/>
      <w:szCs w:val="21"/>
    </w:rPr>
  </w:style>
  <w:style w:type="character" w:styleId="49">
    <w:name w:val="footnote reference"/>
    <w:autoRedefine/>
    <w:semiHidden/>
    <w:qFormat/>
    <w:uiPriority w:val="0"/>
    <w:rPr>
      <w:vertAlign w:val="superscript"/>
    </w:rPr>
  </w:style>
  <w:style w:type="character" w:customStyle="1" w:styleId="50">
    <w:name w:val="标题 1 字符"/>
    <w:link w:val="3"/>
    <w:autoRedefine/>
    <w:qFormat/>
    <w:uiPriority w:val="9"/>
    <w:rPr>
      <w:rFonts w:ascii="等线" w:hAnsi="等线" w:eastAsia="等线"/>
      <w:b/>
      <w:bCs/>
      <w:kern w:val="44"/>
      <w:sz w:val="44"/>
      <w:szCs w:val="44"/>
    </w:rPr>
  </w:style>
  <w:style w:type="character" w:customStyle="1" w:styleId="51">
    <w:name w:val="标题 2 字符"/>
    <w:link w:val="4"/>
    <w:autoRedefine/>
    <w:qFormat/>
    <w:uiPriority w:val="9"/>
    <w:rPr>
      <w:rFonts w:ascii="等线 Light" w:hAnsi="等线 Light" w:eastAsia="等线 Light"/>
      <w:b/>
      <w:bCs/>
      <w:kern w:val="2"/>
      <w:sz w:val="32"/>
      <w:szCs w:val="32"/>
    </w:rPr>
  </w:style>
  <w:style w:type="character" w:customStyle="1" w:styleId="52">
    <w:name w:val="批注文字 字符"/>
    <w:link w:val="11"/>
    <w:autoRedefine/>
    <w:qFormat/>
    <w:uiPriority w:val="0"/>
    <w:rPr>
      <w:kern w:val="2"/>
      <w:sz w:val="21"/>
      <w:szCs w:val="24"/>
    </w:rPr>
  </w:style>
  <w:style w:type="character" w:customStyle="1" w:styleId="53">
    <w:name w:val="正文文本缩进 字符"/>
    <w:link w:val="13"/>
    <w:autoRedefine/>
    <w:qFormat/>
    <w:uiPriority w:val="0"/>
    <w:rPr>
      <w:kern w:val="2"/>
      <w:sz w:val="28"/>
    </w:rPr>
  </w:style>
  <w:style w:type="character" w:customStyle="1" w:styleId="54">
    <w:name w:val="纯文本 字符"/>
    <w:link w:val="18"/>
    <w:autoRedefine/>
    <w:qFormat/>
    <w:uiPriority w:val="0"/>
    <w:rPr>
      <w:rFonts w:ascii="宋体" w:hAnsi="Courier New"/>
      <w:kern w:val="2"/>
      <w:sz w:val="21"/>
    </w:rPr>
  </w:style>
  <w:style w:type="character" w:customStyle="1" w:styleId="55">
    <w:name w:val="批注框文本 字符"/>
    <w:link w:val="22"/>
    <w:autoRedefine/>
    <w:qFormat/>
    <w:uiPriority w:val="0"/>
    <w:rPr>
      <w:kern w:val="2"/>
      <w:sz w:val="18"/>
      <w:szCs w:val="18"/>
    </w:rPr>
  </w:style>
  <w:style w:type="character" w:customStyle="1" w:styleId="56">
    <w:name w:val="页脚 字符"/>
    <w:link w:val="23"/>
    <w:autoRedefine/>
    <w:qFormat/>
    <w:uiPriority w:val="99"/>
    <w:rPr>
      <w:kern w:val="2"/>
      <w:sz w:val="18"/>
      <w:szCs w:val="18"/>
    </w:rPr>
  </w:style>
  <w:style w:type="character" w:customStyle="1" w:styleId="57">
    <w:name w:val="页眉 字符"/>
    <w:link w:val="24"/>
    <w:autoRedefine/>
    <w:qFormat/>
    <w:uiPriority w:val="99"/>
    <w:rPr>
      <w:kern w:val="2"/>
      <w:sz w:val="18"/>
      <w:szCs w:val="18"/>
    </w:rPr>
  </w:style>
  <w:style w:type="character" w:customStyle="1" w:styleId="58">
    <w:name w:val="段 Char"/>
    <w:link w:val="29"/>
    <w:autoRedefine/>
    <w:qFormat/>
    <w:uiPriority w:val="0"/>
    <w:rPr>
      <w:rFonts w:ascii="宋体"/>
      <w:sz w:val="21"/>
      <w:lang w:val="en-US" w:eastAsia="zh-CN" w:bidi="ar-SA"/>
    </w:rPr>
  </w:style>
  <w:style w:type="character" w:customStyle="1" w:styleId="59">
    <w:name w:val="批注主题 字符"/>
    <w:link w:val="38"/>
    <w:autoRedefine/>
    <w:qFormat/>
    <w:uiPriority w:val="0"/>
    <w:rPr>
      <w:b/>
      <w:bCs/>
      <w:kern w:val="2"/>
      <w:sz w:val="21"/>
      <w:szCs w:val="24"/>
    </w:rPr>
  </w:style>
  <w:style w:type="character" w:customStyle="1" w:styleId="60">
    <w:name w:val="发布"/>
    <w:basedOn w:val="42"/>
    <w:autoRedefine/>
    <w:qFormat/>
    <w:uiPriority w:val="0"/>
    <w:rPr>
      <w:rFonts w:ascii="黑体" w:eastAsia="黑体"/>
      <w:spacing w:val="85"/>
      <w:w w:val="100"/>
      <w:position w:val="3"/>
      <w:sz w:val="28"/>
      <w:szCs w:val="28"/>
    </w:rPr>
  </w:style>
  <w:style w:type="character" w:customStyle="1" w:styleId="61">
    <w:name w:val="附录公式 Char"/>
    <w:link w:val="62"/>
    <w:autoRedefine/>
    <w:qFormat/>
    <w:uiPriority w:val="0"/>
    <w:rPr>
      <w:lang w:val="en-US" w:eastAsia="zh-CN" w:bidi="ar-SA"/>
    </w:rPr>
  </w:style>
  <w:style w:type="paragraph" w:customStyle="1" w:styleId="62">
    <w:name w:val="附录公式"/>
    <w:basedOn w:val="29"/>
    <w:next w:val="29"/>
    <w:link w:val="61"/>
    <w:autoRedefine/>
    <w:qFormat/>
    <w:uiPriority w:val="0"/>
  </w:style>
  <w:style w:type="character" w:customStyle="1" w:styleId="63">
    <w:name w:val="首示例 Char"/>
    <w:link w:val="64"/>
    <w:autoRedefine/>
    <w:qFormat/>
    <w:uiPriority w:val="0"/>
    <w:rPr>
      <w:rFonts w:ascii="宋体" w:hAnsi="宋体"/>
      <w:kern w:val="2"/>
      <w:sz w:val="18"/>
      <w:szCs w:val="18"/>
    </w:rPr>
  </w:style>
  <w:style w:type="paragraph" w:customStyle="1" w:styleId="64">
    <w:name w:val="首示例"/>
    <w:next w:val="29"/>
    <w:link w:val="63"/>
    <w:autoRedefine/>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65">
    <w:name w:val="一级标题 Char"/>
    <w:link w:val="66"/>
    <w:autoRedefine/>
    <w:qFormat/>
    <w:uiPriority w:val="0"/>
    <w:rPr>
      <w:rFonts w:ascii="微软雅黑" w:hAnsi="微软雅黑" w:eastAsia="微软雅黑"/>
      <w:kern w:val="2"/>
      <w:sz w:val="21"/>
      <w:szCs w:val="24"/>
      <w:lang w:bidi="ar-SA"/>
    </w:rPr>
  </w:style>
  <w:style w:type="paragraph" w:customStyle="1" w:styleId="66">
    <w:name w:val="一级标题"/>
    <w:basedOn w:val="1"/>
    <w:link w:val="65"/>
    <w:autoRedefine/>
    <w:qFormat/>
    <w:uiPriority w:val="0"/>
    <w:rPr>
      <w:rFonts w:ascii="微软雅黑" w:hAnsi="微软雅黑" w:eastAsia="微软雅黑"/>
    </w:rPr>
  </w:style>
  <w:style w:type="paragraph" w:customStyle="1" w:styleId="67">
    <w:name w:val="封面一致性程度标识"/>
    <w:basedOn w:val="68"/>
    <w:autoRedefine/>
    <w:qFormat/>
    <w:uiPriority w:val="0"/>
    <w:pPr>
      <w:framePr w:wrap="around"/>
      <w:spacing w:before="440"/>
    </w:pPr>
    <w:rPr>
      <w:rFonts w:ascii="宋体" w:eastAsia="宋体"/>
    </w:rPr>
  </w:style>
  <w:style w:type="paragraph" w:customStyle="1" w:styleId="68">
    <w:name w:val="封面标准英文名称"/>
    <w:basedOn w:val="69"/>
    <w:autoRedefine/>
    <w:qFormat/>
    <w:uiPriority w:val="0"/>
    <w:pPr>
      <w:framePr w:wrap="around"/>
      <w:spacing w:before="370" w:line="400" w:lineRule="exact"/>
    </w:pPr>
    <w:rPr>
      <w:rFonts w:ascii="Times New Roman"/>
      <w:sz w:val="28"/>
      <w:szCs w:val="28"/>
    </w:rPr>
  </w:style>
  <w:style w:type="paragraph" w:customStyle="1" w:styleId="69">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0">
    <w:name w:val="封面标准文稿编辑信息2"/>
    <w:basedOn w:val="71"/>
    <w:autoRedefine/>
    <w:qFormat/>
    <w:uiPriority w:val="0"/>
    <w:pPr>
      <w:framePr w:wrap="around" w:y="4469"/>
    </w:pPr>
  </w:style>
  <w:style w:type="paragraph" w:customStyle="1" w:styleId="71">
    <w:name w:val="封面标准文稿编辑信息"/>
    <w:basedOn w:val="72"/>
    <w:autoRedefine/>
    <w:qFormat/>
    <w:uiPriority w:val="0"/>
    <w:pPr>
      <w:framePr w:wrap="around"/>
      <w:spacing w:before="180" w:line="180" w:lineRule="exact"/>
    </w:pPr>
    <w:rPr>
      <w:sz w:val="21"/>
    </w:rPr>
  </w:style>
  <w:style w:type="paragraph" w:customStyle="1" w:styleId="72">
    <w:name w:val="封面标准文稿类别"/>
    <w:basedOn w:val="67"/>
    <w:autoRedefine/>
    <w:qFormat/>
    <w:uiPriority w:val="0"/>
    <w:pPr>
      <w:framePr w:wrap="around"/>
      <w:spacing w:after="160" w:line="240" w:lineRule="auto"/>
    </w:pPr>
    <w:rPr>
      <w:sz w:val="24"/>
    </w:rPr>
  </w:style>
  <w:style w:type="paragraph" w:customStyle="1" w:styleId="73">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74">
    <w:name w:val="附录二级条标题"/>
    <w:basedOn w:val="1"/>
    <w:next w:val="29"/>
    <w:autoRedefine/>
    <w:qFormat/>
    <w:uiPriority w:val="0"/>
    <w:pPr>
      <w:widowControl/>
      <w:numPr>
        <w:ilvl w:val="3"/>
        <w:numId w:val="3"/>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5">
    <w:name w:val="附录章标题"/>
    <w:next w:val="29"/>
    <w:autoRedefine/>
    <w:qFormat/>
    <w:uiPriority w:val="0"/>
    <w:pPr>
      <w:numPr>
        <w:ilvl w:val="1"/>
        <w:numId w:val="3"/>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6">
    <w:name w:val="示例后文字"/>
    <w:basedOn w:val="29"/>
    <w:next w:val="29"/>
    <w:autoRedefine/>
    <w:qFormat/>
    <w:uiPriority w:val="0"/>
    <w:pPr>
      <w:ind w:firstLine="360"/>
    </w:pPr>
    <w:rPr>
      <w:sz w:val="18"/>
    </w:rPr>
  </w:style>
  <w:style w:type="paragraph" w:customStyle="1" w:styleId="77">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8">
    <w:name w:val="列项◆（三级）"/>
    <w:basedOn w:val="1"/>
    <w:autoRedefine/>
    <w:qFormat/>
    <w:uiPriority w:val="0"/>
    <w:pPr>
      <w:numPr>
        <w:ilvl w:val="2"/>
        <w:numId w:val="4"/>
      </w:numPr>
    </w:pPr>
    <w:rPr>
      <w:rFonts w:ascii="宋体"/>
      <w:szCs w:val="21"/>
    </w:rPr>
  </w:style>
  <w:style w:type="paragraph" w:customStyle="1" w:styleId="79">
    <w:name w:val="章标题"/>
    <w:next w:val="29"/>
    <w:autoRedefine/>
    <w:qFormat/>
    <w:uiPriority w:val="0"/>
    <w:pPr>
      <w:numPr>
        <w:ilvl w:val="0"/>
        <w:numId w:val="5"/>
      </w:numPr>
      <w:spacing w:beforeLines="100" w:afterLines="100"/>
      <w:jc w:val="both"/>
      <w:outlineLvl w:val="1"/>
    </w:pPr>
    <w:rPr>
      <w:rFonts w:ascii="黑体" w:hAnsi="Times New Roman" w:eastAsia="黑体" w:cs="Times New Roman"/>
      <w:sz w:val="21"/>
      <w:lang w:val="en-US" w:eastAsia="zh-CN" w:bidi="ar-SA"/>
    </w:rPr>
  </w:style>
  <w:style w:type="paragraph" w:customStyle="1" w:styleId="80">
    <w:name w:val="附录三级条标题"/>
    <w:basedOn w:val="74"/>
    <w:next w:val="29"/>
    <w:autoRedefine/>
    <w:qFormat/>
    <w:uiPriority w:val="0"/>
    <w:pPr>
      <w:numPr>
        <w:ilvl w:val="4"/>
      </w:numPr>
      <w:outlineLvl w:val="4"/>
    </w:pPr>
  </w:style>
  <w:style w:type="paragraph" w:customStyle="1" w:styleId="81">
    <w:name w:val="附录五级无"/>
    <w:basedOn w:val="82"/>
    <w:autoRedefine/>
    <w:qFormat/>
    <w:uiPriority w:val="0"/>
    <w:pPr>
      <w:tabs>
        <w:tab w:val="left" w:pos="360"/>
      </w:tabs>
    </w:pPr>
    <w:rPr>
      <w:rFonts w:ascii="宋体" w:eastAsia="宋体"/>
      <w:szCs w:val="21"/>
    </w:rPr>
  </w:style>
  <w:style w:type="paragraph" w:customStyle="1" w:styleId="82">
    <w:name w:val="附录五级条标题"/>
    <w:basedOn w:val="83"/>
    <w:next w:val="29"/>
    <w:autoRedefine/>
    <w:qFormat/>
    <w:uiPriority w:val="0"/>
    <w:pPr>
      <w:tabs>
        <w:tab w:val="left" w:pos="360"/>
      </w:tabs>
      <w:outlineLvl w:val="6"/>
    </w:pPr>
  </w:style>
  <w:style w:type="paragraph" w:customStyle="1" w:styleId="83">
    <w:name w:val="附录四级条标题"/>
    <w:basedOn w:val="80"/>
    <w:next w:val="29"/>
    <w:autoRedefine/>
    <w:qFormat/>
    <w:uiPriority w:val="0"/>
    <w:pPr>
      <w:numPr>
        <w:ilvl w:val="0"/>
        <w:numId w:val="0"/>
      </w:numPr>
      <w:outlineLvl w:val="5"/>
    </w:pPr>
  </w:style>
  <w:style w:type="paragraph" w:customStyle="1" w:styleId="84">
    <w:name w:val="正文表标题"/>
    <w:next w:val="29"/>
    <w:autoRedefine/>
    <w:qFormat/>
    <w:uiPriority w:val="0"/>
    <w:pPr>
      <w:numPr>
        <w:ilvl w:val="0"/>
        <w:numId w:val="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85">
    <w:name w:val="附录标识"/>
    <w:basedOn w:val="1"/>
    <w:next w:val="29"/>
    <w:autoRedefine/>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6">
    <w:name w:val="图标脚注说明"/>
    <w:basedOn w:val="29"/>
    <w:autoRedefine/>
    <w:qFormat/>
    <w:uiPriority w:val="0"/>
    <w:pPr>
      <w:ind w:left="840" w:hanging="420" w:firstLineChars="0"/>
    </w:pPr>
    <w:rPr>
      <w:sz w:val="18"/>
      <w:szCs w:val="18"/>
    </w:rPr>
  </w:style>
  <w:style w:type="paragraph" w:customStyle="1" w:styleId="87">
    <w:name w:val="五级条标题"/>
    <w:basedOn w:val="88"/>
    <w:next w:val="29"/>
    <w:autoRedefine/>
    <w:qFormat/>
    <w:uiPriority w:val="0"/>
    <w:pPr>
      <w:numPr>
        <w:ilvl w:val="0"/>
        <w:numId w:val="0"/>
      </w:numPr>
      <w:outlineLvl w:val="6"/>
    </w:pPr>
  </w:style>
  <w:style w:type="paragraph" w:customStyle="1" w:styleId="88">
    <w:name w:val="四级条标题"/>
    <w:basedOn w:val="89"/>
    <w:next w:val="29"/>
    <w:autoRedefine/>
    <w:qFormat/>
    <w:uiPriority w:val="0"/>
    <w:pPr>
      <w:numPr>
        <w:ilvl w:val="4"/>
        <w:numId w:val="7"/>
      </w:numPr>
      <w:outlineLvl w:val="5"/>
    </w:pPr>
  </w:style>
  <w:style w:type="paragraph" w:customStyle="1" w:styleId="89">
    <w:name w:val="三级条标题"/>
    <w:basedOn w:val="90"/>
    <w:next w:val="29"/>
    <w:autoRedefine/>
    <w:qFormat/>
    <w:uiPriority w:val="0"/>
    <w:pPr>
      <w:numPr>
        <w:ilvl w:val="3"/>
        <w:numId w:val="5"/>
      </w:numPr>
      <w:outlineLvl w:val="4"/>
    </w:pPr>
  </w:style>
  <w:style w:type="paragraph" w:customStyle="1" w:styleId="90">
    <w:name w:val="二级条标题"/>
    <w:basedOn w:val="91"/>
    <w:next w:val="29"/>
    <w:autoRedefine/>
    <w:qFormat/>
    <w:uiPriority w:val="0"/>
    <w:pPr>
      <w:numPr>
        <w:ilvl w:val="2"/>
        <w:numId w:val="7"/>
      </w:numPr>
      <w:spacing w:before="50" w:after="50"/>
      <w:outlineLvl w:val="3"/>
    </w:pPr>
  </w:style>
  <w:style w:type="paragraph" w:customStyle="1" w:styleId="91">
    <w:name w:val="一级条标题"/>
    <w:next w:val="29"/>
    <w:autoRedefine/>
    <w:qFormat/>
    <w:uiPriority w:val="0"/>
    <w:pPr>
      <w:numPr>
        <w:ilvl w:val="1"/>
        <w:numId w:val="5"/>
      </w:numPr>
      <w:spacing w:beforeLines="50" w:afterLines="50"/>
      <w:outlineLvl w:val="2"/>
    </w:pPr>
    <w:rPr>
      <w:rFonts w:ascii="黑体" w:hAnsi="Times New Roman" w:eastAsia="黑体" w:cs="Times New Roman"/>
      <w:sz w:val="21"/>
      <w:szCs w:val="21"/>
      <w:lang w:val="en-US" w:eastAsia="zh-CN" w:bidi="ar-SA"/>
    </w:rPr>
  </w:style>
  <w:style w:type="paragraph" w:customStyle="1" w:styleId="92">
    <w:name w:val="示例×："/>
    <w:basedOn w:val="79"/>
    <w:autoRedefine/>
    <w:qFormat/>
    <w:uiPriority w:val="0"/>
    <w:pPr>
      <w:numPr>
        <w:ilvl w:val="0"/>
        <w:numId w:val="8"/>
      </w:numPr>
      <w:outlineLvl w:val="9"/>
    </w:pPr>
    <w:rPr>
      <w:rFonts w:ascii="宋体" w:eastAsia="宋体"/>
      <w:sz w:val="18"/>
      <w:szCs w:val="18"/>
    </w:rPr>
  </w:style>
  <w:style w:type="paragraph" w:customStyle="1" w:styleId="93">
    <w:name w:val="标准书眉_偶数页"/>
    <w:basedOn w:val="94"/>
    <w:next w:val="1"/>
    <w:autoRedefine/>
    <w:qFormat/>
    <w:uiPriority w:val="0"/>
    <w:pPr>
      <w:tabs>
        <w:tab w:val="center" w:pos="4154"/>
        <w:tab w:val="right" w:pos="8306"/>
      </w:tabs>
      <w:jc w:val="left"/>
    </w:pPr>
  </w:style>
  <w:style w:type="paragraph" w:customStyle="1" w:styleId="94">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5">
    <w:name w:val="二级无"/>
    <w:basedOn w:val="90"/>
    <w:autoRedefine/>
    <w:qFormat/>
    <w:uiPriority w:val="0"/>
    <w:pPr>
      <w:numPr>
        <w:numId w:val="5"/>
      </w:numPr>
      <w:tabs>
        <w:tab w:val="left" w:pos="0"/>
      </w:tabs>
      <w:spacing w:before="0" w:after="0"/>
    </w:pPr>
    <w:rPr>
      <w:rFonts w:ascii="宋体" w:eastAsia="宋体"/>
    </w:rPr>
  </w:style>
  <w:style w:type="paragraph" w:customStyle="1" w:styleId="96">
    <w:name w:val="封面标准文稿类别2"/>
    <w:basedOn w:val="72"/>
    <w:autoRedefine/>
    <w:qFormat/>
    <w:uiPriority w:val="0"/>
    <w:pPr>
      <w:framePr w:wrap="around" w:y="4469"/>
    </w:pPr>
  </w:style>
  <w:style w:type="paragraph" w:customStyle="1" w:styleId="97">
    <w:name w:val="附录标题"/>
    <w:basedOn w:val="29"/>
    <w:next w:val="29"/>
    <w:autoRedefine/>
    <w:qFormat/>
    <w:uiPriority w:val="0"/>
    <w:pPr>
      <w:ind w:firstLine="0" w:firstLineChars="0"/>
      <w:jc w:val="center"/>
    </w:pPr>
    <w:rPr>
      <w:rFonts w:ascii="黑体" w:eastAsia="黑体"/>
    </w:rPr>
  </w:style>
  <w:style w:type="paragraph" w:customStyle="1" w:styleId="98">
    <w:name w:val="示例"/>
    <w:next w:val="99"/>
    <w:autoRedefine/>
    <w:qFormat/>
    <w:uiPriority w:val="0"/>
    <w:pPr>
      <w:widowControl w:val="0"/>
      <w:numPr>
        <w:ilvl w:val="0"/>
        <w:numId w:val="9"/>
      </w:numPr>
      <w:jc w:val="both"/>
    </w:pPr>
    <w:rPr>
      <w:rFonts w:ascii="宋体" w:hAnsi="Times New Roman" w:eastAsia="宋体" w:cs="Times New Roman"/>
      <w:sz w:val="18"/>
      <w:szCs w:val="18"/>
      <w:lang w:val="en-US" w:eastAsia="zh-CN" w:bidi="ar-SA"/>
    </w:rPr>
  </w:style>
  <w:style w:type="paragraph" w:customStyle="1" w:styleId="99">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0">
    <w:name w:val="附录字母编号列项（一级）"/>
    <w:autoRedefine/>
    <w:qFormat/>
    <w:uiPriority w:val="0"/>
    <w:pPr>
      <w:numPr>
        <w:ilvl w:val="0"/>
        <w:numId w:val="10"/>
      </w:numPr>
    </w:pPr>
    <w:rPr>
      <w:rFonts w:ascii="宋体" w:hAnsi="Times New Roman" w:eastAsia="宋体" w:cs="Times New Roman"/>
      <w:sz w:val="21"/>
      <w:lang w:val="en-US" w:eastAsia="zh-CN" w:bidi="ar-SA"/>
    </w:rPr>
  </w:style>
  <w:style w:type="paragraph" w:customStyle="1" w:styleId="101">
    <w:name w:val="附录二级无"/>
    <w:basedOn w:val="74"/>
    <w:autoRedefine/>
    <w:qFormat/>
    <w:uiPriority w:val="0"/>
    <w:pPr>
      <w:tabs>
        <w:tab w:val="clear" w:pos="360"/>
      </w:tabs>
    </w:pPr>
    <w:rPr>
      <w:rFonts w:ascii="宋体" w:eastAsia="宋体"/>
      <w:szCs w:val="21"/>
    </w:rPr>
  </w:style>
  <w:style w:type="paragraph" w:customStyle="1" w:styleId="102">
    <w:name w:val="正文图标题"/>
    <w:next w:val="29"/>
    <w:autoRedefine/>
    <w:qFormat/>
    <w:uiPriority w:val="0"/>
    <w:pPr>
      <w:numPr>
        <w:ilvl w:val="0"/>
        <w:numId w:val="11"/>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03">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5">
    <w:name w:val="封面标准名称2"/>
    <w:basedOn w:val="69"/>
    <w:autoRedefine/>
    <w:qFormat/>
    <w:uiPriority w:val="0"/>
    <w:pPr>
      <w:framePr w:wrap="around" w:y="4469"/>
      <w:spacing w:beforeLines="630"/>
    </w:pPr>
  </w:style>
  <w:style w:type="paragraph" w:customStyle="1" w:styleId="106">
    <w:name w:val="附录一级条标题"/>
    <w:basedOn w:val="75"/>
    <w:next w:val="29"/>
    <w:autoRedefine/>
    <w:qFormat/>
    <w:uiPriority w:val="0"/>
    <w:pPr>
      <w:numPr>
        <w:ilvl w:val="2"/>
      </w:numPr>
      <w:autoSpaceDN w:val="0"/>
      <w:spacing w:beforeLines="50" w:afterLines="50"/>
      <w:outlineLvl w:val="2"/>
    </w:pPr>
  </w:style>
  <w:style w:type="paragraph" w:customStyle="1" w:styleId="107">
    <w:name w:val="参考文献、索引标题"/>
    <w:basedOn w:val="1"/>
    <w:next w:val="29"/>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8">
    <w:name w:val="注×："/>
    <w:autoRedefine/>
    <w:qFormat/>
    <w:uiPriority w:val="0"/>
    <w:pPr>
      <w:widowControl w:val="0"/>
      <w:numPr>
        <w:ilvl w:val="0"/>
        <w:numId w:val="12"/>
      </w:numPr>
      <w:autoSpaceDE w:val="0"/>
      <w:autoSpaceDN w:val="0"/>
      <w:jc w:val="both"/>
    </w:pPr>
    <w:rPr>
      <w:rFonts w:ascii="宋体" w:hAnsi="Times New Roman" w:eastAsia="宋体" w:cs="Times New Roman"/>
      <w:sz w:val="18"/>
      <w:szCs w:val="18"/>
      <w:lang w:val="en-US" w:eastAsia="zh-CN" w:bidi="ar-SA"/>
    </w:rPr>
  </w:style>
  <w:style w:type="paragraph" w:customStyle="1" w:styleId="109">
    <w:name w:val="附录一级无"/>
    <w:basedOn w:val="106"/>
    <w:autoRedefine/>
    <w:qFormat/>
    <w:uiPriority w:val="0"/>
    <w:pPr>
      <w:tabs>
        <w:tab w:val="clear" w:pos="360"/>
      </w:tabs>
    </w:pPr>
    <w:rPr>
      <w:rFonts w:ascii="宋体" w:eastAsia="宋体"/>
      <w:szCs w:val="21"/>
    </w:rPr>
  </w:style>
  <w:style w:type="paragraph" w:customStyle="1" w:styleId="110">
    <w:name w:val="附录图标题"/>
    <w:basedOn w:val="1"/>
    <w:next w:val="29"/>
    <w:autoRedefine/>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11">
    <w:name w:val="正文1"/>
    <w:basedOn w:val="1"/>
    <w:autoRedefine/>
    <w:qFormat/>
    <w:uiPriority w:val="0"/>
    <w:pPr>
      <w:spacing w:line="360" w:lineRule="auto"/>
      <w:ind w:firstLine="1680" w:firstLineChars="200"/>
    </w:pPr>
    <w:rPr>
      <w:sz w:val="28"/>
    </w:rPr>
  </w:style>
  <w:style w:type="paragraph" w:customStyle="1" w:styleId="112">
    <w:name w:val="列项●（二级）"/>
    <w:autoRedefine/>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113">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4">
    <w:name w:val="编号列项（三级）"/>
    <w:autoRedefine/>
    <w:qFormat/>
    <w:uiPriority w:val="0"/>
    <w:pPr>
      <w:numPr>
        <w:ilvl w:val="2"/>
        <w:numId w:val="14"/>
      </w:numPr>
    </w:pPr>
    <w:rPr>
      <w:rFonts w:ascii="宋体" w:hAnsi="Times New Roman" w:eastAsia="宋体" w:cs="Times New Roman"/>
      <w:sz w:val="21"/>
      <w:lang w:val="en-US" w:eastAsia="zh-CN" w:bidi="ar-SA"/>
    </w:rPr>
  </w:style>
  <w:style w:type="paragraph" w:customStyle="1" w:styleId="115">
    <w:name w:val="附录表标题"/>
    <w:basedOn w:val="1"/>
    <w:next w:val="29"/>
    <w:autoRedefine/>
    <w:qFormat/>
    <w:uiPriority w:val="0"/>
    <w:pPr>
      <w:numPr>
        <w:ilvl w:val="1"/>
        <w:numId w:val="15"/>
      </w:numPr>
      <w:tabs>
        <w:tab w:val="left" w:pos="180"/>
      </w:tabs>
      <w:spacing w:beforeLines="50" w:afterLines="50"/>
      <w:ind w:left="0" w:firstLine="0"/>
      <w:jc w:val="center"/>
    </w:pPr>
    <w:rPr>
      <w:rFonts w:ascii="黑体" w:eastAsia="黑体"/>
      <w:szCs w:val="21"/>
    </w:rPr>
  </w:style>
  <w:style w:type="paragraph" w:customStyle="1" w:styleId="116">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7">
    <w:name w:val="四级无"/>
    <w:basedOn w:val="88"/>
    <w:autoRedefine/>
    <w:qFormat/>
    <w:uiPriority w:val="0"/>
    <w:pPr>
      <w:numPr>
        <w:numId w:val="5"/>
      </w:numPr>
      <w:spacing w:before="0" w:after="0"/>
    </w:pPr>
    <w:rPr>
      <w:rFonts w:ascii="宋体" w:eastAsia="宋体"/>
    </w:rPr>
  </w:style>
  <w:style w:type="paragraph" w:customStyle="1" w:styleId="118">
    <w:name w:val="附录数字编号列项（二级）"/>
    <w:autoRedefine/>
    <w:qFormat/>
    <w:uiPriority w:val="0"/>
    <w:pPr>
      <w:numPr>
        <w:ilvl w:val="1"/>
        <w:numId w:val="10"/>
      </w:numPr>
    </w:pPr>
    <w:rPr>
      <w:rFonts w:ascii="宋体" w:hAnsi="Times New Roman" w:eastAsia="宋体" w:cs="Times New Roman"/>
      <w:sz w:val="21"/>
      <w:lang w:val="en-US" w:eastAsia="zh-CN" w:bidi="ar-SA"/>
    </w:rPr>
  </w:style>
  <w:style w:type="paragraph" w:customStyle="1" w:styleId="119">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0">
    <w:name w:val="字母编号列项（一级）"/>
    <w:autoRedefine/>
    <w:qFormat/>
    <w:uiPriority w:val="0"/>
    <w:pPr>
      <w:numPr>
        <w:ilvl w:val="0"/>
        <w:numId w:val="14"/>
      </w:numPr>
      <w:jc w:val="both"/>
    </w:pPr>
    <w:rPr>
      <w:rFonts w:ascii="宋体" w:hAnsi="Times New Roman" w:eastAsia="宋体" w:cs="Times New Roman"/>
      <w:sz w:val="21"/>
      <w:lang w:val="en-US" w:eastAsia="zh-CN" w:bidi="ar-SA"/>
    </w:rPr>
  </w:style>
  <w:style w:type="paragraph" w:customStyle="1" w:styleId="121">
    <w:name w:val="三级无"/>
    <w:basedOn w:val="89"/>
    <w:autoRedefine/>
    <w:qFormat/>
    <w:uiPriority w:val="0"/>
    <w:pPr>
      <w:spacing w:before="0" w:after="0"/>
    </w:pPr>
    <w:rPr>
      <w:rFonts w:ascii="宋体" w:eastAsia="宋体"/>
    </w:rPr>
  </w:style>
  <w:style w:type="paragraph" w:customStyle="1" w:styleId="122">
    <w:name w:val="目次、标准名称标题"/>
    <w:basedOn w:val="1"/>
    <w:next w:val="29"/>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23">
    <w:name w:val="封面一致性程度标识2"/>
    <w:basedOn w:val="67"/>
    <w:autoRedefine/>
    <w:qFormat/>
    <w:uiPriority w:val="0"/>
    <w:pPr>
      <w:framePr w:wrap="around" w:y="4469"/>
    </w:pPr>
  </w:style>
  <w:style w:type="paragraph" w:customStyle="1" w:styleId="124">
    <w:name w:val="其他发布部门"/>
    <w:basedOn w:val="125"/>
    <w:autoRedefine/>
    <w:qFormat/>
    <w:uiPriority w:val="0"/>
    <w:pPr>
      <w:framePr w:wrap="around" w:y="15310"/>
      <w:spacing w:line="0" w:lineRule="atLeast"/>
    </w:pPr>
    <w:rPr>
      <w:rFonts w:ascii="黑体" w:eastAsia="黑体"/>
      <w:b w:val="0"/>
    </w:rPr>
  </w:style>
  <w:style w:type="paragraph" w:customStyle="1" w:styleId="125">
    <w:name w:val="发布部门"/>
    <w:next w:val="1"/>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26">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注："/>
    <w:next w:val="29"/>
    <w:autoRedefine/>
    <w:qFormat/>
    <w:uiPriority w:val="0"/>
    <w:pPr>
      <w:widowControl w:val="0"/>
      <w:numPr>
        <w:ilvl w:val="0"/>
        <w:numId w:val="16"/>
      </w:numPr>
      <w:autoSpaceDE w:val="0"/>
      <w:autoSpaceDN w:val="0"/>
      <w:jc w:val="both"/>
    </w:pPr>
    <w:rPr>
      <w:rFonts w:ascii="宋体" w:hAnsi="Times New Roman" w:eastAsia="宋体" w:cs="Times New Roman"/>
      <w:sz w:val="18"/>
      <w:szCs w:val="18"/>
      <w:lang w:val="en-US" w:eastAsia="zh-CN" w:bidi="ar-SA"/>
    </w:rPr>
  </w:style>
  <w:style w:type="paragraph" w:customStyle="1" w:styleId="130">
    <w:name w:val="封面标准英文名称2"/>
    <w:basedOn w:val="68"/>
    <w:autoRedefine/>
    <w:qFormat/>
    <w:uiPriority w:val="0"/>
    <w:pPr>
      <w:framePr w:wrap="around" w:y="4469"/>
    </w:pPr>
  </w:style>
  <w:style w:type="paragraph" w:customStyle="1" w:styleId="131">
    <w:name w:val="注：（正文）"/>
    <w:basedOn w:val="129"/>
    <w:next w:val="29"/>
    <w:autoRedefine/>
    <w:qFormat/>
    <w:uiPriority w:val="0"/>
  </w:style>
  <w:style w:type="paragraph" w:customStyle="1" w:styleId="132">
    <w:name w:val="附录图标号"/>
    <w:basedOn w:val="1"/>
    <w:autoRedefine/>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33">
    <w:name w:val="图表脚注说明"/>
    <w:basedOn w:val="1"/>
    <w:autoRedefine/>
    <w:qFormat/>
    <w:uiPriority w:val="0"/>
    <w:pPr>
      <w:numPr>
        <w:ilvl w:val="0"/>
        <w:numId w:val="17"/>
      </w:numPr>
    </w:pPr>
    <w:rPr>
      <w:rFonts w:ascii="宋体"/>
      <w:sz w:val="18"/>
      <w:szCs w:val="18"/>
    </w:rPr>
  </w:style>
  <w:style w:type="paragraph" w:customStyle="1" w:styleId="134">
    <w:name w:val="附录四级无"/>
    <w:basedOn w:val="83"/>
    <w:autoRedefine/>
    <w:qFormat/>
    <w:uiPriority w:val="0"/>
    <w:pPr>
      <w:tabs>
        <w:tab w:val="clear" w:pos="360"/>
      </w:tabs>
    </w:pPr>
    <w:rPr>
      <w:rFonts w:ascii="宋体" w:eastAsia="宋体"/>
      <w:szCs w:val="21"/>
    </w:rPr>
  </w:style>
  <w:style w:type="paragraph" w:customStyle="1" w:styleId="135">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37">
    <w:name w:val="图的脚注"/>
    <w:next w:val="29"/>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8">
    <w:name w:val="附录公式编号制表符"/>
    <w:basedOn w:val="1"/>
    <w:next w:val="29"/>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39">
    <w:name w:val="实施日期"/>
    <w:basedOn w:val="140"/>
    <w:autoRedefine/>
    <w:qFormat/>
    <w:uiPriority w:val="0"/>
    <w:pPr>
      <w:framePr w:wrap="around" w:vAnchor="page" w:hAnchor="text"/>
      <w:jc w:val="right"/>
    </w:pPr>
  </w:style>
  <w:style w:type="paragraph" w:customStyle="1" w:styleId="140">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41">
    <w:name w:val="一级无"/>
    <w:basedOn w:val="91"/>
    <w:autoRedefine/>
    <w:qFormat/>
    <w:uiPriority w:val="0"/>
    <w:rPr>
      <w:rFonts w:ascii="宋体" w:eastAsia="宋体"/>
    </w:rPr>
  </w:style>
  <w:style w:type="paragraph" w:customStyle="1" w:styleId="142">
    <w:name w:val="条文脚注"/>
    <w:basedOn w:val="30"/>
    <w:autoRedefine/>
    <w:qFormat/>
    <w:uiPriority w:val="0"/>
    <w:pPr>
      <w:numPr>
        <w:numId w:val="0"/>
      </w:numPr>
      <w:jc w:val="both"/>
    </w:pPr>
  </w:style>
  <w:style w:type="paragraph" w:customStyle="1" w:styleId="143">
    <w:name w:val="列项——（一级）"/>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144">
    <w:name w:val="附录表标号"/>
    <w:basedOn w:val="1"/>
    <w:next w:val="29"/>
    <w:autoRedefine/>
    <w:qFormat/>
    <w:uiPriority w:val="0"/>
    <w:pPr>
      <w:numPr>
        <w:ilvl w:val="0"/>
        <w:numId w:val="15"/>
      </w:numPr>
      <w:tabs>
        <w:tab w:val="clear" w:pos="0"/>
      </w:tabs>
      <w:spacing w:line="14" w:lineRule="exact"/>
      <w:ind w:left="811" w:hanging="448"/>
      <w:jc w:val="center"/>
      <w:outlineLvl w:val="0"/>
    </w:pPr>
    <w:rPr>
      <w:color w:val="FFFFFF"/>
    </w:rPr>
  </w:style>
  <w:style w:type="paragraph" w:customStyle="1" w:styleId="145">
    <w:name w:val="其他发布日期"/>
    <w:basedOn w:val="140"/>
    <w:autoRedefine/>
    <w:qFormat/>
    <w:uiPriority w:val="0"/>
    <w:pPr>
      <w:framePr w:wrap="around" w:vAnchor="page" w:hAnchor="text" w:x="1419"/>
    </w:pPr>
  </w:style>
  <w:style w:type="paragraph" w:customStyle="1" w:styleId="146">
    <w:name w:val="参考文献"/>
    <w:basedOn w:val="1"/>
    <w:next w:val="29"/>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7">
    <w:name w:val="附录三级无"/>
    <w:basedOn w:val="80"/>
    <w:autoRedefine/>
    <w:qFormat/>
    <w:uiPriority w:val="0"/>
    <w:pPr>
      <w:tabs>
        <w:tab w:val="clear" w:pos="360"/>
      </w:tabs>
    </w:pPr>
    <w:rPr>
      <w:rFonts w:ascii="宋体" w:eastAsia="宋体"/>
      <w:szCs w:val="21"/>
    </w:rPr>
  </w:style>
  <w:style w:type="paragraph" w:customStyle="1" w:styleId="148">
    <w:name w:val="其他实施日期"/>
    <w:basedOn w:val="139"/>
    <w:autoRedefine/>
    <w:qFormat/>
    <w:uiPriority w:val="0"/>
    <w:pPr>
      <w:framePr w:wrap="around"/>
    </w:pPr>
  </w:style>
  <w:style w:type="paragraph" w:customStyle="1" w:styleId="149">
    <w:name w:val="终结线"/>
    <w:basedOn w:val="1"/>
    <w:autoRedefine/>
    <w:qFormat/>
    <w:uiPriority w:val="0"/>
    <w:pPr>
      <w:framePr w:hSpace="181" w:vSpace="181" w:wrap="around" w:vAnchor="text" w:hAnchor="margin" w:xAlign="center" w:y="285"/>
    </w:pPr>
  </w:style>
  <w:style w:type="paragraph" w:customStyle="1" w:styleId="150">
    <w:name w:val="前言、引言标题"/>
    <w:next w:val="29"/>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1">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2">
    <w:name w:val="五级无"/>
    <w:basedOn w:val="87"/>
    <w:autoRedefine/>
    <w:qFormat/>
    <w:uiPriority w:val="0"/>
    <w:pPr>
      <w:spacing w:before="0" w:after="0"/>
    </w:pPr>
    <w:rPr>
      <w:rFonts w:ascii="宋体" w:eastAsia="宋体"/>
    </w:rPr>
  </w:style>
  <w:style w:type="paragraph" w:customStyle="1" w:styleId="153">
    <w:name w:val="封面正文"/>
    <w:autoRedefine/>
    <w:qFormat/>
    <w:uiPriority w:val="0"/>
    <w:pPr>
      <w:jc w:val="both"/>
    </w:pPr>
    <w:rPr>
      <w:rFonts w:ascii="Times New Roman" w:hAnsi="Times New Roman" w:eastAsia="宋体" w:cs="Times New Roman"/>
      <w:lang w:val="en-US" w:eastAsia="zh-CN" w:bidi="ar-SA"/>
    </w:rPr>
  </w:style>
  <w:style w:type="paragraph" w:customStyle="1" w:styleId="154">
    <w:name w:val="数字编号列项（二级）"/>
    <w:autoRedefine/>
    <w:qFormat/>
    <w:uiPriority w:val="0"/>
    <w:pPr>
      <w:numPr>
        <w:ilvl w:val="1"/>
        <w:numId w:val="14"/>
      </w:numPr>
      <w:jc w:val="both"/>
    </w:pPr>
    <w:rPr>
      <w:rFonts w:ascii="宋体" w:hAnsi="Times New Roman" w:eastAsia="宋体" w:cs="Times New Roman"/>
      <w:sz w:val="21"/>
      <w:lang w:val="en-US" w:eastAsia="zh-CN" w:bidi="ar-SA"/>
    </w:rPr>
  </w:style>
  <w:style w:type="paragraph" w:customStyle="1" w:styleId="155">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6">
    <w:name w:val="注×：（正文）"/>
    <w:autoRedefine/>
    <w:qFormat/>
    <w:uiPriority w:val="0"/>
    <w:pPr>
      <w:numPr>
        <w:ilvl w:val="0"/>
        <w:numId w:val="18"/>
      </w:numPr>
      <w:jc w:val="both"/>
    </w:pPr>
    <w:rPr>
      <w:rFonts w:ascii="宋体" w:hAnsi="Times New Roman" w:eastAsia="宋体" w:cs="Times New Roman"/>
      <w:sz w:val="18"/>
      <w:szCs w:val="18"/>
      <w:lang w:val="en-US" w:eastAsia="zh-CN" w:bidi="ar-SA"/>
    </w:rPr>
  </w:style>
  <w:style w:type="paragraph" w:customStyle="1" w:styleId="157">
    <w:name w:val="正文公式编号制表符"/>
    <w:basedOn w:val="29"/>
    <w:next w:val="29"/>
    <w:autoRedefine/>
    <w:qFormat/>
    <w:uiPriority w:val="0"/>
    <w:pPr>
      <w:ind w:firstLine="0" w:firstLineChars="0"/>
    </w:pPr>
  </w:style>
  <w:style w:type="paragraph" w:customStyle="1" w:styleId="158">
    <w:name w:val="MTDisplayEquation"/>
    <w:basedOn w:val="1"/>
    <w:next w:val="1"/>
    <w:link w:val="159"/>
    <w:autoRedefine/>
    <w:qFormat/>
    <w:uiPriority w:val="0"/>
    <w:pPr>
      <w:tabs>
        <w:tab w:val="center" w:pos="4200"/>
        <w:tab w:val="right" w:leader="middleDot" w:pos="9240"/>
      </w:tabs>
      <w:snapToGrid w:val="0"/>
      <w:jc w:val="right"/>
    </w:pPr>
    <w:rPr>
      <w:sz w:val="24"/>
    </w:rPr>
  </w:style>
  <w:style w:type="character" w:customStyle="1" w:styleId="159">
    <w:name w:val="MTDisplayEquation 字符"/>
    <w:link w:val="158"/>
    <w:autoRedefine/>
    <w:qFormat/>
    <w:uiPriority w:val="0"/>
    <w:rPr>
      <w:kern w:val="2"/>
      <w:sz w:val="24"/>
      <w:szCs w:val="24"/>
    </w:rPr>
  </w:style>
  <w:style w:type="character" w:styleId="160">
    <w:name w:val="Placeholder Text"/>
    <w:basedOn w:val="42"/>
    <w:autoRedefine/>
    <w:semiHidden/>
    <w:qFormat/>
    <w:uiPriority w:val="99"/>
    <w:rPr>
      <w:color w:val="808080"/>
    </w:rPr>
  </w:style>
  <w:style w:type="paragraph" w:customStyle="1" w:styleId="161">
    <w:name w:val="标准文件_附录标识"/>
    <w:next w:val="162"/>
    <w:autoRedefine/>
    <w:qFormat/>
    <w:uiPriority w:val="0"/>
    <w:pPr>
      <w:tabs>
        <w:tab w:val="left" w:pos="6406"/>
      </w:tabs>
      <w:spacing w:before="200"/>
      <w:jc w:val="center"/>
      <w:outlineLvl w:val="0"/>
      <w:pPrChange w:id="0" w:author="莉 谢" w:date="2024-09-19T13:58:00Z">
        <w:pPr>
          <w:shd w:val="clear" w:color="FFFFFF" w:fill="FFFFFF"/>
          <w:spacing w:beforeLines="25" w:afterLines="50"/>
          <w:jc w:val="center"/>
          <w:outlineLvl w:val="0"/>
        </w:pPr>
      </w:pPrChange>
    </w:pPr>
    <w:rPr>
      <w:rFonts w:ascii="黑体" w:hAnsi="Times New Roman" w:eastAsia="黑体" w:cs="Times New Roman"/>
      <w:sz w:val="21"/>
      <w:lang w:val="en-US" w:eastAsia="zh-CN" w:bidi="ar-SA"/>
      <w:rPrChange w:id="1" w:author="莉 谢" w:date="2024-09-19T13:58:00Z">
        <w:rPr>
          <w:rFonts w:ascii="黑体" w:eastAsia="黑体"/>
          <w:sz w:val="21"/>
          <w:lang w:val="en-US" w:eastAsia="zh-CN" w:bidi="ar-SA"/>
        </w:rPr>
      </w:rPrChange>
    </w:rPr>
  </w:style>
  <w:style w:type="paragraph" w:customStyle="1" w:styleId="162">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3">
    <w:name w:val="标准文件_目录标题"/>
    <w:basedOn w:val="1"/>
    <w:autoRedefine/>
    <w:qFormat/>
    <w:uiPriority w:val="0"/>
    <w:pPr>
      <w:spacing w:afterLines="150"/>
      <w:jc w:val="center"/>
    </w:pPr>
    <w:rPr>
      <w:rFonts w:ascii="黑体" w:eastAsia="黑体"/>
      <w:sz w:val="32"/>
    </w:rPr>
  </w:style>
  <w:style w:type="paragraph" w:customStyle="1" w:styleId="164">
    <w:name w:val="标准文件_文件编号"/>
    <w:basedOn w:val="162"/>
    <w:autoRedefine/>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65">
    <w:name w:val="标准文件_文件名称"/>
    <w:basedOn w:val="162"/>
    <w:next w:val="162"/>
    <w:autoRedefine/>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6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6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68">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69">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70">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171">
    <w:name w:val="List Paragraph"/>
    <w:basedOn w:val="1"/>
    <w:unhideWhenUsed/>
    <w:qFormat/>
    <w:uiPriority w:val="99"/>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microsoft.com/office/2006/relationships/keyMapCustomizations" Target="customizations.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3.jpeg"/><Relationship Id="rId26" Type="http://schemas.openxmlformats.org/officeDocument/2006/relationships/image" Target="media/image2.wmf"/><Relationship Id="rId25" Type="http://schemas.openxmlformats.org/officeDocument/2006/relationships/oleObject" Target="embeddings/oleObject1.bin"/><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16</Pages>
  <Words>2804</Words>
  <Characters>3517</Characters>
  <Lines>81</Lines>
  <Paragraphs>22</Paragraphs>
  <TotalTime>55</TotalTime>
  <ScaleCrop>false</ScaleCrop>
  <LinksUpToDate>false</LinksUpToDate>
  <CharactersWithSpaces>3724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2024-05-16T05:27:00Z</dcterms:created>
  <dc:creator>CNIS</dc:creator>
  <cp:lastModifiedBy>《VOCs前沿》（vocs99）管理员</cp:lastModifiedBy>
  <cp:lastPrinted>2024-12-13T05:56:00Z</cp:lastPrinted>
  <dcterms:modified xsi:type="dcterms:W3CDTF">2025-05-26T02:16:14Z</dcterms:modified>
  <dc:title>标准名称</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077BA3BE12B945B2870AE2D9ED6C4625_13</vt:lpwstr>
  </property>
  <property fmtid="{D5CDD505-2E9C-101B-9397-08002B2CF9AE}" pid="4" name="KSOTemplateDocerSaveRecord">
    <vt:lpwstr>eyJoZGlkIjoiZTZmZmYyNDVlYTA0NjE3OTE2NjY2NTRlN2Y4NjNlZmIiLCJ1c2VySWQiOiIzMzk1Mzk0NjgifQ==</vt:lpwstr>
  </property>
</Properties>
</file>