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3FD48">
      <w:pPr>
        <w:jc w:val="center"/>
        <w:rPr>
          <w:rFonts w:hint="eastAsia" w:ascii="黑体" w:hAnsi="黑体" w:eastAsia="黑体" w:cs="宋体"/>
          <w:color w:val="000000"/>
          <w:sz w:val="48"/>
          <w:szCs w:val="48"/>
        </w:rPr>
      </w:pPr>
    </w:p>
    <w:p w14:paraId="44F010F2">
      <w:pPr>
        <w:jc w:val="center"/>
        <w:rPr>
          <w:rFonts w:hint="eastAsia" w:ascii="黑体" w:hAnsi="黑体" w:eastAsia="黑体" w:cs="宋体"/>
          <w:color w:val="000000"/>
          <w:sz w:val="48"/>
          <w:szCs w:val="48"/>
        </w:rPr>
      </w:pPr>
      <w:r>
        <w:rPr>
          <w:rFonts w:hint="eastAsia" w:ascii="Times New Roman" w:hAnsi="Times New Roman" w:eastAsia="黑体" w:cs="Times New Roman"/>
          <w:sz w:val="4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1849755</wp:posOffset>
            </wp:positionH>
            <wp:positionV relativeFrom="paragraph">
              <wp:posOffset>137160</wp:posOffset>
            </wp:positionV>
            <wp:extent cx="1555115" cy="1571625"/>
            <wp:effectExtent l="0" t="0" r="14605" b="13335"/>
            <wp:wrapNone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5511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430AE3">
      <w:pPr>
        <w:jc w:val="center"/>
        <w:rPr>
          <w:rFonts w:hint="eastAsia" w:ascii="黑体" w:hAnsi="黑体" w:eastAsia="黑体" w:cs="宋体"/>
          <w:color w:val="000000"/>
          <w:sz w:val="48"/>
          <w:szCs w:val="48"/>
        </w:rPr>
      </w:pPr>
    </w:p>
    <w:p w14:paraId="0B68F73C">
      <w:pPr>
        <w:jc w:val="center"/>
        <w:rPr>
          <w:rFonts w:hint="eastAsia" w:ascii="黑体" w:hAnsi="黑体" w:eastAsia="黑体" w:cs="宋体"/>
          <w:color w:val="000000"/>
          <w:sz w:val="48"/>
          <w:szCs w:val="48"/>
        </w:rPr>
      </w:pPr>
    </w:p>
    <w:p w14:paraId="53D5DA84">
      <w:pPr>
        <w:spacing w:line="720" w:lineRule="auto"/>
        <w:jc w:val="both"/>
        <w:rPr>
          <w:rFonts w:hint="eastAsia" w:ascii="黑体" w:hAnsi="黑体" w:eastAsia="黑体" w:cs="宋体"/>
          <w:color w:val="000000"/>
          <w:sz w:val="48"/>
          <w:szCs w:val="48"/>
        </w:rPr>
      </w:pPr>
    </w:p>
    <w:p w14:paraId="24BC124B">
      <w:pPr>
        <w:spacing w:line="720" w:lineRule="auto"/>
        <w:jc w:val="center"/>
        <w:rPr>
          <w:rFonts w:hint="eastAsia" w:ascii="黑体" w:hAnsi="黑体" w:eastAsia="黑体" w:cs="宋体"/>
          <w:color w:val="000000"/>
          <w:sz w:val="48"/>
          <w:szCs w:val="48"/>
        </w:rPr>
      </w:pPr>
      <w:r>
        <w:rPr>
          <w:rFonts w:hint="eastAsia" w:ascii="黑体" w:hAnsi="黑体" w:eastAsia="黑体" w:cs="宋体"/>
          <w:color w:val="000000"/>
          <w:sz w:val="48"/>
          <w:szCs w:val="48"/>
        </w:rPr>
        <w:t>中华环保联合会</w:t>
      </w:r>
    </w:p>
    <w:p w14:paraId="1BC92C87">
      <w:pPr>
        <w:spacing w:line="720" w:lineRule="auto"/>
        <w:jc w:val="center"/>
        <w:rPr>
          <w:rFonts w:hint="default" w:ascii="Times New Roman" w:hAnsi="Times New Roman" w:eastAsia="黑体" w:cs="Times New Roman"/>
          <w:sz w:val="48"/>
          <w:szCs w:val="48"/>
          <w:lang w:val="en-US" w:eastAsia="zh-CN"/>
        </w:rPr>
      </w:pPr>
      <w:r>
        <w:rPr>
          <w:rFonts w:hint="eastAsia" w:ascii="黑体" w:hAnsi="黑体" w:eastAsia="黑体" w:cs="宋体"/>
          <w:color w:val="000000"/>
          <w:sz w:val="48"/>
          <w:szCs w:val="48"/>
        </w:rPr>
        <w:t>团体标准制修订立项</w:t>
      </w:r>
      <w:r>
        <w:rPr>
          <w:rFonts w:hint="eastAsia" w:ascii="黑体" w:hAnsi="黑体" w:eastAsia="黑体" w:cs="宋体"/>
          <w:color w:val="000000"/>
          <w:sz w:val="48"/>
          <w:szCs w:val="48"/>
          <w:lang w:val="en-US" w:eastAsia="zh-CN"/>
        </w:rPr>
        <w:t>申报书</w:t>
      </w:r>
    </w:p>
    <w:p w14:paraId="4A7BBE75">
      <w:pPr>
        <w:jc w:val="center"/>
        <w:rPr>
          <w:rFonts w:hint="eastAsia" w:ascii="Times New Roman" w:hAnsi="Times New Roman" w:eastAsia="黑体" w:cs="Times New Roman"/>
          <w:sz w:val="44"/>
          <w:szCs w:val="24"/>
        </w:rPr>
      </w:pPr>
    </w:p>
    <w:p w14:paraId="16D4C501">
      <w:pPr>
        <w:jc w:val="center"/>
        <w:rPr>
          <w:rFonts w:hint="eastAsia" w:ascii="Times New Roman" w:hAnsi="Times New Roman" w:eastAsia="黑体" w:cs="Times New Roman"/>
          <w:sz w:val="44"/>
          <w:szCs w:val="24"/>
        </w:rPr>
      </w:pPr>
    </w:p>
    <w:p w14:paraId="19B0B1C8">
      <w:pPr>
        <w:jc w:val="both"/>
        <w:rPr>
          <w:rFonts w:hint="eastAsia" w:ascii="Times New Roman" w:hAnsi="Times New Roman" w:eastAsia="黑体" w:cs="Times New Roman"/>
          <w:sz w:val="44"/>
          <w:szCs w:val="24"/>
        </w:rPr>
      </w:pPr>
    </w:p>
    <w:p w14:paraId="5633ACA9">
      <w:pPr>
        <w:jc w:val="center"/>
        <w:rPr>
          <w:rFonts w:hint="eastAsia" w:ascii="Times New Roman" w:hAnsi="Times New Roman" w:eastAsia="黑体" w:cs="Times New Roman"/>
          <w:sz w:val="44"/>
          <w:szCs w:val="24"/>
        </w:rPr>
      </w:pPr>
    </w:p>
    <w:p w14:paraId="35ADD5B3">
      <w:pPr>
        <w:ind w:left="1470" w:leftChars="700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标准名称：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                       </w:t>
      </w:r>
    </w:p>
    <w:p w14:paraId="27B58873">
      <w:pPr>
        <w:ind w:left="1470" w:leftChars="700"/>
        <w:rPr>
          <w:rFonts w:ascii="Times New Roman" w:hAnsi="Times New Roman" w:eastAsia="宋体" w:cs="Times New Roman"/>
          <w:szCs w:val="24"/>
        </w:rPr>
      </w:pPr>
    </w:p>
    <w:p w14:paraId="5AF1BC69">
      <w:pPr>
        <w:ind w:left="1470" w:leftChars="700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申报单位：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                       </w:t>
      </w:r>
    </w:p>
    <w:p w14:paraId="2319CAC8">
      <w:pPr>
        <w:ind w:left="1470" w:leftChars="700"/>
        <w:rPr>
          <w:rFonts w:ascii="Times New Roman" w:hAnsi="Times New Roman" w:eastAsia="宋体" w:cs="Times New Roman"/>
          <w:szCs w:val="24"/>
        </w:rPr>
      </w:pPr>
    </w:p>
    <w:p w14:paraId="0D61F080">
      <w:pPr>
        <w:ind w:left="1470" w:leftChars="700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日    期：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                       </w:t>
      </w:r>
    </w:p>
    <w:p w14:paraId="65ED2A86">
      <w:pPr>
        <w:jc w:val="center"/>
        <w:rPr>
          <w:rFonts w:hint="eastAsia" w:ascii="Times New Roman" w:hAnsi="Times New Roman" w:eastAsia="黑体" w:cs="Times New Roman"/>
          <w:sz w:val="44"/>
          <w:szCs w:val="24"/>
        </w:rPr>
      </w:pPr>
    </w:p>
    <w:p w14:paraId="47091273">
      <w:pPr>
        <w:jc w:val="center"/>
        <w:rPr>
          <w:rFonts w:hint="eastAsia" w:ascii="Times New Roman" w:hAnsi="Times New Roman" w:eastAsia="黑体" w:cs="Times New Roman"/>
          <w:sz w:val="44"/>
          <w:szCs w:val="24"/>
        </w:rPr>
      </w:pPr>
    </w:p>
    <w:p w14:paraId="721821E8">
      <w:pPr>
        <w:jc w:val="center"/>
        <w:rPr>
          <w:rFonts w:hint="eastAsia" w:ascii="Times New Roman" w:hAnsi="Times New Roman" w:eastAsia="黑体" w:cs="Times New Roman"/>
          <w:sz w:val="44"/>
          <w:szCs w:val="24"/>
        </w:rPr>
      </w:pPr>
    </w:p>
    <w:p w14:paraId="2036AE57">
      <w:pPr>
        <w:jc w:val="center"/>
        <w:rPr>
          <w:rFonts w:hint="eastAsia" w:ascii="Times New Roman" w:hAnsi="Times New Roman" w:eastAsia="黑体" w:cs="Times New Roman"/>
          <w:sz w:val="44"/>
          <w:szCs w:val="24"/>
        </w:rPr>
      </w:pPr>
    </w:p>
    <w:p w14:paraId="2926BC85">
      <w:pPr>
        <w:jc w:val="center"/>
        <w:rPr>
          <w:rFonts w:hint="eastAsia" w:ascii="Times New Roman" w:hAnsi="Times New Roman" w:eastAsia="黑体" w:cs="Times New Roman"/>
          <w:sz w:val="44"/>
          <w:szCs w:val="24"/>
        </w:rPr>
      </w:pPr>
    </w:p>
    <w:p w14:paraId="18364D26">
      <w:pPr>
        <w:jc w:val="center"/>
        <w:rPr>
          <w:rFonts w:hint="eastAsia" w:ascii="Times New Roman" w:hAnsi="Times New Roman" w:eastAsia="黑体" w:cs="Times New Roman"/>
          <w:sz w:val="44"/>
          <w:szCs w:val="24"/>
        </w:rPr>
      </w:pPr>
    </w:p>
    <w:p w14:paraId="5A48C64A">
      <w:pPr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黑体" w:cs="Times New Roman"/>
          <w:sz w:val="44"/>
          <w:szCs w:val="24"/>
        </w:rPr>
        <w:t>填 写 说 明</w:t>
      </w:r>
    </w:p>
    <w:p w14:paraId="065AEF18">
      <w:pPr>
        <w:numPr>
          <w:ilvl w:val="0"/>
          <w:numId w:val="2"/>
        </w:numPr>
        <w:rPr>
          <w:rFonts w:ascii="等线" w:hAnsi="等线" w:eastAsia="等线" w:cs="Times New Roman"/>
          <w:sz w:val="28"/>
          <w:szCs w:val="28"/>
        </w:rPr>
      </w:pPr>
      <w:r>
        <w:rPr>
          <w:rFonts w:hint="eastAsia" w:ascii="等线" w:hAnsi="等线" w:eastAsia="等线" w:cs="Times New Roman"/>
          <w:sz w:val="28"/>
          <w:szCs w:val="28"/>
        </w:rPr>
        <w:t>根据G</w:t>
      </w:r>
      <w:r>
        <w:rPr>
          <w:rFonts w:ascii="等线" w:hAnsi="等线" w:eastAsia="等线" w:cs="Times New Roman"/>
          <w:sz w:val="28"/>
          <w:szCs w:val="28"/>
        </w:rPr>
        <w:t>B/T1.1-2020</w:t>
      </w:r>
      <w:r>
        <w:rPr>
          <w:rFonts w:hint="eastAsia" w:ascii="等线" w:hAnsi="等线" w:eastAsia="等线" w:cs="Times New Roman"/>
          <w:sz w:val="28"/>
          <w:szCs w:val="28"/>
        </w:rPr>
        <w:t>标准名称</w:t>
      </w:r>
      <w:r>
        <w:rPr>
          <w:rFonts w:hint="eastAsia" w:ascii="等线" w:hAnsi="等线" w:eastAsia="等线" w:cs="Times New Roman"/>
          <w:sz w:val="28"/>
          <w:szCs w:val="28"/>
          <w:lang w:val="en-US" w:eastAsia="zh-CN"/>
        </w:rPr>
        <w:t>的要求。</w:t>
      </w:r>
    </w:p>
    <w:p w14:paraId="0AF1378A">
      <w:pPr>
        <w:rPr>
          <w:rFonts w:ascii="等线" w:hAnsi="等线" w:eastAsia="等线" w:cs="Times New Roman"/>
          <w:sz w:val="28"/>
          <w:szCs w:val="28"/>
        </w:rPr>
      </w:pPr>
      <w:r>
        <w:rPr>
          <w:rFonts w:ascii="等线" w:hAnsi="等线" w:eastAsia="等线" w:cs="Times New Roman"/>
          <w:sz w:val="28"/>
          <w:szCs w:val="28"/>
        </w:rPr>
        <w:drawing>
          <wp:inline distT="0" distB="0" distL="0" distR="0">
            <wp:extent cx="5278120" cy="430530"/>
            <wp:effectExtent l="0" t="0" r="10160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B3D75">
      <w:pPr>
        <w:numPr>
          <w:ilvl w:val="0"/>
          <w:numId w:val="2"/>
        </w:numPr>
        <w:rPr>
          <w:rFonts w:ascii="等线" w:hAnsi="等线" w:eastAsia="等线" w:cs="Times New Roman"/>
          <w:sz w:val="28"/>
          <w:szCs w:val="28"/>
        </w:rPr>
      </w:pPr>
      <w:r>
        <w:rPr>
          <w:rFonts w:hint="eastAsia" w:ascii="等线" w:hAnsi="等线" w:eastAsia="等线" w:cs="Times New Roman"/>
          <w:sz w:val="28"/>
          <w:szCs w:val="28"/>
        </w:rPr>
        <w:t>根据制定标准的目的、内容按规定确定标准为规范性标准、规程性标准、指南性标准、产品标准、服务标准，并拟定合格的标准名称。</w:t>
      </w:r>
    </w:p>
    <w:p w14:paraId="49CFA478">
      <w:pPr>
        <w:numPr>
          <w:ilvl w:val="0"/>
          <w:numId w:val="2"/>
        </w:numPr>
        <w:rPr>
          <w:rFonts w:ascii="等线" w:hAnsi="等线" w:eastAsia="等线" w:cs="Times New Roman"/>
          <w:sz w:val="28"/>
          <w:szCs w:val="28"/>
        </w:rPr>
      </w:pPr>
      <w:r>
        <w:rPr>
          <w:rFonts w:hint="eastAsia" w:ascii="等线" w:hAnsi="等线" w:eastAsia="等线" w:cs="Times New Roman"/>
          <w:sz w:val="28"/>
          <w:szCs w:val="28"/>
        </w:rPr>
        <w:t>拟定标准</w:t>
      </w:r>
      <w:bookmarkStart w:id="0" w:name="_GoBack"/>
      <w:bookmarkEnd w:id="0"/>
      <w:r>
        <w:rPr>
          <w:rFonts w:hint="eastAsia" w:ascii="等线" w:hAnsi="等线" w:eastAsia="等线" w:cs="Times New Roman"/>
          <w:sz w:val="28"/>
          <w:szCs w:val="28"/>
        </w:rPr>
        <w:t>名称后，请根据关键词在“中国标准服务网”</w:t>
      </w:r>
      <w:r>
        <w:rPr>
          <w:rFonts w:ascii="等线" w:hAnsi="等线" w:eastAsia="等线" w:cs="Times New Roman"/>
          <w:sz w:val="28"/>
          <w:szCs w:val="28"/>
        </w:rPr>
        <w:t xml:space="preserve"> </w:t>
      </w:r>
      <w:r>
        <w:fldChar w:fldCharType="begin"/>
      </w:r>
      <w:r>
        <w:instrText xml:space="preserve"> HYPERLINK "https://www.cssn.net.cn/cssn/index" </w:instrText>
      </w:r>
      <w:r>
        <w:fldChar w:fldCharType="separate"/>
      </w:r>
      <w:r>
        <w:rPr>
          <w:rFonts w:ascii="等线" w:hAnsi="等线" w:eastAsia="等线" w:cs="Times New Roman"/>
          <w:color w:val="0000FF"/>
          <w:sz w:val="28"/>
          <w:szCs w:val="28"/>
          <w:u w:val="single"/>
        </w:rPr>
        <w:t>https://www.cssn.net.cn/cssn/index</w:t>
      </w:r>
      <w:r>
        <w:rPr>
          <w:rFonts w:ascii="等线" w:hAnsi="等线" w:eastAsia="等线" w:cs="Times New Roman"/>
          <w:color w:val="0000FF"/>
          <w:sz w:val="28"/>
          <w:szCs w:val="28"/>
          <w:u w:val="single"/>
        </w:rPr>
        <w:fldChar w:fldCharType="end"/>
      </w:r>
      <w:r>
        <w:rPr>
          <w:rFonts w:hint="eastAsia" w:ascii="等线" w:hAnsi="等线" w:eastAsia="等线" w:cs="Times New Roman"/>
          <w:sz w:val="28"/>
          <w:szCs w:val="28"/>
        </w:rPr>
        <w:t>上进行检索，如有相同或类似的标准，请根据拟制定的标准内容修改标准名称或修改标准内容。</w:t>
      </w:r>
    </w:p>
    <w:p w14:paraId="478FB785">
      <w:pPr>
        <w:numPr>
          <w:ilvl w:val="0"/>
          <w:numId w:val="2"/>
        </w:numPr>
        <w:rPr>
          <w:rFonts w:ascii="等线" w:hAnsi="等线" w:eastAsia="等线" w:cs="Times New Roman"/>
          <w:sz w:val="28"/>
          <w:szCs w:val="28"/>
        </w:rPr>
      </w:pPr>
      <w:r>
        <w:rPr>
          <w:rFonts w:hint="eastAsia" w:ascii="等线" w:hAnsi="等线" w:eastAsia="等线" w:cs="Times New Roman"/>
          <w:sz w:val="28"/>
          <w:szCs w:val="28"/>
        </w:rPr>
        <w:t>起草单位必须5家以上。</w:t>
      </w:r>
    </w:p>
    <w:p w14:paraId="165BD1B2">
      <w:pPr>
        <w:numPr>
          <w:ilvl w:val="0"/>
          <w:numId w:val="2"/>
        </w:numPr>
        <w:rPr>
          <w:rFonts w:ascii="等线" w:hAnsi="等线" w:eastAsia="等线" w:cs="Times New Roman"/>
          <w:sz w:val="28"/>
          <w:szCs w:val="28"/>
        </w:rPr>
      </w:pPr>
      <w:r>
        <w:rPr>
          <w:rFonts w:hint="eastAsia" w:ascii="等线" w:hAnsi="等线" w:eastAsia="等线" w:cs="Times New Roman"/>
          <w:sz w:val="28"/>
          <w:szCs w:val="28"/>
        </w:rPr>
        <w:t>必须完整阐述制定国内外此领域的发展情况和标准的目的和必要性，比如领域内没有国家标准、行业标准或相关标准技术要求低等情况。</w:t>
      </w:r>
    </w:p>
    <w:p w14:paraId="2F733FD4">
      <w:pPr>
        <w:numPr>
          <w:ilvl w:val="0"/>
          <w:numId w:val="2"/>
        </w:numPr>
        <w:rPr>
          <w:rFonts w:ascii="等线" w:hAnsi="等线" w:eastAsia="等线" w:cs="Times New Roman"/>
          <w:sz w:val="28"/>
          <w:szCs w:val="28"/>
        </w:rPr>
      </w:pPr>
      <w:r>
        <w:rPr>
          <w:rFonts w:hint="eastAsia" w:ascii="等线" w:hAnsi="等线" w:eastAsia="等线" w:cs="Times New Roman"/>
          <w:sz w:val="28"/>
          <w:szCs w:val="28"/>
        </w:rPr>
        <w:t>必须标明本标准的范围和主要技术要素（主要技术要求），以供专家确定能否形成标准。</w:t>
      </w:r>
    </w:p>
    <w:p w14:paraId="6F46DE63">
      <w:pPr>
        <w:numPr>
          <w:ilvl w:val="0"/>
          <w:numId w:val="2"/>
        </w:numPr>
        <w:rPr>
          <w:rFonts w:ascii="等线" w:hAnsi="等线" w:eastAsia="等线" w:cs="Times New Roman"/>
          <w:sz w:val="28"/>
          <w:szCs w:val="28"/>
        </w:rPr>
      </w:pPr>
      <w:r>
        <w:rPr>
          <w:rFonts w:hint="eastAsia" w:ascii="等线" w:hAnsi="等线" w:eastAsia="等线" w:cs="Times New Roman"/>
          <w:sz w:val="28"/>
          <w:szCs w:val="28"/>
        </w:rPr>
        <w:t>文本必须以word格式提供，以供专家提出修改意见。</w:t>
      </w:r>
    </w:p>
    <w:p w14:paraId="1E7E1FDD">
      <w:pPr>
        <w:numPr>
          <w:ilvl w:val="0"/>
          <w:numId w:val="2"/>
        </w:numPr>
        <w:rPr>
          <w:rFonts w:hint="default" w:ascii="等线" w:hAnsi="等线" w:eastAsia="等线" w:cs="Times New Roman"/>
          <w:sz w:val="28"/>
          <w:szCs w:val="28"/>
          <w:lang w:val="en-US" w:eastAsia="zh-CN"/>
        </w:rPr>
      </w:pPr>
      <w:r>
        <w:rPr>
          <w:rFonts w:hint="eastAsia" w:ascii="等线" w:hAnsi="等线" w:eastAsia="等线" w:cs="Times New Roman"/>
          <w:sz w:val="28"/>
          <w:szCs w:val="28"/>
        </w:rPr>
        <w:t>必须填写联系人和联系电话，以供主管部门抽查使用。</w:t>
      </w:r>
    </w:p>
    <w:p w14:paraId="7D0FF506">
      <w:pPr>
        <w:numPr>
          <w:ilvl w:val="0"/>
          <w:numId w:val="2"/>
        </w:numPr>
        <w:rPr>
          <w:rFonts w:hint="default" w:ascii="等线" w:hAnsi="等线" w:eastAsia="等线" w:cs="Times New Roman"/>
          <w:sz w:val="28"/>
          <w:szCs w:val="28"/>
          <w:lang w:val="en-US" w:eastAsia="zh-CN"/>
        </w:rPr>
      </w:pPr>
      <w:r>
        <w:rPr>
          <w:rFonts w:hint="eastAsia" w:ascii="等线" w:hAnsi="等线" w:eastAsia="等线" w:cs="Times New Roman"/>
          <w:sz w:val="28"/>
          <w:szCs w:val="28"/>
          <w:lang w:val="en-US" w:eastAsia="zh-CN"/>
        </w:rPr>
        <w:t>立项详情请咨询联合会水专委：李伟18518703255/010-80570036</w:t>
      </w:r>
    </w:p>
    <w:p w14:paraId="2B6081F3">
      <w:pPr>
        <w:spacing w:before="156" w:beforeLines="50" w:after="156" w:afterLines="50" w:line="360" w:lineRule="exact"/>
        <w:jc w:val="center"/>
        <w:rPr>
          <w:rFonts w:hint="eastAsia" w:ascii="黑体" w:hAnsi="黑体" w:eastAsia="黑体" w:cs="宋体"/>
          <w:color w:val="000000"/>
          <w:sz w:val="36"/>
          <w:szCs w:val="36"/>
        </w:rPr>
      </w:pPr>
    </w:p>
    <w:p w14:paraId="7875BD0D">
      <w:pPr>
        <w:spacing w:before="156" w:beforeLines="50" w:after="156" w:afterLines="50" w:line="360" w:lineRule="exact"/>
        <w:jc w:val="center"/>
        <w:rPr>
          <w:rFonts w:hint="eastAsia" w:ascii="黑体" w:hAnsi="黑体" w:eastAsia="黑体" w:cs="宋体"/>
          <w:color w:val="000000"/>
          <w:sz w:val="36"/>
          <w:szCs w:val="36"/>
        </w:rPr>
      </w:pPr>
    </w:p>
    <w:p w14:paraId="61AE49CA">
      <w:pPr>
        <w:spacing w:before="156" w:beforeLines="50" w:after="156" w:afterLines="50" w:line="360" w:lineRule="exact"/>
        <w:jc w:val="center"/>
        <w:rPr>
          <w:rFonts w:hint="eastAsia" w:ascii="黑体" w:hAnsi="黑体" w:eastAsia="黑体" w:cs="宋体"/>
          <w:color w:val="000000"/>
          <w:sz w:val="36"/>
          <w:szCs w:val="36"/>
        </w:rPr>
      </w:pPr>
    </w:p>
    <w:p w14:paraId="17BE6209">
      <w:pPr>
        <w:spacing w:before="156" w:beforeLines="50" w:after="156" w:afterLines="50" w:line="360" w:lineRule="exact"/>
        <w:jc w:val="both"/>
        <w:rPr>
          <w:rFonts w:hint="eastAsia" w:ascii="黑体" w:hAnsi="黑体" w:eastAsia="黑体" w:cs="宋体"/>
          <w:color w:val="000000"/>
          <w:sz w:val="36"/>
          <w:szCs w:val="36"/>
        </w:rPr>
      </w:pPr>
    </w:p>
    <w:p w14:paraId="3BA870E7">
      <w:pPr>
        <w:spacing w:before="156" w:beforeLines="50" w:after="156" w:afterLines="50" w:line="360" w:lineRule="exact"/>
        <w:jc w:val="center"/>
        <w:rPr>
          <w:rFonts w:ascii="黑体" w:hAnsi="黑体" w:eastAsia="黑体" w:cs="宋体"/>
          <w:color w:val="000000"/>
          <w:spacing w:val="60"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sz w:val="36"/>
          <w:szCs w:val="36"/>
        </w:rPr>
        <w:t>中华环保联合会团体标准制修订立项申请表</w:t>
      </w:r>
    </w:p>
    <w:tbl>
      <w:tblPr>
        <w:tblStyle w:val="3"/>
        <w:tblW w:w="83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851"/>
        <w:gridCol w:w="937"/>
        <w:gridCol w:w="339"/>
        <w:gridCol w:w="793"/>
        <w:gridCol w:w="482"/>
        <w:gridCol w:w="1276"/>
        <w:gridCol w:w="567"/>
        <w:gridCol w:w="142"/>
        <w:gridCol w:w="1134"/>
      </w:tblGrid>
      <w:tr w14:paraId="139CF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Align w:val="center"/>
          </w:tcPr>
          <w:p w14:paraId="5D094C70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标准名称</w:t>
            </w:r>
          </w:p>
        </w:tc>
        <w:tc>
          <w:tcPr>
            <w:tcW w:w="6521" w:type="dxa"/>
            <w:gridSpan w:val="9"/>
            <w:vAlign w:val="center"/>
          </w:tcPr>
          <w:p w14:paraId="269D5F9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843D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Align w:val="center"/>
          </w:tcPr>
          <w:p w14:paraId="2A70DBA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标准承担单位</w:t>
            </w:r>
          </w:p>
        </w:tc>
        <w:tc>
          <w:tcPr>
            <w:tcW w:w="2920" w:type="dxa"/>
            <w:gridSpan w:val="4"/>
            <w:vAlign w:val="center"/>
          </w:tcPr>
          <w:p w14:paraId="6CB0BAF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Align w:val="center"/>
          </w:tcPr>
          <w:p w14:paraId="2AB58D00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标准参与单位</w:t>
            </w:r>
          </w:p>
        </w:tc>
        <w:tc>
          <w:tcPr>
            <w:tcW w:w="1843" w:type="dxa"/>
            <w:gridSpan w:val="3"/>
            <w:vAlign w:val="center"/>
          </w:tcPr>
          <w:p w14:paraId="61F76659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23E6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Align w:val="center"/>
          </w:tcPr>
          <w:p w14:paraId="00C4D734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计划编制时间</w:t>
            </w:r>
          </w:p>
        </w:tc>
        <w:tc>
          <w:tcPr>
            <w:tcW w:w="2920" w:type="dxa"/>
            <w:gridSpan w:val="4"/>
            <w:vAlign w:val="center"/>
          </w:tcPr>
          <w:p w14:paraId="32376364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月</w:t>
            </w:r>
          </w:p>
        </w:tc>
        <w:tc>
          <w:tcPr>
            <w:tcW w:w="1758" w:type="dxa"/>
            <w:gridSpan w:val="2"/>
            <w:vAlign w:val="center"/>
          </w:tcPr>
          <w:p w14:paraId="59C383C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计划投入经费</w:t>
            </w:r>
          </w:p>
        </w:tc>
        <w:tc>
          <w:tcPr>
            <w:tcW w:w="1843" w:type="dxa"/>
            <w:gridSpan w:val="3"/>
            <w:vAlign w:val="center"/>
          </w:tcPr>
          <w:p w14:paraId="7A132D8B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万元</w:t>
            </w:r>
          </w:p>
        </w:tc>
      </w:tr>
      <w:tr w14:paraId="47150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Merge w:val="restart"/>
            <w:vAlign w:val="center"/>
          </w:tcPr>
          <w:p w14:paraId="1315378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标准承担单位联系人</w:t>
            </w:r>
          </w:p>
        </w:tc>
        <w:tc>
          <w:tcPr>
            <w:tcW w:w="851" w:type="dxa"/>
            <w:vAlign w:val="center"/>
          </w:tcPr>
          <w:p w14:paraId="2419C19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14:paraId="7E764249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14:paraId="23E4CCD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758" w:type="dxa"/>
            <w:gridSpan w:val="2"/>
            <w:vAlign w:val="center"/>
          </w:tcPr>
          <w:p w14:paraId="0F1C65D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F81B24B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1134" w:type="dxa"/>
            <w:vAlign w:val="center"/>
          </w:tcPr>
          <w:p w14:paraId="1E9DC669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52D1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Merge w:val="continue"/>
            <w:vAlign w:val="center"/>
          </w:tcPr>
          <w:p w14:paraId="5D616ACA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94B9E35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5670" w:type="dxa"/>
            <w:gridSpan w:val="8"/>
            <w:vAlign w:val="center"/>
          </w:tcPr>
          <w:p w14:paraId="3B2DE24F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9CB6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Align w:val="center"/>
          </w:tcPr>
          <w:p w14:paraId="3CE22198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制修订类型</w:t>
            </w:r>
          </w:p>
        </w:tc>
        <w:tc>
          <w:tcPr>
            <w:tcW w:w="6521" w:type="dxa"/>
            <w:gridSpan w:val="9"/>
            <w:vAlign w:val="center"/>
          </w:tcPr>
          <w:p w14:paraId="126F970D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制订□　修订□　（原标准号：　　　　　）</w:t>
            </w:r>
          </w:p>
        </w:tc>
      </w:tr>
      <w:tr w14:paraId="4FE05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Merge w:val="restart"/>
            <w:vAlign w:val="center"/>
          </w:tcPr>
          <w:p w14:paraId="317B851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采用国际标准</w:t>
            </w:r>
          </w:p>
          <w:p w14:paraId="34B3A61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788" w:type="dxa"/>
            <w:gridSpan w:val="2"/>
            <w:vAlign w:val="center"/>
          </w:tcPr>
          <w:p w14:paraId="582A67B1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等同采用□</w:t>
            </w:r>
          </w:p>
        </w:tc>
        <w:tc>
          <w:tcPr>
            <w:tcW w:w="1614" w:type="dxa"/>
            <w:gridSpan w:val="3"/>
            <w:vAlign w:val="center"/>
          </w:tcPr>
          <w:p w14:paraId="3C324730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修改采用□</w:t>
            </w:r>
          </w:p>
        </w:tc>
        <w:tc>
          <w:tcPr>
            <w:tcW w:w="1843" w:type="dxa"/>
            <w:gridSpan w:val="2"/>
            <w:vAlign w:val="center"/>
          </w:tcPr>
          <w:p w14:paraId="203CEC9F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非等效采用□</w:t>
            </w:r>
          </w:p>
        </w:tc>
        <w:tc>
          <w:tcPr>
            <w:tcW w:w="1276" w:type="dxa"/>
            <w:gridSpan w:val="2"/>
            <w:vAlign w:val="center"/>
          </w:tcPr>
          <w:p w14:paraId="4D0440C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无采标□</w:t>
            </w:r>
          </w:p>
        </w:tc>
      </w:tr>
      <w:tr w14:paraId="65321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Merge w:val="continue"/>
            <w:vAlign w:val="center"/>
          </w:tcPr>
          <w:p w14:paraId="7FA599DB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1138E17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采标标准编号</w:t>
            </w:r>
          </w:p>
        </w:tc>
        <w:tc>
          <w:tcPr>
            <w:tcW w:w="4733" w:type="dxa"/>
            <w:gridSpan w:val="7"/>
            <w:vAlign w:val="center"/>
          </w:tcPr>
          <w:p w14:paraId="68F4A21D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8E55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</w:trPr>
        <w:tc>
          <w:tcPr>
            <w:tcW w:w="8330" w:type="dxa"/>
            <w:gridSpan w:val="10"/>
          </w:tcPr>
          <w:p w14:paraId="1EC775F7">
            <w:pPr>
              <w:widowControl/>
              <w:adjustRightInd w:val="0"/>
              <w:snapToGrid w:val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标准制修订的目的、意义与必要性：</w:t>
            </w:r>
          </w:p>
        </w:tc>
      </w:tr>
      <w:tr w14:paraId="0B179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8330" w:type="dxa"/>
            <w:gridSpan w:val="10"/>
          </w:tcPr>
          <w:p w14:paraId="76E67344">
            <w:pPr>
              <w:widowControl/>
              <w:adjustRightInd w:val="0"/>
              <w:snapToGrid w:val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标准适用范围和标准主要内容：</w:t>
            </w:r>
          </w:p>
        </w:tc>
      </w:tr>
      <w:tr w14:paraId="7F7E2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8330" w:type="dxa"/>
            <w:gridSpan w:val="10"/>
          </w:tcPr>
          <w:p w14:paraId="031FE980">
            <w:pPr>
              <w:widowControl/>
              <w:adjustRightInd w:val="0"/>
              <w:snapToGrid w:val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国内外相关情况简要说明（包括1.本标准与现行的国际、国家、行业、地方以及其他团体标准的关系；2.国内外本技术领域技术发展情况；3.本标准对国际标准或国外先进标准的采用情况，本标准的先进性、涉及专利情况）：</w:t>
            </w:r>
          </w:p>
        </w:tc>
      </w:tr>
      <w:tr w14:paraId="12AB8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8330" w:type="dxa"/>
            <w:gridSpan w:val="10"/>
          </w:tcPr>
          <w:p w14:paraId="45DA5089">
            <w:pPr>
              <w:widowControl/>
              <w:adjustRightInd w:val="0"/>
              <w:snapToGrid w:val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拟开展的主要工作（调研、实地考察与监测、试验或测试、专题研究、技术交流会等）：</w:t>
            </w:r>
          </w:p>
        </w:tc>
      </w:tr>
      <w:tr w14:paraId="1406E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8330" w:type="dxa"/>
            <w:gridSpan w:val="10"/>
          </w:tcPr>
          <w:p w14:paraId="2F1E2B7B">
            <w:pPr>
              <w:widowControl/>
              <w:adjustRightInd w:val="0"/>
              <w:snapToGrid w:val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目前制订该标准项目具备的条件（包括科研基础条件、最新研究成果、新技术开发应用情况、开展相关执法和监督管理工作的情况等，可同时提供证明项目具备条件的相关材料）：</w:t>
            </w:r>
          </w:p>
        </w:tc>
      </w:tr>
      <w:tr w14:paraId="407BB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8330" w:type="dxa"/>
            <w:gridSpan w:val="10"/>
          </w:tcPr>
          <w:p w14:paraId="689D9400">
            <w:pPr>
              <w:widowControl/>
              <w:adjustRightInd w:val="0"/>
              <w:snapToGrid w:val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经费预算及来源说明：</w:t>
            </w:r>
          </w:p>
        </w:tc>
      </w:tr>
      <w:tr w14:paraId="1D798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</w:trPr>
        <w:tc>
          <w:tcPr>
            <w:tcW w:w="8330" w:type="dxa"/>
            <w:gridSpan w:val="10"/>
          </w:tcPr>
          <w:p w14:paraId="5DCF2AFC">
            <w:pPr>
              <w:widowControl/>
              <w:adjustRightInd w:val="0"/>
              <w:snapToGrid w:val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需要说明的其他问题：</w:t>
            </w:r>
          </w:p>
        </w:tc>
      </w:tr>
      <w:tr w14:paraId="4F7CB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8330" w:type="dxa"/>
            <w:gridSpan w:val="10"/>
          </w:tcPr>
          <w:p w14:paraId="1D9C4D5A">
            <w:pPr>
              <w:widowControl/>
              <w:adjustRightInd w:val="0"/>
              <w:snapToGrid w:val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标准承担单位意见：</w:t>
            </w:r>
          </w:p>
          <w:p w14:paraId="17C571E3">
            <w:pPr>
              <w:widowControl/>
              <w:adjustRightInd w:val="0"/>
              <w:snapToGrid w:val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 w14:paraId="6D0D5E90">
            <w:pPr>
              <w:widowControl/>
              <w:adjustRightInd w:val="0"/>
              <w:snapToGrid w:val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 w14:paraId="756B2803">
            <w:pPr>
              <w:widowControl/>
              <w:adjustRightInd w:val="0"/>
              <w:snapToGrid w:val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 w14:paraId="4C218BEF">
            <w:pPr>
              <w:widowControl/>
              <w:adjustRightInd w:val="0"/>
              <w:snapToGrid w:val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 w14:paraId="52137A5A">
            <w:pPr>
              <w:widowControl/>
              <w:adjustRightInd w:val="0"/>
              <w:snapToGrid w:val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 w14:paraId="3F2D7177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　　　　　　　　　　　　　　　　　　　　　（公章）</w:t>
            </w:r>
          </w:p>
          <w:p w14:paraId="1F4B7ABF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　　　　　　　　　　　　　　　　　　　　　年　　月　　日</w:t>
            </w:r>
          </w:p>
        </w:tc>
      </w:tr>
    </w:tbl>
    <w:p w14:paraId="47ECBCC4">
      <w:pPr>
        <w:rPr>
          <w:rFonts w:hint="eastAsia"/>
        </w:rPr>
      </w:pPr>
    </w:p>
    <w:sectPr>
      <w:footerReference r:id="rId3" w:type="default"/>
      <w:pgSz w:w="11906" w:h="16838"/>
      <w:pgMar w:top="1440" w:right="1417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6693767"/>
      <w:docPartObj>
        <w:docPartGallery w:val="autotext"/>
      </w:docPartObj>
    </w:sdtPr>
    <w:sdtEndPr>
      <w:rPr>
        <w:sz w:val="24"/>
        <w:szCs w:val="24"/>
      </w:rPr>
    </w:sdtEndPr>
    <w:sdtContent>
      <w:p w14:paraId="146027E1">
        <w:pPr>
          <w:pStyle w:val="2"/>
          <w:numPr>
            <w:ilvl w:val="0"/>
            <w:numId w:val="1"/>
          </w:numPr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  <w:t xml:space="preserve"> </w:t>
        </w:r>
        <w:r>
          <w:rPr>
            <w:rFonts w:hint="eastAsia"/>
            <w:sz w:val="24"/>
            <w:szCs w:val="24"/>
          </w:rPr>
          <w:t>—</w:t>
        </w:r>
      </w:p>
    </w:sdtContent>
  </w:sdt>
  <w:p w14:paraId="743F8BD9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3558EA"/>
    <w:multiLevelType w:val="multilevel"/>
    <w:tmpl w:val="1F3558EA"/>
    <w:lvl w:ilvl="0" w:tentative="0">
      <w:start w:val="3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5DC08D1"/>
    <w:multiLevelType w:val="multilevel"/>
    <w:tmpl w:val="65DC08D1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ZiY2VkNmFjN2JmMThhZDc0ZDAwNzQ2YjRmZTQ2M2YifQ=="/>
  </w:docVars>
  <w:rsids>
    <w:rsidRoot w:val="007717D8"/>
    <w:rsid w:val="000A264B"/>
    <w:rsid w:val="003E1604"/>
    <w:rsid w:val="007717D8"/>
    <w:rsid w:val="27EB2BB4"/>
    <w:rsid w:val="32982106"/>
    <w:rsid w:val="664E5E24"/>
    <w:rsid w:val="7CC6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字符"/>
    <w:basedOn w:val="4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745</Words>
  <Characters>818</Characters>
  <Lines>3</Lines>
  <Paragraphs>1</Paragraphs>
  <TotalTime>2</TotalTime>
  <ScaleCrop>false</ScaleCrop>
  <LinksUpToDate>false</LinksUpToDate>
  <CharactersWithSpaces>956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2021-01-05T07:29:00Z</dcterms:created>
  <dc:creator>zhjy_lw</dc:creator>
  <cp:lastModifiedBy>知行小书童besos</cp:lastModifiedBy>
  <dcterms:modified xsi:type="dcterms:W3CDTF">2025-03-25T08:17:21Z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B605CC51E817404A8533E92F48ADD579_12</vt:lpwstr>
  </property>
  <property fmtid="{D5CDD505-2E9C-101B-9397-08002B2CF9AE}" pid="4" name="KSOTemplateDocerSaveRecord">
    <vt:lpwstr>eyJoZGlkIjoiM2ZiY2VkNmFjN2JmMThhZDc0ZDAwNzQ2YjRmZTQ2M2YiLCJ1c2VySWQiOiI2OTI5OTAzMDQifQ==</vt:lpwstr>
  </property>
</Properties>
</file>