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ACE" w:rsidRDefault="009C1ACE">
      <w:pPr>
        <w:rPr>
          <w:sz w:val="32"/>
        </w:rPr>
      </w:pPr>
    </w:p>
    <w:p w:rsidR="009C1ACE" w:rsidRDefault="009C1ACE">
      <w:pPr>
        <w:jc w:val="center"/>
        <w:rPr>
          <w:sz w:val="32"/>
        </w:rPr>
      </w:pPr>
    </w:p>
    <w:p w:rsidR="009C1ACE" w:rsidRDefault="009C1ACE">
      <w:pPr>
        <w:jc w:val="center"/>
        <w:rPr>
          <w:sz w:val="32"/>
        </w:rPr>
      </w:pPr>
    </w:p>
    <w:p w:rsidR="009C1ACE" w:rsidRDefault="00EF10CE">
      <w:pPr>
        <w:snapToGrid w:val="0"/>
        <w:spacing w:line="360" w:lineRule="auto"/>
        <w:jc w:val="center"/>
        <w:outlineLvl w:val="0"/>
        <w:rPr>
          <w:sz w:val="44"/>
          <w:szCs w:val="44"/>
        </w:rPr>
      </w:pPr>
      <w:bookmarkStart w:id="0" w:name="_Toc30553"/>
      <w:bookmarkStart w:id="1" w:name="_Toc8299"/>
      <w:bookmarkStart w:id="2" w:name="_Toc6112"/>
      <w:r>
        <w:rPr>
          <w:sz w:val="44"/>
          <w:szCs w:val="44"/>
        </w:rPr>
        <w:t>《城镇污水处理厂污泥水热</w:t>
      </w:r>
      <w:r>
        <w:rPr>
          <w:rFonts w:hint="eastAsia"/>
          <w:sz w:val="44"/>
          <w:szCs w:val="44"/>
        </w:rPr>
        <w:t>调理</w:t>
      </w:r>
      <w:r>
        <w:rPr>
          <w:sz w:val="44"/>
          <w:szCs w:val="44"/>
        </w:rPr>
        <w:t>深度脱水</w:t>
      </w:r>
      <w:bookmarkEnd w:id="0"/>
      <w:bookmarkEnd w:id="1"/>
      <w:bookmarkEnd w:id="2"/>
    </w:p>
    <w:p w:rsidR="009C1ACE" w:rsidRDefault="00EF10CE">
      <w:pPr>
        <w:snapToGrid w:val="0"/>
        <w:spacing w:line="360" w:lineRule="auto"/>
        <w:jc w:val="center"/>
        <w:rPr>
          <w:sz w:val="44"/>
          <w:szCs w:val="44"/>
        </w:rPr>
      </w:pPr>
      <w:r>
        <w:rPr>
          <w:sz w:val="44"/>
          <w:szCs w:val="44"/>
        </w:rPr>
        <w:t>技术规程》</w:t>
      </w:r>
    </w:p>
    <w:p w:rsidR="009C1ACE" w:rsidRDefault="00EF10CE">
      <w:pPr>
        <w:snapToGrid w:val="0"/>
        <w:spacing w:line="360" w:lineRule="auto"/>
        <w:jc w:val="center"/>
        <w:rPr>
          <w:sz w:val="44"/>
          <w:szCs w:val="44"/>
        </w:rPr>
      </w:pPr>
      <w:r>
        <w:rPr>
          <w:sz w:val="44"/>
          <w:szCs w:val="44"/>
        </w:rPr>
        <w:t>（</w:t>
      </w:r>
      <w:r w:rsidR="00B20AC0">
        <w:rPr>
          <w:rFonts w:hint="eastAsia"/>
          <w:sz w:val="44"/>
          <w:szCs w:val="44"/>
        </w:rPr>
        <w:t>征求意见</w:t>
      </w:r>
      <w:r>
        <w:rPr>
          <w:sz w:val="44"/>
          <w:szCs w:val="44"/>
        </w:rPr>
        <w:t>稿）</w:t>
      </w:r>
    </w:p>
    <w:p w:rsidR="009C1ACE" w:rsidRDefault="00EF10CE">
      <w:pPr>
        <w:snapToGrid w:val="0"/>
        <w:spacing w:line="360" w:lineRule="auto"/>
        <w:jc w:val="center"/>
        <w:rPr>
          <w:sz w:val="44"/>
          <w:szCs w:val="44"/>
        </w:rPr>
      </w:pPr>
      <w:r>
        <w:rPr>
          <w:sz w:val="44"/>
          <w:szCs w:val="44"/>
        </w:rPr>
        <w:t>编制说明</w:t>
      </w:r>
    </w:p>
    <w:p w:rsidR="009C1ACE" w:rsidRDefault="009C1ACE">
      <w:pPr>
        <w:snapToGrid w:val="0"/>
        <w:spacing w:line="360" w:lineRule="auto"/>
        <w:jc w:val="center"/>
        <w:rPr>
          <w:sz w:val="44"/>
          <w:szCs w:val="44"/>
        </w:rPr>
      </w:pPr>
    </w:p>
    <w:p w:rsidR="009C1ACE" w:rsidRDefault="009C1ACE">
      <w:pPr>
        <w:snapToGrid w:val="0"/>
        <w:spacing w:line="360" w:lineRule="auto"/>
        <w:jc w:val="center"/>
        <w:rPr>
          <w:sz w:val="44"/>
          <w:szCs w:val="44"/>
        </w:rPr>
      </w:pPr>
    </w:p>
    <w:p w:rsidR="009C1ACE" w:rsidRDefault="009C1ACE">
      <w:pPr>
        <w:snapToGrid w:val="0"/>
        <w:spacing w:line="360" w:lineRule="auto"/>
        <w:jc w:val="center"/>
        <w:rPr>
          <w:sz w:val="32"/>
        </w:rPr>
      </w:pPr>
    </w:p>
    <w:p w:rsidR="009C1ACE" w:rsidRDefault="009C1ACE">
      <w:pPr>
        <w:snapToGrid w:val="0"/>
        <w:spacing w:line="360" w:lineRule="auto"/>
        <w:jc w:val="center"/>
        <w:rPr>
          <w:sz w:val="32"/>
        </w:rPr>
      </w:pPr>
    </w:p>
    <w:p w:rsidR="009C1ACE" w:rsidRDefault="009C1ACE">
      <w:pPr>
        <w:snapToGrid w:val="0"/>
        <w:spacing w:line="360" w:lineRule="auto"/>
        <w:jc w:val="center"/>
        <w:rPr>
          <w:sz w:val="32"/>
        </w:rPr>
      </w:pPr>
    </w:p>
    <w:p w:rsidR="009C1ACE" w:rsidRDefault="009C1ACE">
      <w:pPr>
        <w:snapToGrid w:val="0"/>
        <w:spacing w:line="360" w:lineRule="auto"/>
        <w:jc w:val="center"/>
        <w:rPr>
          <w:sz w:val="32"/>
        </w:rPr>
      </w:pPr>
    </w:p>
    <w:p w:rsidR="009C1ACE" w:rsidRDefault="009C1ACE">
      <w:pPr>
        <w:snapToGrid w:val="0"/>
        <w:spacing w:line="360" w:lineRule="auto"/>
        <w:jc w:val="center"/>
        <w:rPr>
          <w:sz w:val="32"/>
        </w:rPr>
      </w:pPr>
    </w:p>
    <w:p w:rsidR="009C1ACE" w:rsidRDefault="009C1ACE">
      <w:pPr>
        <w:snapToGrid w:val="0"/>
        <w:spacing w:line="360" w:lineRule="auto"/>
        <w:jc w:val="center"/>
        <w:rPr>
          <w:sz w:val="32"/>
        </w:rPr>
      </w:pPr>
    </w:p>
    <w:p w:rsidR="009C1ACE" w:rsidRDefault="009C1ACE">
      <w:pPr>
        <w:snapToGrid w:val="0"/>
        <w:spacing w:line="360" w:lineRule="auto"/>
        <w:jc w:val="center"/>
        <w:rPr>
          <w:sz w:val="32"/>
        </w:rPr>
      </w:pPr>
    </w:p>
    <w:p w:rsidR="009C1ACE" w:rsidRDefault="009C1ACE">
      <w:pPr>
        <w:snapToGrid w:val="0"/>
        <w:spacing w:line="360" w:lineRule="auto"/>
        <w:jc w:val="center"/>
        <w:rPr>
          <w:sz w:val="32"/>
        </w:rPr>
      </w:pPr>
    </w:p>
    <w:p w:rsidR="009C1ACE" w:rsidRDefault="009C1ACE">
      <w:pPr>
        <w:snapToGrid w:val="0"/>
        <w:spacing w:line="360" w:lineRule="auto"/>
        <w:rPr>
          <w:sz w:val="32"/>
        </w:rPr>
      </w:pPr>
    </w:p>
    <w:p w:rsidR="009C1ACE" w:rsidRDefault="00EF10CE">
      <w:pPr>
        <w:snapToGrid w:val="0"/>
        <w:spacing w:line="360" w:lineRule="auto"/>
        <w:jc w:val="center"/>
        <w:rPr>
          <w:sz w:val="32"/>
        </w:rPr>
      </w:pPr>
      <w:r>
        <w:rPr>
          <w:sz w:val="32"/>
        </w:rPr>
        <w:t>《城镇污水处理厂污泥水热</w:t>
      </w:r>
      <w:r>
        <w:rPr>
          <w:rFonts w:hint="eastAsia"/>
          <w:sz w:val="32"/>
        </w:rPr>
        <w:t>调理</w:t>
      </w:r>
      <w:r>
        <w:rPr>
          <w:sz w:val="32"/>
        </w:rPr>
        <w:t>深度脱水技术规程》编制组</w:t>
      </w:r>
    </w:p>
    <w:p w:rsidR="009C1ACE" w:rsidRDefault="00EF10CE">
      <w:pPr>
        <w:autoSpaceDE w:val="0"/>
        <w:autoSpaceDN w:val="0"/>
        <w:adjustRightInd w:val="0"/>
        <w:snapToGrid w:val="0"/>
        <w:spacing w:line="360" w:lineRule="auto"/>
        <w:jc w:val="center"/>
        <w:rPr>
          <w:kern w:val="0"/>
          <w:sz w:val="28"/>
          <w:szCs w:val="28"/>
        </w:rPr>
      </w:pPr>
      <w:r>
        <w:rPr>
          <w:kern w:val="0"/>
          <w:sz w:val="28"/>
          <w:szCs w:val="28"/>
        </w:rPr>
        <w:t>二〇二三年四月</w:t>
      </w:r>
    </w:p>
    <w:p w:rsidR="009C1ACE" w:rsidRDefault="009C1ACE">
      <w:pPr>
        <w:autoSpaceDE w:val="0"/>
        <w:autoSpaceDN w:val="0"/>
        <w:adjustRightInd w:val="0"/>
        <w:snapToGrid w:val="0"/>
        <w:spacing w:line="360" w:lineRule="auto"/>
        <w:jc w:val="center"/>
        <w:rPr>
          <w:kern w:val="0"/>
          <w:sz w:val="28"/>
          <w:szCs w:val="28"/>
        </w:rPr>
        <w:sectPr w:rsidR="009C1ACE">
          <w:pgSz w:w="11906" w:h="16838"/>
          <w:pgMar w:top="1440" w:right="1800" w:bottom="1440" w:left="1800" w:header="851" w:footer="992" w:gutter="0"/>
          <w:cols w:space="425"/>
          <w:docGrid w:type="lines" w:linePitch="312"/>
        </w:sectPr>
      </w:pPr>
    </w:p>
    <w:p w:rsidR="009C1ACE" w:rsidRDefault="009C1ACE">
      <w:pPr>
        <w:autoSpaceDE w:val="0"/>
        <w:autoSpaceDN w:val="0"/>
        <w:adjustRightInd w:val="0"/>
        <w:snapToGrid w:val="0"/>
        <w:spacing w:line="360" w:lineRule="auto"/>
        <w:jc w:val="center"/>
        <w:rPr>
          <w:kern w:val="0"/>
          <w:sz w:val="28"/>
          <w:szCs w:val="28"/>
        </w:rPr>
      </w:pPr>
    </w:p>
    <w:p w:rsidR="009C1ACE" w:rsidRDefault="00EF10CE">
      <w:pPr>
        <w:jc w:val="center"/>
        <w:rPr>
          <w:sz w:val="36"/>
          <w:szCs w:val="36"/>
        </w:rPr>
      </w:pPr>
      <w:r>
        <w:rPr>
          <w:sz w:val="36"/>
          <w:szCs w:val="36"/>
        </w:rPr>
        <w:t>目</w:t>
      </w:r>
      <w:r>
        <w:rPr>
          <w:sz w:val="36"/>
          <w:szCs w:val="36"/>
        </w:rPr>
        <w:t xml:space="preserve">  </w:t>
      </w:r>
      <w:r>
        <w:rPr>
          <w:sz w:val="36"/>
          <w:szCs w:val="36"/>
        </w:rPr>
        <w:t>次</w:t>
      </w:r>
    </w:p>
    <w:p w:rsidR="009C1ACE" w:rsidRDefault="009C1ACE">
      <w:pPr>
        <w:jc w:val="center"/>
        <w:rPr>
          <w:sz w:val="36"/>
          <w:szCs w:val="36"/>
        </w:rPr>
      </w:pPr>
    </w:p>
    <w:sdt>
      <w:sdtPr>
        <w:rPr>
          <w:rFonts w:ascii="宋体" w:hAnsi="宋体"/>
        </w:rPr>
        <w:id w:val="147474766"/>
        <w:docPartObj>
          <w:docPartGallery w:val="Table of Contents"/>
          <w:docPartUnique/>
        </w:docPartObj>
      </w:sdtPr>
      <w:sdtContent>
        <w:p w:rsidR="009C1ACE" w:rsidRDefault="009C1ACE">
          <w:pPr>
            <w:pStyle w:val="11"/>
          </w:pPr>
          <w:r w:rsidRPr="009C1ACE">
            <w:fldChar w:fldCharType="begin"/>
          </w:r>
          <w:r w:rsidR="00EF10CE">
            <w:instrText xml:space="preserve">TOC \o "1-1" \h \u </w:instrText>
          </w:r>
          <w:r w:rsidRPr="009C1ACE">
            <w:fldChar w:fldCharType="separate"/>
          </w:r>
        </w:p>
        <w:p w:rsidR="009C1ACE" w:rsidRDefault="009C1ACE">
          <w:pPr>
            <w:pStyle w:val="11"/>
            <w:tabs>
              <w:tab w:val="right" w:leader="dot" w:pos="8306"/>
            </w:tabs>
          </w:pPr>
          <w:hyperlink w:anchor="_Toc30270" w:history="1">
            <w:r w:rsidR="00EF10CE">
              <w:rPr>
                <w:bCs w:val="0"/>
                <w:lang w:val="zh-CN"/>
              </w:rPr>
              <w:t xml:space="preserve">1 </w:t>
            </w:r>
            <w:r w:rsidR="00EF10CE">
              <w:rPr>
                <w:bCs w:val="0"/>
                <w:lang w:val="zh-CN"/>
              </w:rPr>
              <w:t>任务来源</w:t>
            </w:r>
            <w:r w:rsidR="00EF10CE">
              <w:tab/>
            </w:r>
            <w:r>
              <w:fldChar w:fldCharType="begin"/>
            </w:r>
            <w:r w:rsidR="00EF10CE">
              <w:instrText xml:space="preserve"> PAGEREF _Toc30270 \h </w:instrText>
            </w:r>
            <w:r>
              <w:fldChar w:fldCharType="separate"/>
            </w:r>
            <w:r w:rsidR="00882023">
              <w:rPr>
                <w:noProof/>
              </w:rPr>
              <w:t>1</w:t>
            </w:r>
            <w:r>
              <w:fldChar w:fldCharType="end"/>
            </w:r>
          </w:hyperlink>
        </w:p>
        <w:p w:rsidR="009C1ACE" w:rsidRDefault="009C1ACE">
          <w:pPr>
            <w:pStyle w:val="11"/>
            <w:tabs>
              <w:tab w:val="right" w:leader="dot" w:pos="8306"/>
            </w:tabs>
          </w:pPr>
          <w:hyperlink w:anchor="_Toc12596" w:history="1">
            <w:r w:rsidR="00EF10CE">
              <w:rPr>
                <w:bCs w:val="0"/>
              </w:rPr>
              <w:t xml:space="preserve">2 </w:t>
            </w:r>
            <w:r w:rsidR="00EF10CE">
              <w:rPr>
                <w:bCs w:val="0"/>
              </w:rPr>
              <w:t>标准制定必要性、编制依据</w:t>
            </w:r>
            <w:r w:rsidR="00EF10CE">
              <w:rPr>
                <w:bCs w:val="0"/>
              </w:rPr>
              <w:t xml:space="preserve"> </w:t>
            </w:r>
            <w:r w:rsidR="00EF10CE">
              <w:rPr>
                <w:bCs w:val="0"/>
              </w:rPr>
              <w:t>、编制原则</w:t>
            </w:r>
            <w:r w:rsidR="00EF10CE">
              <w:tab/>
            </w:r>
            <w:r>
              <w:fldChar w:fldCharType="begin"/>
            </w:r>
            <w:r w:rsidR="00EF10CE">
              <w:instrText xml:space="preserve"> PAGEREF _Toc12596 \h </w:instrText>
            </w:r>
            <w:r>
              <w:fldChar w:fldCharType="separate"/>
            </w:r>
            <w:r w:rsidR="00882023">
              <w:rPr>
                <w:noProof/>
              </w:rPr>
              <w:t>1</w:t>
            </w:r>
            <w:r>
              <w:fldChar w:fldCharType="end"/>
            </w:r>
          </w:hyperlink>
        </w:p>
        <w:p w:rsidR="009C1ACE" w:rsidRDefault="009C1ACE">
          <w:pPr>
            <w:pStyle w:val="11"/>
            <w:tabs>
              <w:tab w:val="right" w:leader="dot" w:pos="8306"/>
            </w:tabs>
          </w:pPr>
          <w:hyperlink w:anchor="_Toc27293" w:history="1">
            <w:r w:rsidR="00EF10CE">
              <w:rPr>
                <w:bCs w:val="0"/>
                <w:lang w:val="zh-CN"/>
              </w:rPr>
              <w:t xml:space="preserve">3 </w:t>
            </w:r>
            <w:r w:rsidR="00EF10CE">
              <w:rPr>
                <w:bCs w:val="0"/>
                <w:lang w:val="zh-CN"/>
              </w:rPr>
              <w:t>主要工作过程</w:t>
            </w:r>
            <w:r w:rsidR="00EF10CE">
              <w:tab/>
            </w:r>
            <w:r>
              <w:fldChar w:fldCharType="begin"/>
            </w:r>
            <w:r w:rsidR="00EF10CE">
              <w:instrText xml:space="preserve"> PAGEREF _Toc27293 \h </w:instrText>
            </w:r>
            <w:r>
              <w:fldChar w:fldCharType="separate"/>
            </w:r>
            <w:r w:rsidR="00882023">
              <w:rPr>
                <w:noProof/>
              </w:rPr>
              <w:t>2</w:t>
            </w:r>
            <w:r>
              <w:fldChar w:fldCharType="end"/>
            </w:r>
          </w:hyperlink>
        </w:p>
        <w:p w:rsidR="009C1ACE" w:rsidRDefault="009C1ACE">
          <w:pPr>
            <w:pStyle w:val="11"/>
            <w:tabs>
              <w:tab w:val="right" w:leader="dot" w:pos="8306"/>
            </w:tabs>
          </w:pPr>
          <w:hyperlink w:anchor="_Toc32180" w:history="1">
            <w:r w:rsidR="00EF10CE">
              <w:rPr>
                <w:bCs w:val="0"/>
                <w:lang w:val="zh-CN"/>
              </w:rPr>
              <w:t xml:space="preserve">4 </w:t>
            </w:r>
            <w:r w:rsidR="00EF10CE">
              <w:rPr>
                <w:bCs w:val="0"/>
              </w:rPr>
              <w:t>国内外相关标准研究</w:t>
            </w:r>
            <w:r w:rsidR="00EF10CE">
              <w:tab/>
            </w:r>
            <w:r>
              <w:fldChar w:fldCharType="begin"/>
            </w:r>
            <w:r w:rsidR="00EF10CE">
              <w:instrText xml:space="preserve"> PAGEREF _Toc32180 \h </w:instrText>
            </w:r>
            <w:r>
              <w:fldChar w:fldCharType="separate"/>
            </w:r>
            <w:r w:rsidR="00882023">
              <w:rPr>
                <w:noProof/>
              </w:rPr>
              <w:t>2</w:t>
            </w:r>
            <w:r>
              <w:fldChar w:fldCharType="end"/>
            </w:r>
          </w:hyperlink>
        </w:p>
        <w:p w:rsidR="009C1ACE" w:rsidRDefault="009C1ACE">
          <w:pPr>
            <w:pStyle w:val="11"/>
            <w:tabs>
              <w:tab w:val="right" w:leader="dot" w:pos="8306"/>
            </w:tabs>
          </w:pPr>
          <w:hyperlink w:anchor="_Toc19431" w:history="1">
            <w:r w:rsidR="00EF10CE">
              <w:rPr>
                <w:bCs w:val="0"/>
                <w:lang w:val="zh-CN"/>
              </w:rPr>
              <w:t xml:space="preserve">5 </w:t>
            </w:r>
            <w:r w:rsidR="00EF10CE">
              <w:rPr>
                <w:bCs w:val="0"/>
              </w:rPr>
              <w:t>同类工程现状调研</w:t>
            </w:r>
            <w:r w:rsidR="00EF10CE">
              <w:tab/>
            </w:r>
            <w:r>
              <w:fldChar w:fldCharType="begin"/>
            </w:r>
            <w:r w:rsidR="00EF10CE">
              <w:instrText xml:space="preserve"> PAGEREF _Toc19431 \h </w:instrText>
            </w:r>
            <w:r>
              <w:fldChar w:fldCharType="separate"/>
            </w:r>
            <w:r w:rsidR="00882023">
              <w:rPr>
                <w:noProof/>
              </w:rPr>
              <w:t>4</w:t>
            </w:r>
            <w:r>
              <w:fldChar w:fldCharType="end"/>
            </w:r>
          </w:hyperlink>
        </w:p>
        <w:p w:rsidR="009C1ACE" w:rsidRDefault="009C1ACE">
          <w:pPr>
            <w:pStyle w:val="11"/>
            <w:tabs>
              <w:tab w:val="right" w:leader="dot" w:pos="8306"/>
            </w:tabs>
          </w:pPr>
          <w:hyperlink w:anchor="_Toc14999" w:history="1">
            <w:r w:rsidR="00EF10CE">
              <w:rPr>
                <w:bCs w:val="0"/>
                <w:lang w:val="zh-CN"/>
              </w:rPr>
              <w:t xml:space="preserve">6 </w:t>
            </w:r>
            <w:r w:rsidR="00EF10CE">
              <w:rPr>
                <w:bCs w:val="0"/>
              </w:rPr>
              <w:t>主要技术内容及说明</w:t>
            </w:r>
            <w:r w:rsidR="00EF10CE">
              <w:tab/>
            </w:r>
            <w:r>
              <w:fldChar w:fldCharType="begin"/>
            </w:r>
            <w:r w:rsidR="00EF10CE">
              <w:instrText xml:space="preserve"> PAGEREF _Toc14999 \h </w:instrText>
            </w:r>
            <w:r>
              <w:fldChar w:fldCharType="separate"/>
            </w:r>
            <w:r w:rsidR="00882023">
              <w:rPr>
                <w:noProof/>
              </w:rPr>
              <w:t>4</w:t>
            </w:r>
            <w:r>
              <w:fldChar w:fldCharType="end"/>
            </w:r>
          </w:hyperlink>
        </w:p>
        <w:p w:rsidR="009C1ACE" w:rsidRDefault="009C1ACE">
          <w:pPr>
            <w:pStyle w:val="11"/>
            <w:tabs>
              <w:tab w:val="right" w:leader="dot" w:pos="8306"/>
            </w:tabs>
          </w:pPr>
          <w:hyperlink w:anchor="_Toc21407" w:history="1">
            <w:r w:rsidR="00EF10CE">
              <w:rPr>
                <w:bCs w:val="0"/>
                <w:lang w:val="zh-CN"/>
              </w:rPr>
              <w:t xml:space="preserve">7 </w:t>
            </w:r>
            <w:r w:rsidR="00EF10CE">
              <w:rPr>
                <w:bCs w:val="0"/>
                <w:lang w:val="zh-CN"/>
              </w:rPr>
              <w:t>标准实施的环境效益与经济技术分析</w:t>
            </w:r>
            <w:r w:rsidR="00EF10CE">
              <w:tab/>
            </w:r>
            <w:r>
              <w:fldChar w:fldCharType="begin"/>
            </w:r>
            <w:r w:rsidR="00EF10CE">
              <w:instrText xml:space="preserve"> PAGEREF _Toc21407 \h </w:instrText>
            </w:r>
            <w:r>
              <w:fldChar w:fldCharType="separate"/>
            </w:r>
            <w:r w:rsidR="00882023">
              <w:rPr>
                <w:noProof/>
              </w:rPr>
              <w:t>7</w:t>
            </w:r>
            <w:r>
              <w:fldChar w:fldCharType="end"/>
            </w:r>
          </w:hyperlink>
        </w:p>
        <w:p w:rsidR="009C1ACE" w:rsidRDefault="009C1ACE">
          <w:pPr>
            <w:pStyle w:val="11"/>
            <w:tabs>
              <w:tab w:val="right" w:leader="dot" w:pos="8306"/>
            </w:tabs>
          </w:pPr>
          <w:hyperlink w:anchor="_Toc18027" w:history="1">
            <w:r w:rsidR="00EF10CE">
              <w:rPr>
                <w:bCs w:val="0"/>
                <w:lang w:val="zh-CN"/>
              </w:rPr>
              <w:t xml:space="preserve">8 </w:t>
            </w:r>
            <w:r w:rsidR="00EF10CE">
              <w:rPr>
                <w:bCs w:val="0"/>
                <w:lang w:val="zh-CN"/>
              </w:rPr>
              <w:t>标准实施建议</w:t>
            </w:r>
            <w:r w:rsidR="00EF10CE">
              <w:tab/>
            </w:r>
            <w:r>
              <w:fldChar w:fldCharType="begin"/>
            </w:r>
            <w:r w:rsidR="00EF10CE">
              <w:instrText xml:space="preserve"> PAGEREF _Toc18027 \h </w:instrText>
            </w:r>
            <w:r>
              <w:fldChar w:fldCharType="separate"/>
            </w:r>
            <w:r w:rsidR="00882023">
              <w:rPr>
                <w:noProof/>
              </w:rPr>
              <w:t>7</w:t>
            </w:r>
            <w:r>
              <w:fldChar w:fldCharType="end"/>
            </w:r>
          </w:hyperlink>
        </w:p>
        <w:p w:rsidR="009C1ACE" w:rsidRDefault="009C1ACE">
          <w:pPr>
            <w:pStyle w:val="11"/>
            <w:tabs>
              <w:tab w:val="right" w:leader="dot" w:pos="8306"/>
            </w:tabs>
          </w:pPr>
          <w:hyperlink w:anchor="_Toc11471" w:history="1">
            <w:r w:rsidR="00EF10CE">
              <w:rPr>
                <w:bCs w:val="0"/>
                <w:lang w:val="zh-CN"/>
              </w:rPr>
              <w:t xml:space="preserve">9 </w:t>
            </w:r>
            <w:r w:rsidR="00EF10CE">
              <w:rPr>
                <w:bCs w:val="0"/>
                <w:lang w:val="zh-CN"/>
              </w:rPr>
              <w:t>征求意见处理情况说明（送审稿）</w:t>
            </w:r>
            <w:r w:rsidR="00EF10CE">
              <w:tab/>
            </w:r>
            <w:r>
              <w:fldChar w:fldCharType="begin"/>
            </w:r>
            <w:r w:rsidR="00EF10CE">
              <w:instrText xml:space="preserve"> PAGEREF _Toc11471 \h </w:instrText>
            </w:r>
            <w:r>
              <w:fldChar w:fldCharType="separate"/>
            </w:r>
            <w:r w:rsidR="00882023">
              <w:rPr>
                <w:noProof/>
              </w:rPr>
              <w:t>8</w:t>
            </w:r>
            <w:r>
              <w:fldChar w:fldCharType="end"/>
            </w:r>
          </w:hyperlink>
        </w:p>
        <w:p w:rsidR="009C1ACE" w:rsidRDefault="009C1ACE">
          <w:pPr>
            <w:pStyle w:val="11"/>
            <w:tabs>
              <w:tab w:val="right" w:leader="dot" w:pos="8306"/>
            </w:tabs>
          </w:pPr>
          <w:hyperlink w:anchor="_Toc5120" w:history="1">
            <w:r w:rsidR="00EF10CE">
              <w:rPr>
                <w:bCs w:val="0"/>
                <w:lang w:val="zh-CN"/>
              </w:rPr>
              <w:t xml:space="preserve">10 </w:t>
            </w:r>
            <w:r w:rsidR="00EF10CE">
              <w:rPr>
                <w:bCs w:val="0"/>
                <w:lang w:val="zh-CN"/>
              </w:rPr>
              <w:t>技术审查工作情况说明（报批稿）</w:t>
            </w:r>
            <w:r w:rsidR="00EF10CE">
              <w:tab/>
            </w:r>
            <w:r>
              <w:fldChar w:fldCharType="begin"/>
            </w:r>
            <w:r w:rsidR="00EF10CE">
              <w:instrText xml:space="preserve"> PAGEREF _Toc5120 \h</w:instrText>
            </w:r>
            <w:r w:rsidR="00EF10CE">
              <w:instrText xml:space="preserve"> </w:instrText>
            </w:r>
            <w:r>
              <w:fldChar w:fldCharType="separate"/>
            </w:r>
            <w:r w:rsidR="00882023">
              <w:rPr>
                <w:noProof/>
              </w:rPr>
              <w:t>8</w:t>
            </w:r>
            <w:r>
              <w:fldChar w:fldCharType="end"/>
            </w:r>
          </w:hyperlink>
        </w:p>
        <w:p w:rsidR="009C1ACE" w:rsidRDefault="009C1ACE">
          <w:pPr>
            <w:jc w:val="center"/>
          </w:pPr>
          <w:r>
            <w:fldChar w:fldCharType="end"/>
          </w:r>
        </w:p>
      </w:sdtContent>
    </w:sdt>
    <w:p w:rsidR="009C1ACE" w:rsidRDefault="009C1ACE">
      <w:pPr>
        <w:autoSpaceDE w:val="0"/>
        <w:autoSpaceDN w:val="0"/>
        <w:spacing w:line="360" w:lineRule="auto"/>
        <w:jc w:val="center"/>
        <w:outlineLvl w:val="0"/>
        <w:rPr>
          <w:rFonts w:eastAsia="仿宋_GB2312"/>
          <w:b/>
          <w:sz w:val="32"/>
          <w:lang w:val="zh-CN"/>
        </w:rPr>
        <w:sectPr w:rsidR="009C1ACE">
          <w:footerReference w:type="default" r:id="rId8"/>
          <w:pgSz w:w="11906" w:h="16838"/>
          <w:pgMar w:top="1440" w:right="1800" w:bottom="1440" w:left="1800" w:header="851" w:footer="992" w:gutter="0"/>
          <w:pgNumType w:start="1"/>
          <w:cols w:space="425"/>
          <w:docGrid w:type="lines" w:linePitch="312"/>
        </w:sectPr>
      </w:pPr>
      <w:bookmarkStart w:id="3" w:name="_Toc17693"/>
      <w:bookmarkStart w:id="4" w:name="_Toc15977"/>
    </w:p>
    <w:p w:rsidR="009C1ACE" w:rsidRDefault="00EF10CE">
      <w:pPr>
        <w:autoSpaceDE w:val="0"/>
        <w:autoSpaceDN w:val="0"/>
        <w:spacing w:line="360" w:lineRule="auto"/>
        <w:jc w:val="center"/>
        <w:outlineLvl w:val="0"/>
        <w:rPr>
          <w:rFonts w:eastAsia="仿宋_GB2312"/>
          <w:b/>
          <w:sz w:val="32"/>
          <w:lang w:val="zh-CN"/>
        </w:rPr>
      </w:pPr>
      <w:bookmarkStart w:id="5" w:name="_Toc1292"/>
      <w:r>
        <w:rPr>
          <w:rFonts w:eastAsia="仿宋_GB2312"/>
          <w:b/>
          <w:sz w:val="32"/>
          <w:lang w:val="zh-CN"/>
        </w:rPr>
        <w:lastRenderedPageBreak/>
        <w:t>《城镇污水处理厂污泥水热深度脱水技术规程》编制说明</w:t>
      </w:r>
      <w:bookmarkEnd w:id="3"/>
      <w:bookmarkEnd w:id="4"/>
      <w:bookmarkEnd w:id="5"/>
    </w:p>
    <w:p w:rsidR="009C1ACE" w:rsidRDefault="00EF10CE">
      <w:pPr>
        <w:pStyle w:val="11"/>
        <w:numPr>
          <w:ilvl w:val="0"/>
          <w:numId w:val="3"/>
        </w:numPr>
        <w:outlineLvl w:val="0"/>
        <w:rPr>
          <w:bCs w:val="0"/>
          <w:lang w:val="zh-CN"/>
        </w:rPr>
      </w:pPr>
      <w:bookmarkStart w:id="6" w:name="_Toc321381672"/>
      <w:bookmarkStart w:id="7" w:name="_Toc30270"/>
      <w:r>
        <w:rPr>
          <w:bCs w:val="0"/>
          <w:lang w:val="zh-CN"/>
        </w:rPr>
        <w:t>任务来源</w:t>
      </w:r>
      <w:bookmarkEnd w:id="6"/>
      <w:bookmarkEnd w:id="7"/>
    </w:p>
    <w:p w:rsidR="009C1ACE" w:rsidRDefault="00EF10CE">
      <w:pPr>
        <w:spacing w:line="300" w:lineRule="auto"/>
        <w:ind w:firstLineChars="200" w:firstLine="400"/>
        <w:rPr>
          <w:sz w:val="20"/>
          <w:szCs w:val="20"/>
        </w:rPr>
      </w:pPr>
      <w:bookmarkStart w:id="8" w:name="_Toc321381927"/>
      <w:bookmarkStart w:id="9" w:name="_Toc321381673"/>
      <w:bookmarkStart w:id="10" w:name="_Toc321381844"/>
      <w:r>
        <w:rPr>
          <w:sz w:val="20"/>
          <w:szCs w:val="20"/>
        </w:rPr>
        <w:t>2022</w:t>
      </w:r>
      <w:r>
        <w:rPr>
          <w:sz w:val="20"/>
          <w:szCs w:val="20"/>
        </w:rPr>
        <w:t>年</w:t>
      </w:r>
      <w:r>
        <w:rPr>
          <w:sz w:val="20"/>
          <w:szCs w:val="20"/>
        </w:rPr>
        <w:t>6</w:t>
      </w:r>
      <w:r>
        <w:rPr>
          <w:sz w:val="20"/>
          <w:szCs w:val="20"/>
        </w:rPr>
        <w:t>月，中华环保联合会下达了</w:t>
      </w:r>
      <w:r>
        <w:rPr>
          <w:sz w:val="20"/>
          <w:szCs w:val="20"/>
        </w:rPr>
        <w:t>“</w:t>
      </w:r>
      <w:r>
        <w:rPr>
          <w:sz w:val="20"/>
          <w:szCs w:val="20"/>
        </w:rPr>
        <w:t>中环联字</w:t>
      </w:r>
      <w:r>
        <w:rPr>
          <w:sz w:val="20"/>
          <w:szCs w:val="20"/>
        </w:rPr>
        <w:t>[2022]128</w:t>
      </w:r>
      <w:r>
        <w:rPr>
          <w:sz w:val="20"/>
          <w:szCs w:val="20"/>
        </w:rPr>
        <w:t>号中华环保联合会关于《乘用车整车制造业（涂装工艺）挥发性有机物排放分级控制指标要求》《城镇污水处理厂污泥沼渣好氧处理技术规范》《城镇污水厂污泥水热深度脱水技术规程》三项</w:t>
      </w:r>
      <w:r>
        <w:rPr>
          <w:rFonts w:hint="eastAsia"/>
          <w:sz w:val="20"/>
          <w:szCs w:val="20"/>
        </w:rPr>
        <w:t>团体</w:t>
      </w:r>
      <w:r>
        <w:rPr>
          <w:sz w:val="20"/>
          <w:szCs w:val="20"/>
        </w:rPr>
        <w:t>标准立项的公告</w:t>
      </w:r>
      <w:r>
        <w:rPr>
          <w:sz w:val="20"/>
          <w:szCs w:val="20"/>
        </w:rPr>
        <w:t>”</w:t>
      </w:r>
      <w:r>
        <w:rPr>
          <w:sz w:val="20"/>
          <w:szCs w:val="20"/>
        </w:rPr>
        <w:t>，</w:t>
      </w:r>
      <w:r>
        <w:rPr>
          <w:rFonts w:hint="eastAsia"/>
          <w:sz w:val="20"/>
          <w:szCs w:val="20"/>
        </w:rPr>
        <w:t>批准</w:t>
      </w:r>
      <w:r>
        <w:rPr>
          <w:sz w:val="20"/>
          <w:szCs w:val="20"/>
        </w:rPr>
        <w:t>《城</w:t>
      </w:r>
      <w:r>
        <w:rPr>
          <w:sz w:val="20"/>
          <w:szCs w:val="20"/>
          <w:lang w:val="zh-CN"/>
        </w:rPr>
        <w:t>镇污水处理厂污泥水热深度脱水技术规程</w:t>
      </w:r>
      <w:r>
        <w:rPr>
          <w:sz w:val="20"/>
          <w:szCs w:val="20"/>
        </w:rPr>
        <w:t>》</w:t>
      </w:r>
      <w:r>
        <w:rPr>
          <w:rFonts w:hint="eastAsia"/>
          <w:sz w:val="20"/>
          <w:szCs w:val="20"/>
        </w:rPr>
        <w:t>团体</w:t>
      </w:r>
      <w:r>
        <w:rPr>
          <w:sz w:val="20"/>
          <w:szCs w:val="20"/>
        </w:rPr>
        <w:t>标准</w:t>
      </w:r>
      <w:r>
        <w:rPr>
          <w:rFonts w:hint="eastAsia"/>
          <w:sz w:val="20"/>
          <w:szCs w:val="20"/>
        </w:rPr>
        <w:t>立项</w:t>
      </w:r>
      <w:r>
        <w:rPr>
          <w:sz w:val="20"/>
          <w:szCs w:val="20"/>
        </w:rPr>
        <w:t>。</w:t>
      </w:r>
      <w:r>
        <w:rPr>
          <w:rFonts w:hint="eastAsia"/>
          <w:sz w:val="20"/>
          <w:szCs w:val="20"/>
        </w:rPr>
        <w:t>标准</w:t>
      </w:r>
      <w:r>
        <w:rPr>
          <w:sz w:val="20"/>
          <w:szCs w:val="20"/>
        </w:rPr>
        <w:t>主要起草单位为同济大学、长江经济带生态环境国家工程研究中心、长江生态环保集团有限公司、上海勘测设计研究院有限公司、深圳市环源科技发展有限公司、上海同济普兰德生物质能股份有限公司、北京汉能清源科技</w:t>
      </w:r>
      <w:r>
        <w:rPr>
          <w:sz w:val="20"/>
          <w:szCs w:val="20"/>
        </w:rPr>
        <w:t>有限公司。</w:t>
      </w:r>
      <w:bookmarkEnd w:id="8"/>
      <w:bookmarkEnd w:id="9"/>
      <w:bookmarkEnd w:id="10"/>
    </w:p>
    <w:p w:rsidR="009C1ACE" w:rsidRDefault="00EF10CE">
      <w:pPr>
        <w:pStyle w:val="11"/>
        <w:numPr>
          <w:ilvl w:val="0"/>
          <w:numId w:val="3"/>
        </w:numPr>
        <w:outlineLvl w:val="0"/>
        <w:rPr>
          <w:bCs w:val="0"/>
        </w:rPr>
      </w:pPr>
      <w:bookmarkStart w:id="11" w:name="_Toc12596"/>
      <w:r>
        <w:rPr>
          <w:bCs w:val="0"/>
        </w:rPr>
        <w:t>标准制定必要性、编制依据</w:t>
      </w:r>
      <w:r>
        <w:rPr>
          <w:bCs w:val="0"/>
        </w:rPr>
        <w:t xml:space="preserve"> </w:t>
      </w:r>
      <w:r>
        <w:rPr>
          <w:bCs w:val="0"/>
        </w:rPr>
        <w:t>、编制原则</w:t>
      </w:r>
      <w:bookmarkEnd w:id="11"/>
    </w:p>
    <w:p w:rsidR="009C1ACE" w:rsidRDefault="00EF10CE">
      <w:pPr>
        <w:pStyle w:val="a9"/>
        <w:numPr>
          <w:ilvl w:val="0"/>
          <w:numId w:val="4"/>
        </w:numPr>
        <w:spacing w:line="300" w:lineRule="auto"/>
        <w:ind w:firstLineChars="0"/>
        <w:rPr>
          <w:sz w:val="20"/>
          <w:szCs w:val="20"/>
        </w:rPr>
      </w:pPr>
      <w:r>
        <w:rPr>
          <w:sz w:val="20"/>
          <w:szCs w:val="20"/>
        </w:rPr>
        <w:t>标准制定的必要性</w:t>
      </w:r>
    </w:p>
    <w:p w:rsidR="009C1ACE" w:rsidRDefault="00EF10CE">
      <w:pPr>
        <w:spacing w:line="300" w:lineRule="auto"/>
        <w:ind w:firstLine="400"/>
        <w:rPr>
          <w:sz w:val="20"/>
          <w:szCs w:val="20"/>
        </w:rPr>
      </w:pPr>
      <w:r>
        <w:rPr>
          <w:sz w:val="20"/>
          <w:szCs w:val="20"/>
        </w:rPr>
        <w:t>城镇污水处理厂污泥深度脱水减量是污泥处理处置的关键。城镇污水处理厂污泥产量大、有机物含量高、具有一定生物活性，细小颗粒造成的可压缩性强、有机质亲水基团对水的高亲和力使得污泥脱水性能较差，实现深度脱水存在困难。传统的化学调理工艺，通过添加有机高分子絮凝剂、无机混凝剂、无机骨架材料降低污泥可压缩性、释放胞外聚合物中水分提高污泥的脱水性能，但要实现深度脱水，药剂投加量大，不利于污泥减量，且大量加药也会影响污泥的后续处置与利用。</w:t>
      </w:r>
    </w:p>
    <w:p w:rsidR="009C1ACE" w:rsidRDefault="00EF10CE">
      <w:pPr>
        <w:spacing w:line="300" w:lineRule="auto"/>
        <w:ind w:firstLine="400"/>
        <w:rPr>
          <w:sz w:val="20"/>
          <w:szCs w:val="20"/>
        </w:rPr>
      </w:pPr>
      <w:r>
        <w:rPr>
          <w:sz w:val="20"/>
          <w:szCs w:val="20"/>
        </w:rPr>
        <w:t>污泥水热调理是一种污泥热调理方式，通过高温高压反应，污泥破壁、絮体结构被破坏，有机质溶出、水解，污泥脱水性能得到极大改善，不需添加药剂即可实现深度脱水，同时可实现杀毒灭菌效果，在污泥减量化、无害化及资源化方面具有较大优势。污泥水热深度脱水工艺目前已实现工程应用，具有推广价值。为了提升污泥水热深度脱水工艺设计及运行管理水平，促进技术推广应用，依据国家和行业相关法律法规和标准规范，编制本</w:t>
      </w:r>
      <w:r>
        <w:rPr>
          <w:rFonts w:hint="eastAsia"/>
          <w:sz w:val="20"/>
          <w:szCs w:val="20"/>
        </w:rPr>
        <w:t>标准</w:t>
      </w:r>
      <w:r>
        <w:rPr>
          <w:sz w:val="20"/>
          <w:szCs w:val="20"/>
        </w:rPr>
        <w:t>。</w:t>
      </w:r>
    </w:p>
    <w:p w:rsidR="009C1ACE" w:rsidRDefault="00EF10CE">
      <w:pPr>
        <w:pStyle w:val="a9"/>
        <w:numPr>
          <w:ilvl w:val="0"/>
          <w:numId w:val="4"/>
        </w:numPr>
        <w:spacing w:line="300" w:lineRule="auto"/>
        <w:ind w:firstLineChars="0"/>
        <w:rPr>
          <w:sz w:val="20"/>
          <w:szCs w:val="20"/>
        </w:rPr>
      </w:pPr>
      <w:r>
        <w:rPr>
          <w:sz w:val="20"/>
          <w:szCs w:val="20"/>
        </w:rPr>
        <w:t>编制依据</w:t>
      </w:r>
    </w:p>
    <w:p w:rsidR="009C1ACE" w:rsidRDefault="00EF10CE">
      <w:pPr>
        <w:spacing w:line="300" w:lineRule="auto"/>
        <w:ind w:firstLine="400"/>
        <w:rPr>
          <w:sz w:val="20"/>
          <w:szCs w:val="20"/>
        </w:rPr>
      </w:pPr>
      <w:r>
        <w:rPr>
          <w:sz w:val="20"/>
          <w:szCs w:val="20"/>
        </w:rPr>
        <w:t>本标准编制参考了国家及行业相关标准，编制依据如下：</w:t>
      </w:r>
    </w:p>
    <w:tbl>
      <w:tblPr>
        <w:tblW w:w="0" w:type="auto"/>
        <w:tblLayout w:type="fixed"/>
        <w:tblLook w:val="04A0"/>
      </w:tblPr>
      <w:tblGrid>
        <w:gridCol w:w="2518"/>
        <w:gridCol w:w="6004"/>
      </w:tblGrid>
      <w:tr w:rsidR="009C1ACE">
        <w:tc>
          <w:tcPr>
            <w:tcW w:w="2518" w:type="dxa"/>
            <w:vAlign w:val="center"/>
          </w:tcPr>
          <w:p w:rsidR="009C1ACE" w:rsidRDefault="00EF10CE">
            <w:pPr>
              <w:spacing w:line="360" w:lineRule="auto"/>
              <w:rPr>
                <w:sz w:val="20"/>
                <w:szCs w:val="20"/>
              </w:rPr>
            </w:pPr>
            <w:r>
              <w:rPr>
                <w:sz w:val="20"/>
                <w:szCs w:val="20"/>
              </w:rPr>
              <w:t>GB150.1~150.4</w:t>
            </w:r>
          </w:p>
        </w:tc>
        <w:tc>
          <w:tcPr>
            <w:tcW w:w="6004" w:type="dxa"/>
            <w:vAlign w:val="center"/>
          </w:tcPr>
          <w:p w:rsidR="009C1ACE" w:rsidRDefault="00EF10CE">
            <w:pPr>
              <w:spacing w:line="360" w:lineRule="auto"/>
              <w:rPr>
                <w:sz w:val="20"/>
                <w:szCs w:val="20"/>
              </w:rPr>
            </w:pPr>
            <w:r>
              <w:rPr>
                <w:rFonts w:hint="eastAsia"/>
                <w:sz w:val="20"/>
                <w:szCs w:val="20"/>
              </w:rPr>
              <w:t>压力容器</w:t>
            </w:r>
          </w:p>
        </w:tc>
      </w:tr>
      <w:tr w:rsidR="009C1ACE">
        <w:tc>
          <w:tcPr>
            <w:tcW w:w="2518" w:type="dxa"/>
            <w:vAlign w:val="center"/>
          </w:tcPr>
          <w:p w:rsidR="009C1ACE" w:rsidRDefault="00EF10CE">
            <w:pPr>
              <w:spacing w:line="360" w:lineRule="auto"/>
              <w:rPr>
                <w:sz w:val="20"/>
                <w:szCs w:val="20"/>
              </w:rPr>
            </w:pPr>
            <w:r>
              <w:rPr>
                <w:sz w:val="20"/>
                <w:szCs w:val="20"/>
              </w:rPr>
              <w:t>GB14554</w:t>
            </w:r>
          </w:p>
        </w:tc>
        <w:tc>
          <w:tcPr>
            <w:tcW w:w="6004" w:type="dxa"/>
            <w:vAlign w:val="center"/>
          </w:tcPr>
          <w:p w:rsidR="009C1ACE" w:rsidRDefault="00EF10CE">
            <w:pPr>
              <w:spacing w:line="360" w:lineRule="auto"/>
              <w:rPr>
                <w:sz w:val="20"/>
                <w:szCs w:val="20"/>
              </w:rPr>
            </w:pPr>
            <w:r>
              <w:rPr>
                <w:rFonts w:hint="eastAsia"/>
                <w:sz w:val="20"/>
                <w:szCs w:val="20"/>
              </w:rPr>
              <w:t>恶臭污染物排放标准</w:t>
            </w:r>
          </w:p>
        </w:tc>
      </w:tr>
      <w:tr w:rsidR="009C1ACE">
        <w:tc>
          <w:tcPr>
            <w:tcW w:w="2518" w:type="dxa"/>
            <w:vAlign w:val="center"/>
          </w:tcPr>
          <w:p w:rsidR="009C1ACE" w:rsidRDefault="00EF10CE">
            <w:pPr>
              <w:spacing w:line="360" w:lineRule="auto"/>
              <w:rPr>
                <w:sz w:val="20"/>
                <w:szCs w:val="20"/>
              </w:rPr>
            </w:pPr>
            <w:r>
              <w:rPr>
                <w:sz w:val="20"/>
                <w:szCs w:val="20"/>
              </w:rPr>
              <w:t>GB24188</w:t>
            </w:r>
          </w:p>
        </w:tc>
        <w:tc>
          <w:tcPr>
            <w:tcW w:w="6004" w:type="dxa"/>
            <w:vAlign w:val="center"/>
          </w:tcPr>
          <w:p w:rsidR="009C1ACE" w:rsidRDefault="00EF10CE">
            <w:pPr>
              <w:spacing w:line="360" w:lineRule="auto"/>
              <w:rPr>
                <w:sz w:val="20"/>
                <w:szCs w:val="20"/>
              </w:rPr>
            </w:pPr>
            <w:r>
              <w:rPr>
                <w:rFonts w:hint="eastAsia"/>
                <w:sz w:val="20"/>
                <w:szCs w:val="20"/>
              </w:rPr>
              <w:t>城镇污水处理厂污泥泥质</w:t>
            </w:r>
          </w:p>
        </w:tc>
      </w:tr>
      <w:tr w:rsidR="009C1ACE">
        <w:tc>
          <w:tcPr>
            <w:tcW w:w="2518" w:type="dxa"/>
            <w:vAlign w:val="center"/>
          </w:tcPr>
          <w:p w:rsidR="009C1ACE" w:rsidRDefault="00EF10CE">
            <w:pPr>
              <w:spacing w:line="360" w:lineRule="auto"/>
              <w:rPr>
                <w:sz w:val="20"/>
                <w:szCs w:val="20"/>
              </w:rPr>
            </w:pPr>
            <w:r>
              <w:rPr>
                <w:sz w:val="20"/>
                <w:szCs w:val="20"/>
              </w:rPr>
              <w:t>GB50014</w:t>
            </w:r>
          </w:p>
        </w:tc>
        <w:tc>
          <w:tcPr>
            <w:tcW w:w="6004" w:type="dxa"/>
            <w:vAlign w:val="center"/>
          </w:tcPr>
          <w:p w:rsidR="009C1ACE" w:rsidRDefault="00EF10CE">
            <w:pPr>
              <w:spacing w:line="360" w:lineRule="auto"/>
              <w:rPr>
                <w:sz w:val="20"/>
                <w:szCs w:val="20"/>
              </w:rPr>
            </w:pPr>
            <w:r>
              <w:rPr>
                <w:rFonts w:hint="eastAsia"/>
                <w:sz w:val="20"/>
                <w:szCs w:val="20"/>
              </w:rPr>
              <w:t>室外排水设计标准</w:t>
            </w:r>
          </w:p>
        </w:tc>
      </w:tr>
      <w:tr w:rsidR="009C1ACE">
        <w:tc>
          <w:tcPr>
            <w:tcW w:w="2518" w:type="dxa"/>
            <w:vAlign w:val="center"/>
          </w:tcPr>
          <w:p w:rsidR="009C1ACE" w:rsidRDefault="00EF10CE">
            <w:pPr>
              <w:spacing w:line="360" w:lineRule="auto"/>
              <w:rPr>
                <w:sz w:val="20"/>
                <w:szCs w:val="20"/>
              </w:rPr>
            </w:pPr>
            <w:r>
              <w:rPr>
                <w:sz w:val="20"/>
                <w:szCs w:val="20"/>
              </w:rPr>
              <w:t>GB50243</w:t>
            </w:r>
          </w:p>
        </w:tc>
        <w:tc>
          <w:tcPr>
            <w:tcW w:w="6004" w:type="dxa"/>
            <w:vAlign w:val="center"/>
          </w:tcPr>
          <w:p w:rsidR="009C1ACE" w:rsidRDefault="00EF10CE">
            <w:pPr>
              <w:spacing w:line="360" w:lineRule="auto"/>
              <w:rPr>
                <w:sz w:val="20"/>
                <w:szCs w:val="20"/>
              </w:rPr>
            </w:pPr>
            <w:r>
              <w:rPr>
                <w:rFonts w:hint="eastAsia"/>
                <w:sz w:val="20"/>
                <w:szCs w:val="20"/>
              </w:rPr>
              <w:t>通风与空调工程施工质量验收规范</w:t>
            </w:r>
          </w:p>
        </w:tc>
      </w:tr>
      <w:tr w:rsidR="009C1ACE">
        <w:tc>
          <w:tcPr>
            <w:tcW w:w="2518" w:type="dxa"/>
            <w:vAlign w:val="center"/>
          </w:tcPr>
          <w:p w:rsidR="009C1ACE" w:rsidRDefault="00EF10CE">
            <w:pPr>
              <w:spacing w:line="360" w:lineRule="auto"/>
              <w:rPr>
                <w:sz w:val="20"/>
                <w:szCs w:val="20"/>
              </w:rPr>
            </w:pPr>
            <w:r>
              <w:rPr>
                <w:sz w:val="20"/>
                <w:szCs w:val="20"/>
              </w:rPr>
              <w:t>GB/T23485</w:t>
            </w:r>
          </w:p>
        </w:tc>
        <w:tc>
          <w:tcPr>
            <w:tcW w:w="6004" w:type="dxa"/>
            <w:vAlign w:val="center"/>
          </w:tcPr>
          <w:p w:rsidR="009C1ACE" w:rsidRDefault="00EF10CE">
            <w:pPr>
              <w:spacing w:line="360" w:lineRule="auto"/>
              <w:rPr>
                <w:sz w:val="20"/>
                <w:szCs w:val="20"/>
              </w:rPr>
            </w:pPr>
            <w:r>
              <w:rPr>
                <w:rFonts w:hint="eastAsia"/>
                <w:sz w:val="20"/>
                <w:szCs w:val="20"/>
              </w:rPr>
              <w:t>城镇污水处理厂污泥处置混合填埋用泥质</w:t>
            </w:r>
          </w:p>
        </w:tc>
      </w:tr>
      <w:tr w:rsidR="009C1ACE">
        <w:tc>
          <w:tcPr>
            <w:tcW w:w="2518" w:type="dxa"/>
            <w:vAlign w:val="center"/>
          </w:tcPr>
          <w:p w:rsidR="009C1ACE" w:rsidRDefault="00EF10CE">
            <w:pPr>
              <w:spacing w:line="360" w:lineRule="auto"/>
              <w:rPr>
                <w:sz w:val="20"/>
                <w:szCs w:val="20"/>
              </w:rPr>
            </w:pPr>
            <w:r>
              <w:rPr>
                <w:sz w:val="20"/>
                <w:szCs w:val="20"/>
              </w:rPr>
              <w:t>GB/T23486</w:t>
            </w:r>
          </w:p>
        </w:tc>
        <w:tc>
          <w:tcPr>
            <w:tcW w:w="6004" w:type="dxa"/>
            <w:vAlign w:val="center"/>
          </w:tcPr>
          <w:p w:rsidR="009C1ACE" w:rsidRDefault="00EF10CE">
            <w:pPr>
              <w:spacing w:line="360" w:lineRule="auto"/>
              <w:rPr>
                <w:sz w:val="20"/>
                <w:szCs w:val="20"/>
              </w:rPr>
            </w:pPr>
            <w:r>
              <w:rPr>
                <w:rFonts w:hint="eastAsia"/>
                <w:sz w:val="20"/>
                <w:szCs w:val="20"/>
              </w:rPr>
              <w:t>城镇污水处理厂污泥处置园林绿化用泥质</w:t>
            </w:r>
          </w:p>
        </w:tc>
      </w:tr>
      <w:tr w:rsidR="009C1ACE">
        <w:tc>
          <w:tcPr>
            <w:tcW w:w="2518" w:type="dxa"/>
            <w:vAlign w:val="center"/>
          </w:tcPr>
          <w:p w:rsidR="009C1ACE" w:rsidRDefault="00EF10CE">
            <w:pPr>
              <w:spacing w:line="360" w:lineRule="auto"/>
              <w:rPr>
                <w:sz w:val="20"/>
                <w:szCs w:val="20"/>
              </w:rPr>
            </w:pPr>
            <w:r>
              <w:rPr>
                <w:sz w:val="20"/>
                <w:szCs w:val="20"/>
              </w:rPr>
              <w:t xml:space="preserve">GB/T24600    </w:t>
            </w:r>
          </w:p>
        </w:tc>
        <w:tc>
          <w:tcPr>
            <w:tcW w:w="6004" w:type="dxa"/>
            <w:vAlign w:val="center"/>
          </w:tcPr>
          <w:p w:rsidR="009C1ACE" w:rsidRDefault="00EF10CE">
            <w:pPr>
              <w:spacing w:line="360" w:lineRule="auto"/>
              <w:rPr>
                <w:sz w:val="20"/>
                <w:szCs w:val="20"/>
              </w:rPr>
            </w:pPr>
            <w:r>
              <w:rPr>
                <w:rFonts w:hint="eastAsia"/>
                <w:sz w:val="20"/>
                <w:szCs w:val="20"/>
              </w:rPr>
              <w:t>城镇污水处理厂污泥处置土地改良用泥质</w:t>
            </w:r>
          </w:p>
        </w:tc>
      </w:tr>
      <w:tr w:rsidR="009C1ACE">
        <w:tc>
          <w:tcPr>
            <w:tcW w:w="2518" w:type="dxa"/>
            <w:vAlign w:val="center"/>
          </w:tcPr>
          <w:p w:rsidR="009C1ACE" w:rsidRDefault="00EF10CE">
            <w:pPr>
              <w:spacing w:line="360" w:lineRule="auto"/>
              <w:rPr>
                <w:sz w:val="20"/>
                <w:szCs w:val="20"/>
              </w:rPr>
            </w:pPr>
            <w:r>
              <w:rPr>
                <w:sz w:val="20"/>
                <w:szCs w:val="20"/>
              </w:rPr>
              <w:lastRenderedPageBreak/>
              <w:t xml:space="preserve">GB/T24602  </w:t>
            </w:r>
          </w:p>
        </w:tc>
        <w:tc>
          <w:tcPr>
            <w:tcW w:w="6004" w:type="dxa"/>
            <w:vAlign w:val="center"/>
          </w:tcPr>
          <w:p w:rsidR="009C1ACE" w:rsidRDefault="00EF10CE">
            <w:pPr>
              <w:spacing w:line="360" w:lineRule="auto"/>
              <w:rPr>
                <w:sz w:val="20"/>
                <w:szCs w:val="20"/>
              </w:rPr>
            </w:pPr>
            <w:r>
              <w:rPr>
                <w:rFonts w:hint="eastAsia"/>
                <w:sz w:val="20"/>
                <w:szCs w:val="20"/>
              </w:rPr>
              <w:t>城镇污水处理厂污泥处置单独焚烧用泥质</w:t>
            </w:r>
          </w:p>
        </w:tc>
      </w:tr>
      <w:tr w:rsidR="009C1ACE">
        <w:tc>
          <w:tcPr>
            <w:tcW w:w="2518" w:type="dxa"/>
            <w:vAlign w:val="center"/>
          </w:tcPr>
          <w:p w:rsidR="009C1ACE" w:rsidRDefault="00EF10CE">
            <w:pPr>
              <w:spacing w:line="360" w:lineRule="auto"/>
              <w:rPr>
                <w:sz w:val="20"/>
                <w:szCs w:val="20"/>
              </w:rPr>
            </w:pPr>
            <w:r>
              <w:rPr>
                <w:sz w:val="20"/>
                <w:szCs w:val="20"/>
              </w:rPr>
              <w:t xml:space="preserve">GB/T25031    </w:t>
            </w:r>
          </w:p>
        </w:tc>
        <w:tc>
          <w:tcPr>
            <w:tcW w:w="6004" w:type="dxa"/>
            <w:vAlign w:val="center"/>
          </w:tcPr>
          <w:p w:rsidR="009C1ACE" w:rsidRDefault="00EF10CE">
            <w:pPr>
              <w:spacing w:line="360" w:lineRule="auto"/>
              <w:rPr>
                <w:sz w:val="20"/>
                <w:szCs w:val="20"/>
              </w:rPr>
            </w:pPr>
            <w:r>
              <w:rPr>
                <w:rFonts w:hint="eastAsia"/>
                <w:sz w:val="20"/>
                <w:szCs w:val="20"/>
              </w:rPr>
              <w:t>城镇污水处理厂污泥处置制砖用泥质</w:t>
            </w:r>
          </w:p>
        </w:tc>
      </w:tr>
      <w:tr w:rsidR="009C1ACE">
        <w:tc>
          <w:tcPr>
            <w:tcW w:w="2518" w:type="dxa"/>
            <w:vAlign w:val="center"/>
          </w:tcPr>
          <w:p w:rsidR="009C1ACE" w:rsidRDefault="00EF10CE">
            <w:pPr>
              <w:spacing w:line="360" w:lineRule="auto"/>
              <w:rPr>
                <w:sz w:val="20"/>
                <w:szCs w:val="20"/>
              </w:rPr>
            </w:pPr>
            <w:r>
              <w:rPr>
                <w:sz w:val="20"/>
                <w:szCs w:val="20"/>
              </w:rPr>
              <w:t xml:space="preserve">CJJ60 </w:t>
            </w:r>
          </w:p>
        </w:tc>
        <w:tc>
          <w:tcPr>
            <w:tcW w:w="6004" w:type="dxa"/>
            <w:vAlign w:val="center"/>
          </w:tcPr>
          <w:p w:rsidR="009C1ACE" w:rsidRDefault="00EF10CE">
            <w:pPr>
              <w:spacing w:line="360" w:lineRule="auto"/>
              <w:rPr>
                <w:sz w:val="20"/>
                <w:szCs w:val="20"/>
              </w:rPr>
            </w:pPr>
            <w:r>
              <w:rPr>
                <w:rFonts w:hint="eastAsia"/>
                <w:sz w:val="20"/>
                <w:szCs w:val="20"/>
              </w:rPr>
              <w:t>城镇污水处理厂运行、维护及安全技术规程</w:t>
            </w:r>
          </w:p>
        </w:tc>
      </w:tr>
      <w:tr w:rsidR="009C1ACE">
        <w:tc>
          <w:tcPr>
            <w:tcW w:w="2518" w:type="dxa"/>
            <w:vAlign w:val="center"/>
          </w:tcPr>
          <w:p w:rsidR="009C1ACE" w:rsidRDefault="00EF10CE">
            <w:pPr>
              <w:spacing w:line="360" w:lineRule="auto"/>
              <w:rPr>
                <w:sz w:val="20"/>
                <w:szCs w:val="20"/>
              </w:rPr>
            </w:pPr>
            <w:r>
              <w:rPr>
                <w:sz w:val="20"/>
                <w:szCs w:val="20"/>
              </w:rPr>
              <w:t>CJJ/T243</w:t>
            </w:r>
          </w:p>
        </w:tc>
        <w:tc>
          <w:tcPr>
            <w:tcW w:w="6004" w:type="dxa"/>
            <w:vAlign w:val="center"/>
          </w:tcPr>
          <w:p w:rsidR="009C1ACE" w:rsidRDefault="00EF10CE">
            <w:pPr>
              <w:spacing w:line="360" w:lineRule="auto"/>
              <w:rPr>
                <w:sz w:val="20"/>
                <w:szCs w:val="20"/>
              </w:rPr>
            </w:pPr>
            <w:r>
              <w:rPr>
                <w:rFonts w:hint="eastAsia"/>
                <w:sz w:val="20"/>
                <w:szCs w:val="20"/>
              </w:rPr>
              <w:t>城镇污水处理厂臭气处理技术规程</w:t>
            </w:r>
          </w:p>
        </w:tc>
      </w:tr>
      <w:tr w:rsidR="009C1ACE">
        <w:tc>
          <w:tcPr>
            <w:tcW w:w="2518" w:type="dxa"/>
            <w:vAlign w:val="center"/>
          </w:tcPr>
          <w:p w:rsidR="009C1ACE" w:rsidRDefault="00EF10CE">
            <w:pPr>
              <w:spacing w:line="360" w:lineRule="auto"/>
              <w:rPr>
                <w:sz w:val="20"/>
                <w:szCs w:val="20"/>
              </w:rPr>
            </w:pPr>
            <w:r>
              <w:rPr>
                <w:sz w:val="20"/>
                <w:szCs w:val="20"/>
              </w:rPr>
              <w:t xml:space="preserve">CJ/T314  </w:t>
            </w:r>
          </w:p>
        </w:tc>
        <w:tc>
          <w:tcPr>
            <w:tcW w:w="6004" w:type="dxa"/>
            <w:vAlign w:val="center"/>
          </w:tcPr>
          <w:p w:rsidR="009C1ACE" w:rsidRDefault="00EF10CE">
            <w:pPr>
              <w:spacing w:line="360" w:lineRule="auto"/>
              <w:rPr>
                <w:sz w:val="20"/>
                <w:szCs w:val="20"/>
              </w:rPr>
            </w:pPr>
            <w:r>
              <w:rPr>
                <w:rFonts w:hint="eastAsia"/>
                <w:sz w:val="20"/>
                <w:szCs w:val="20"/>
              </w:rPr>
              <w:t>城镇污水处理厂污泥处置水泥熟料生产用泥质</w:t>
            </w:r>
          </w:p>
        </w:tc>
      </w:tr>
      <w:tr w:rsidR="009C1ACE">
        <w:tc>
          <w:tcPr>
            <w:tcW w:w="2518" w:type="dxa"/>
            <w:vAlign w:val="center"/>
          </w:tcPr>
          <w:p w:rsidR="009C1ACE" w:rsidRDefault="00EF10CE">
            <w:pPr>
              <w:spacing w:line="360" w:lineRule="auto"/>
              <w:rPr>
                <w:sz w:val="20"/>
                <w:szCs w:val="20"/>
              </w:rPr>
            </w:pPr>
            <w:r>
              <w:rPr>
                <w:sz w:val="20"/>
                <w:szCs w:val="20"/>
              </w:rPr>
              <w:t xml:space="preserve">CJ/T362    </w:t>
            </w:r>
          </w:p>
        </w:tc>
        <w:tc>
          <w:tcPr>
            <w:tcW w:w="6004" w:type="dxa"/>
            <w:vAlign w:val="center"/>
          </w:tcPr>
          <w:p w:rsidR="009C1ACE" w:rsidRDefault="00EF10CE">
            <w:pPr>
              <w:spacing w:line="360" w:lineRule="auto"/>
              <w:rPr>
                <w:sz w:val="20"/>
                <w:szCs w:val="20"/>
              </w:rPr>
            </w:pPr>
            <w:r>
              <w:rPr>
                <w:rFonts w:hint="eastAsia"/>
                <w:sz w:val="20"/>
                <w:szCs w:val="20"/>
              </w:rPr>
              <w:t>城镇污水处理厂污泥处置林地用泥质</w:t>
            </w:r>
          </w:p>
        </w:tc>
      </w:tr>
      <w:tr w:rsidR="009C1ACE">
        <w:tc>
          <w:tcPr>
            <w:tcW w:w="2518" w:type="dxa"/>
          </w:tcPr>
          <w:p w:rsidR="009C1ACE" w:rsidRDefault="00EF10CE">
            <w:pPr>
              <w:spacing w:line="360" w:lineRule="auto"/>
              <w:rPr>
                <w:sz w:val="20"/>
                <w:szCs w:val="20"/>
              </w:rPr>
            </w:pPr>
            <w:r>
              <w:rPr>
                <w:sz w:val="20"/>
                <w:szCs w:val="20"/>
              </w:rPr>
              <w:t>JB/T4333.1~4333.4</w:t>
            </w:r>
          </w:p>
        </w:tc>
        <w:tc>
          <w:tcPr>
            <w:tcW w:w="6004" w:type="dxa"/>
          </w:tcPr>
          <w:p w:rsidR="009C1ACE" w:rsidRDefault="00EF10CE">
            <w:pPr>
              <w:spacing w:line="360" w:lineRule="auto"/>
              <w:rPr>
                <w:sz w:val="20"/>
                <w:szCs w:val="20"/>
              </w:rPr>
            </w:pPr>
            <w:r>
              <w:rPr>
                <w:rFonts w:hint="eastAsia"/>
                <w:sz w:val="20"/>
                <w:szCs w:val="20"/>
              </w:rPr>
              <w:t>厢式压滤机和板框压滤机</w:t>
            </w:r>
          </w:p>
        </w:tc>
      </w:tr>
      <w:tr w:rsidR="009C1ACE">
        <w:tc>
          <w:tcPr>
            <w:tcW w:w="2518" w:type="dxa"/>
          </w:tcPr>
          <w:p w:rsidR="009C1ACE" w:rsidRDefault="00EF10CE">
            <w:pPr>
              <w:spacing w:line="360" w:lineRule="auto"/>
              <w:rPr>
                <w:sz w:val="20"/>
                <w:szCs w:val="20"/>
              </w:rPr>
            </w:pPr>
            <w:r>
              <w:rPr>
                <w:sz w:val="20"/>
                <w:szCs w:val="20"/>
              </w:rPr>
              <w:t>TSG08</w:t>
            </w:r>
          </w:p>
        </w:tc>
        <w:tc>
          <w:tcPr>
            <w:tcW w:w="6004" w:type="dxa"/>
          </w:tcPr>
          <w:p w:rsidR="009C1ACE" w:rsidRDefault="00EF10CE">
            <w:pPr>
              <w:spacing w:line="360" w:lineRule="auto"/>
              <w:rPr>
                <w:sz w:val="20"/>
                <w:szCs w:val="20"/>
              </w:rPr>
            </w:pPr>
            <w:r>
              <w:rPr>
                <w:rFonts w:hint="eastAsia"/>
                <w:sz w:val="20"/>
                <w:szCs w:val="20"/>
              </w:rPr>
              <w:t>特种设备使用管理规则</w:t>
            </w:r>
          </w:p>
        </w:tc>
      </w:tr>
      <w:tr w:rsidR="009C1ACE">
        <w:tc>
          <w:tcPr>
            <w:tcW w:w="2518" w:type="dxa"/>
          </w:tcPr>
          <w:p w:rsidR="009C1ACE" w:rsidRDefault="00EF10CE">
            <w:pPr>
              <w:spacing w:line="360" w:lineRule="auto"/>
              <w:rPr>
                <w:sz w:val="20"/>
                <w:szCs w:val="20"/>
              </w:rPr>
            </w:pPr>
            <w:r>
              <w:rPr>
                <w:sz w:val="20"/>
                <w:szCs w:val="20"/>
              </w:rPr>
              <w:t>TSG21</w:t>
            </w:r>
          </w:p>
        </w:tc>
        <w:tc>
          <w:tcPr>
            <w:tcW w:w="6004" w:type="dxa"/>
          </w:tcPr>
          <w:p w:rsidR="009C1ACE" w:rsidRDefault="00EF10CE">
            <w:pPr>
              <w:spacing w:line="360" w:lineRule="auto"/>
              <w:rPr>
                <w:sz w:val="20"/>
                <w:szCs w:val="20"/>
              </w:rPr>
            </w:pPr>
            <w:r>
              <w:rPr>
                <w:rFonts w:hint="eastAsia"/>
                <w:sz w:val="20"/>
                <w:szCs w:val="20"/>
              </w:rPr>
              <w:t>固定式压力容器安全技术监察规程</w:t>
            </w:r>
          </w:p>
        </w:tc>
      </w:tr>
      <w:tr w:rsidR="009C1ACE">
        <w:tc>
          <w:tcPr>
            <w:tcW w:w="2518" w:type="dxa"/>
          </w:tcPr>
          <w:p w:rsidR="009C1ACE" w:rsidRDefault="00EF10CE">
            <w:pPr>
              <w:spacing w:line="360" w:lineRule="auto"/>
              <w:rPr>
                <w:sz w:val="20"/>
                <w:szCs w:val="20"/>
              </w:rPr>
            </w:pPr>
            <w:r>
              <w:rPr>
                <w:sz w:val="20"/>
                <w:szCs w:val="20"/>
              </w:rPr>
              <w:t>08R418-1</w:t>
            </w:r>
          </w:p>
        </w:tc>
        <w:tc>
          <w:tcPr>
            <w:tcW w:w="6004" w:type="dxa"/>
          </w:tcPr>
          <w:p w:rsidR="009C1ACE" w:rsidRDefault="00EF10CE">
            <w:pPr>
              <w:spacing w:line="360" w:lineRule="auto"/>
              <w:rPr>
                <w:sz w:val="20"/>
                <w:szCs w:val="20"/>
              </w:rPr>
            </w:pPr>
            <w:r>
              <w:rPr>
                <w:rFonts w:hint="eastAsia"/>
                <w:sz w:val="20"/>
                <w:szCs w:val="20"/>
              </w:rPr>
              <w:t>管道与设备绝热</w:t>
            </w:r>
            <w:r>
              <w:rPr>
                <w:sz w:val="20"/>
                <w:szCs w:val="20"/>
              </w:rPr>
              <w:t>-</w:t>
            </w:r>
            <w:r>
              <w:rPr>
                <w:rFonts w:hint="eastAsia"/>
                <w:sz w:val="20"/>
                <w:szCs w:val="20"/>
              </w:rPr>
              <w:t>保温</w:t>
            </w:r>
          </w:p>
        </w:tc>
      </w:tr>
    </w:tbl>
    <w:p w:rsidR="009C1ACE" w:rsidRDefault="009C1ACE">
      <w:pPr>
        <w:spacing w:line="300" w:lineRule="auto"/>
        <w:ind w:left="400"/>
        <w:rPr>
          <w:sz w:val="20"/>
          <w:szCs w:val="20"/>
        </w:rPr>
      </w:pPr>
    </w:p>
    <w:p w:rsidR="009C1ACE" w:rsidRDefault="00EF10CE">
      <w:pPr>
        <w:pStyle w:val="a9"/>
        <w:numPr>
          <w:ilvl w:val="0"/>
          <w:numId w:val="4"/>
        </w:numPr>
        <w:spacing w:line="300" w:lineRule="auto"/>
        <w:ind w:firstLineChars="0"/>
        <w:rPr>
          <w:sz w:val="20"/>
          <w:szCs w:val="20"/>
        </w:rPr>
      </w:pPr>
      <w:r>
        <w:rPr>
          <w:sz w:val="20"/>
          <w:szCs w:val="20"/>
        </w:rPr>
        <w:t>编制原则</w:t>
      </w:r>
    </w:p>
    <w:p w:rsidR="009C1ACE" w:rsidRDefault="00EF10CE">
      <w:pPr>
        <w:tabs>
          <w:tab w:val="left" w:pos="1440"/>
        </w:tabs>
        <w:spacing w:line="300" w:lineRule="auto"/>
        <w:ind w:firstLineChars="200" w:firstLine="400"/>
        <w:rPr>
          <w:sz w:val="20"/>
          <w:szCs w:val="20"/>
        </w:rPr>
      </w:pPr>
      <w:r>
        <w:rPr>
          <w:sz w:val="20"/>
          <w:szCs w:val="20"/>
        </w:rPr>
        <w:t>统一性原则：标准内文体、术语保持一致。</w:t>
      </w:r>
    </w:p>
    <w:p w:rsidR="009C1ACE" w:rsidRDefault="00EF10CE">
      <w:pPr>
        <w:spacing w:line="300" w:lineRule="auto"/>
        <w:ind w:firstLineChars="200" w:firstLine="400"/>
        <w:rPr>
          <w:sz w:val="20"/>
          <w:szCs w:val="20"/>
        </w:rPr>
      </w:pPr>
      <w:r>
        <w:rPr>
          <w:sz w:val="20"/>
          <w:szCs w:val="20"/>
        </w:rPr>
        <w:t>协调性原则：标准与现行基础标准内容相协调；标准与上级或同级标准之间相协调；标准与非本专业、非本行业标准之间相协调。</w:t>
      </w:r>
    </w:p>
    <w:p w:rsidR="009C1ACE" w:rsidRDefault="00EF10CE">
      <w:pPr>
        <w:spacing w:line="300" w:lineRule="auto"/>
        <w:ind w:firstLineChars="200" w:firstLine="400"/>
        <w:rPr>
          <w:sz w:val="20"/>
          <w:szCs w:val="20"/>
        </w:rPr>
      </w:pPr>
      <w:r>
        <w:rPr>
          <w:bCs/>
          <w:sz w:val="20"/>
          <w:szCs w:val="20"/>
        </w:rPr>
        <w:t>适用性原则</w:t>
      </w:r>
      <w:r>
        <w:rPr>
          <w:sz w:val="20"/>
          <w:szCs w:val="20"/>
        </w:rPr>
        <w:t>：所制定标准条款考虑</w:t>
      </w:r>
      <w:r>
        <w:rPr>
          <w:bCs/>
          <w:sz w:val="20"/>
          <w:szCs w:val="20"/>
        </w:rPr>
        <w:t>可操作性、</w:t>
      </w:r>
      <w:r>
        <w:rPr>
          <w:sz w:val="20"/>
          <w:szCs w:val="20"/>
        </w:rPr>
        <w:t>易于实施；标准的内容便于被其他文件如其他标准、法律、法规或规章所</w:t>
      </w:r>
      <w:r>
        <w:rPr>
          <w:bCs/>
          <w:sz w:val="20"/>
          <w:szCs w:val="20"/>
        </w:rPr>
        <w:t>引用</w:t>
      </w:r>
      <w:r>
        <w:rPr>
          <w:sz w:val="20"/>
          <w:szCs w:val="20"/>
        </w:rPr>
        <w:t>。</w:t>
      </w:r>
    </w:p>
    <w:p w:rsidR="009C1ACE" w:rsidRDefault="00EF10CE">
      <w:pPr>
        <w:spacing w:line="300" w:lineRule="auto"/>
        <w:ind w:firstLineChars="200" w:firstLine="400"/>
        <w:rPr>
          <w:sz w:val="20"/>
          <w:szCs w:val="20"/>
        </w:rPr>
      </w:pPr>
      <w:r>
        <w:rPr>
          <w:bCs/>
          <w:sz w:val="20"/>
          <w:szCs w:val="20"/>
        </w:rPr>
        <w:t>规范性原则</w:t>
      </w:r>
      <w:r>
        <w:rPr>
          <w:sz w:val="20"/>
          <w:szCs w:val="20"/>
        </w:rPr>
        <w:t>：确定标准的整体结构、层次和相应内容，将相对独立的技术内容用独立的部分来规定，并应将每部分标准的名称、内容、关系、顺序等做好安排；按照标准制、修订工作程序制定标准；</w:t>
      </w:r>
      <w:r>
        <w:rPr>
          <w:rFonts w:hint="eastAsia"/>
          <w:sz w:val="20"/>
          <w:szCs w:val="20"/>
        </w:rPr>
        <w:t>符</w:t>
      </w:r>
      <w:r>
        <w:rPr>
          <w:sz w:val="20"/>
          <w:szCs w:val="20"/>
        </w:rPr>
        <w:t>合有关的法律法规及标准编写的规定。</w:t>
      </w:r>
    </w:p>
    <w:p w:rsidR="009C1ACE" w:rsidRDefault="00EF10CE">
      <w:pPr>
        <w:pStyle w:val="11"/>
        <w:numPr>
          <w:ilvl w:val="0"/>
          <w:numId w:val="3"/>
        </w:numPr>
        <w:outlineLvl w:val="0"/>
        <w:rPr>
          <w:bCs w:val="0"/>
          <w:lang w:val="zh-CN"/>
        </w:rPr>
      </w:pPr>
      <w:bookmarkStart w:id="12" w:name="_Toc27293"/>
      <w:r>
        <w:rPr>
          <w:bCs w:val="0"/>
          <w:lang w:val="zh-CN"/>
        </w:rPr>
        <w:t>主要工作过程</w:t>
      </w:r>
      <w:bookmarkEnd w:id="12"/>
    </w:p>
    <w:p w:rsidR="009C1ACE" w:rsidRDefault="00EF10CE">
      <w:pPr>
        <w:spacing w:line="300" w:lineRule="auto"/>
        <w:ind w:firstLineChars="200" w:firstLine="400"/>
        <w:rPr>
          <w:sz w:val="20"/>
          <w:szCs w:val="20"/>
        </w:rPr>
      </w:pPr>
      <w:r>
        <w:rPr>
          <w:sz w:val="20"/>
          <w:szCs w:val="20"/>
        </w:rPr>
        <w:t>1</w:t>
      </w:r>
      <w:r>
        <w:rPr>
          <w:sz w:val="20"/>
          <w:szCs w:val="20"/>
        </w:rPr>
        <w:t>）</w:t>
      </w:r>
      <w:r>
        <w:rPr>
          <w:sz w:val="20"/>
          <w:szCs w:val="20"/>
        </w:rPr>
        <w:t>2022</w:t>
      </w:r>
      <w:r>
        <w:rPr>
          <w:sz w:val="20"/>
          <w:szCs w:val="20"/>
        </w:rPr>
        <w:t>年</w:t>
      </w:r>
      <w:r>
        <w:rPr>
          <w:sz w:val="20"/>
          <w:szCs w:val="20"/>
        </w:rPr>
        <w:t>4</w:t>
      </w:r>
      <w:r>
        <w:rPr>
          <w:sz w:val="20"/>
          <w:szCs w:val="20"/>
        </w:rPr>
        <w:t>月成立标准编制组，</w:t>
      </w:r>
      <w:r>
        <w:rPr>
          <w:sz w:val="20"/>
          <w:szCs w:val="20"/>
        </w:rPr>
        <w:t>2022</w:t>
      </w:r>
      <w:r>
        <w:rPr>
          <w:sz w:val="20"/>
          <w:szCs w:val="20"/>
        </w:rPr>
        <w:t>年</w:t>
      </w:r>
      <w:r>
        <w:rPr>
          <w:sz w:val="20"/>
          <w:szCs w:val="20"/>
        </w:rPr>
        <w:t>4</w:t>
      </w:r>
      <w:r>
        <w:rPr>
          <w:sz w:val="20"/>
          <w:szCs w:val="20"/>
        </w:rPr>
        <w:t>月</w:t>
      </w:r>
      <w:r>
        <w:rPr>
          <w:sz w:val="20"/>
          <w:szCs w:val="20"/>
        </w:rPr>
        <w:t>24</w:t>
      </w:r>
      <w:r>
        <w:rPr>
          <w:sz w:val="20"/>
          <w:szCs w:val="20"/>
        </w:rPr>
        <w:t>日召开组内讨论会，并形成标准编制框架，提交中华环保联合会审查。</w:t>
      </w:r>
    </w:p>
    <w:p w:rsidR="009C1ACE" w:rsidRDefault="00EF10CE">
      <w:pPr>
        <w:spacing w:line="300" w:lineRule="auto"/>
        <w:ind w:firstLineChars="200" w:firstLine="400"/>
        <w:rPr>
          <w:sz w:val="20"/>
          <w:szCs w:val="20"/>
        </w:rPr>
      </w:pPr>
      <w:r>
        <w:rPr>
          <w:sz w:val="20"/>
          <w:szCs w:val="20"/>
        </w:rPr>
        <w:t>2</w:t>
      </w:r>
      <w:r>
        <w:rPr>
          <w:sz w:val="20"/>
          <w:szCs w:val="20"/>
        </w:rPr>
        <w:t>）</w:t>
      </w:r>
      <w:r>
        <w:rPr>
          <w:sz w:val="20"/>
          <w:szCs w:val="20"/>
        </w:rPr>
        <w:t>2022</w:t>
      </w:r>
      <w:r>
        <w:rPr>
          <w:sz w:val="20"/>
          <w:szCs w:val="20"/>
        </w:rPr>
        <w:t>年</w:t>
      </w:r>
      <w:r>
        <w:rPr>
          <w:sz w:val="20"/>
          <w:szCs w:val="20"/>
        </w:rPr>
        <w:t>5</w:t>
      </w:r>
      <w:r>
        <w:rPr>
          <w:sz w:val="20"/>
          <w:szCs w:val="20"/>
        </w:rPr>
        <w:t>月</w:t>
      </w:r>
      <w:r>
        <w:rPr>
          <w:sz w:val="20"/>
          <w:szCs w:val="20"/>
        </w:rPr>
        <w:t>31</w:t>
      </w:r>
      <w:r>
        <w:rPr>
          <w:sz w:val="20"/>
          <w:szCs w:val="20"/>
        </w:rPr>
        <w:t>日中华环保联合会组织召开立项评审会，根据专家意见标准名称修改为《城镇污水处理厂污泥水热深度脱水技术规程》。</w:t>
      </w:r>
    </w:p>
    <w:p w:rsidR="009C1ACE" w:rsidRDefault="00EF10CE">
      <w:pPr>
        <w:spacing w:line="300" w:lineRule="auto"/>
        <w:ind w:firstLineChars="200" w:firstLine="400"/>
        <w:rPr>
          <w:sz w:val="20"/>
          <w:szCs w:val="20"/>
        </w:rPr>
      </w:pPr>
      <w:r>
        <w:rPr>
          <w:sz w:val="20"/>
          <w:szCs w:val="20"/>
        </w:rPr>
        <w:t>4</w:t>
      </w:r>
      <w:r>
        <w:rPr>
          <w:sz w:val="20"/>
          <w:szCs w:val="20"/>
        </w:rPr>
        <w:t>）</w:t>
      </w:r>
      <w:r>
        <w:rPr>
          <w:sz w:val="20"/>
          <w:szCs w:val="20"/>
        </w:rPr>
        <w:t>2022</w:t>
      </w:r>
      <w:r>
        <w:rPr>
          <w:sz w:val="20"/>
          <w:szCs w:val="20"/>
        </w:rPr>
        <w:t>年</w:t>
      </w:r>
      <w:r>
        <w:rPr>
          <w:sz w:val="20"/>
          <w:szCs w:val="20"/>
        </w:rPr>
        <w:t>6</w:t>
      </w:r>
      <w:r>
        <w:rPr>
          <w:sz w:val="20"/>
          <w:szCs w:val="20"/>
        </w:rPr>
        <w:t>月</w:t>
      </w:r>
      <w:r>
        <w:rPr>
          <w:sz w:val="20"/>
          <w:szCs w:val="20"/>
        </w:rPr>
        <w:t>10</w:t>
      </w:r>
      <w:r>
        <w:rPr>
          <w:sz w:val="20"/>
          <w:szCs w:val="20"/>
        </w:rPr>
        <w:t>日，中华环保联合会发布中环联字</w:t>
      </w:r>
      <w:r>
        <w:rPr>
          <w:sz w:val="20"/>
          <w:szCs w:val="20"/>
        </w:rPr>
        <w:t>[2022]128</w:t>
      </w:r>
      <w:r>
        <w:rPr>
          <w:sz w:val="20"/>
          <w:szCs w:val="20"/>
        </w:rPr>
        <w:t>号文件，公告《城镇污水厂污泥水热深度脱水技术规程》通过立项审查，批准立项。</w:t>
      </w:r>
    </w:p>
    <w:p w:rsidR="009C1ACE" w:rsidRDefault="00EF10CE">
      <w:pPr>
        <w:spacing w:line="300" w:lineRule="auto"/>
        <w:ind w:firstLineChars="200" w:firstLine="400"/>
        <w:rPr>
          <w:sz w:val="20"/>
          <w:szCs w:val="20"/>
        </w:rPr>
      </w:pPr>
      <w:r>
        <w:rPr>
          <w:sz w:val="20"/>
          <w:szCs w:val="20"/>
        </w:rPr>
        <w:t>5</w:t>
      </w:r>
      <w:r>
        <w:rPr>
          <w:sz w:val="20"/>
          <w:szCs w:val="20"/>
        </w:rPr>
        <w:t>）</w:t>
      </w:r>
      <w:r>
        <w:rPr>
          <w:sz w:val="20"/>
          <w:szCs w:val="20"/>
        </w:rPr>
        <w:t>2023</w:t>
      </w:r>
      <w:r>
        <w:rPr>
          <w:sz w:val="20"/>
          <w:szCs w:val="20"/>
        </w:rPr>
        <w:t>年</w:t>
      </w:r>
      <w:r>
        <w:rPr>
          <w:sz w:val="20"/>
          <w:szCs w:val="20"/>
        </w:rPr>
        <w:t>4</w:t>
      </w:r>
      <w:r>
        <w:rPr>
          <w:sz w:val="20"/>
          <w:szCs w:val="20"/>
        </w:rPr>
        <w:t>月</w:t>
      </w:r>
      <w:r>
        <w:rPr>
          <w:rFonts w:hint="eastAsia"/>
          <w:sz w:val="20"/>
          <w:szCs w:val="20"/>
        </w:rPr>
        <w:t>25</w:t>
      </w:r>
      <w:r>
        <w:rPr>
          <w:rFonts w:hint="eastAsia"/>
          <w:sz w:val="20"/>
          <w:szCs w:val="20"/>
        </w:rPr>
        <w:t>日</w:t>
      </w:r>
      <w:r>
        <w:rPr>
          <w:sz w:val="20"/>
          <w:szCs w:val="20"/>
        </w:rPr>
        <w:t>，编制组完成标准</w:t>
      </w:r>
      <w:r>
        <w:rPr>
          <w:rFonts w:hint="eastAsia"/>
          <w:sz w:val="20"/>
          <w:szCs w:val="20"/>
        </w:rPr>
        <w:t>编制</w:t>
      </w:r>
      <w:r>
        <w:rPr>
          <w:sz w:val="20"/>
          <w:szCs w:val="20"/>
        </w:rPr>
        <w:t>，</w:t>
      </w:r>
      <w:r>
        <w:rPr>
          <w:rFonts w:hint="eastAsia"/>
          <w:sz w:val="20"/>
          <w:szCs w:val="20"/>
        </w:rPr>
        <w:t>召开专家审查会。</w:t>
      </w:r>
    </w:p>
    <w:p w:rsidR="009C1ACE" w:rsidRDefault="00EF10CE">
      <w:pPr>
        <w:pStyle w:val="11"/>
        <w:numPr>
          <w:ilvl w:val="0"/>
          <w:numId w:val="3"/>
        </w:numPr>
        <w:outlineLvl w:val="0"/>
        <w:rPr>
          <w:bCs w:val="0"/>
          <w:lang w:val="zh-CN"/>
        </w:rPr>
      </w:pPr>
      <w:bookmarkStart w:id="13" w:name="_Toc32180"/>
      <w:r>
        <w:rPr>
          <w:bCs w:val="0"/>
        </w:rPr>
        <w:t>国内外相关标准研究</w:t>
      </w:r>
      <w:bookmarkEnd w:id="13"/>
    </w:p>
    <w:p w:rsidR="009C1ACE" w:rsidRDefault="00EF10CE">
      <w:pPr>
        <w:spacing w:line="300" w:lineRule="auto"/>
        <w:ind w:firstLineChars="200" w:firstLine="400"/>
        <w:rPr>
          <w:sz w:val="20"/>
          <w:szCs w:val="20"/>
        </w:rPr>
      </w:pPr>
      <w:r>
        <w:rPr>
          <w:sz w:val="20"/>
          <w:szCs w:val="20"/>
        </w:rPr>
        <w:t>目前国内已发布的污泥深度脱水相关标准</w:t>
      </w:r>
      <w:r>
        <w:rPr>
          <w:sz w:val="20"/>
          <w:szCs w:val="20"/>
        </w:rPr>
        <w:t>包括《室外排水设计标准》</w:t>
      </w:r>
      <w:r>
        <w:rPr>
          <w:sz w:val="20"/>
          <w:szCs w:val="20"/>
        </w:rPr>
        <w:t>GB50014</w:t>
      </w:r>
      <w:r>
        <w:rPr>
          <w:sz w:val="20"/>
          <w:szCs w:val="20"/>
        </w:rPr>
        <w:t>、《城镇污水处理厂污泥深度脱水工艺设计与运行管理指南》</w:t>
      </w:r>
      <w:r>
        <w:rPr>
          <w:sz w:val="20"/>
          <w:szCs w:val="20"/>
        </w:rPr>
        <w:t>TCECS20005-2021</w:t>
      </w:r>
      <w:r>
        <w:rPr>
          <w:sz w:val="20"/>
          <w:szCs w:val="20"/>
        </w:rPr>
        <w:t>、《城镇污水处理厂污泥隔膜压滤深度脱水技术规程》</w:t>
      </w:r>
      <w:r>
        <w:rPr>
          <w:sz w:val="20"/>
          <w:szCs w:val="20"/>
        </w:rPr>
        <w:t>TCECS 537-2018</w:t>
      </w:r>
      <w:r>
        <w:rPr>
          <w:sz w:val="20"/>
          <w:szCs w:val="20"/>
        </w:rPr>
        <w:t>。《室外排水设计标准》</w:t>
      </w:r>
      <w:r>
        <w:rPr>
          <w:sz w:val="20"/>
          <w:szCs w:val="20"/>
        </w:rPr>
        <w:t>GB50014</w:t>
      </w:r>
      <w:r>
        <w:rPr>
          <w:sz w:val="20"/>
          <w:szCs w:val="20"/>
        </w:rPr>
        <w:t>是住房与城乡建设部与国家市场监督管理总局联合发布的用于全面指导室外排水工程设计的国家标准。污泥处理和</w:t>
      </w:r>
      <w:r>
        <w:rPr>
          <w:sz w:val="20"/>
          <w:szCs w:val="20"/>
        </w:rPr>
        <w:lastRenderedPageBreak/>
        <w:t>处置</w:t>
      </w:r>
      <w:r>
        <w:rPr>
          <w:rFonts w:hint="eastAsia"/>
          <w:sz w:val="20"/>
          <w:szCs w:val="20"/>
        </w:rPr>
        <w:t>是</w:t>
      </w:r>
      <w:r>
        <w:rPr>
          <w:sz w:val="20"/>
          <w:szCs w:val="20"/>
        </w:rPr>
        <w:t>污水处理的重要环节，标准第</w:t>
      </w:r>
      <w:r>
        <w:rPr>
          <w:sz w:val="20"/>
          <w:szCs w:val="20"/>
        </w:rPr>
        <w:t>8</w:t>
      </w:r>
      <w:r>
        <w:rPr>
          <w:sz w:val="20"/>
          <w:szCs w:val="20"/>
        </w:rPr>
        <w:t>章规定了污泥处理处置相关技术要求。其中</w:t>
      </w:r>
      <w:r>
        <w:rPr>
          <w:sz w:val="20"/>
          <w:szCs w:val="20"/>
        </w:rPr>
        <w:t>8.5</w:t>
      </w:r>
      <w:r>
        <w:rPr>
          <w:sz w:val="20"/>
          <w:szCs w:val="20"/>
        </w:rPr>
        <w:t>章节污泥机械脱水提出了压滤机脱水、离心机脱水的设计规定、技术要求及相关参数，并特别强调用于深度脱水时</w:t>
      </w:r>
      <w:r>
        <w:rPr>
          <w:sz w:val="20"/>
          <w:szCs w:val="20"/>
        </w:rPr>
        <w:t>压滤机的设计</w:t>
      </w:r>
      <w:r>
        <w:rPr>
          <w:rFonts w:hint="eastAsia"/>
          <w:sz w:val="20"/>
          <w:szCs w:val="20"/>
        </w:rPr>
        <w:t>参数</w:t>
      </w:r>
      <w:r>
        <w:rPr>
          <w:sz w:val="20"/>
          <w:szCs w:val="20"/>
        </w:rPr>
        <w:t>。《城镇污水处理厂污泥深度脱水工艺设计与运行管理指南》</w:t>
      </w:r>
      <w:r>
        <w:rPr>
          <w:sz w:val="20"/>
          <w:szCs w:val="20"/>
        </w:rPr>
        <w:t>TCECS20005-2021</w:t>
      </w:r>
      <w:r>
        <w:rPr>
          <w:sz w:val="20"/>
          <w:szCs w:val="20"/>
        </w:rPr>
        <w:t>是中国工程建设标准化协会发布的行业标准，用于指导城镇污水厂污泥深度脱水工程的工艺设计和运行管理。该标准介绍了污泥深度脱水的原理、特点、主要技术和设备，并从污泥调理、深度脱水、滤液臭气泥饼处置等方面提出了设计要求及运行管理规定。其中污泥调理分为化学调理、物理调理、生物调理三类主流技术，化学调理是应用较为广泛、设计参数较为完善。物理调理中提到了高温热调理，即高温高压的水热反应，标准中介绍了高温热调理的基本原理，对</w:t>
      </w:r>
      <w:r>
        <w:rPr>
          <w:sz w:val="20"/>
          <w:szCs w:val="20"/>
        </w:rPr>
        <w:t>于高温热调理的工艺设计仅提供了反应条件、压力，对于水热深度脱水集成工艺的设计指导不足。《城镇污水处理厂污泥隔膜压滤深度脱水技术规程》</w:t>
      </w:r>
      <w:r>
        <w:rPr>
          <w:sz w:val="20"/>
          <w:szCs w:val="20"/>
        </w:rPr>
        <w:t>TCECS 537-2018</w:t>
      </w:r>
      <w:r>
        <w:rPr>
          <w:sz w:val="20"/>
          <w:szCs w:val="20"/>
        </w:rPr>
        <w:t>是由中国工程建设协会发布的行业标准，用于指导采用隔膜压滤深度脱水工程的设计、施工验收和运行管理。标准重点对隔膜压滤环节的设计、施工、运行管理相关参数、要求做出规定，压滤前采用化学调理</w:t>
      </w:r>
      <w:r>
        <w:rPr>
          <w:rFonts w:hint="eastAsia"/>
          <w:sz w:val="20"/>
          <w:szCs w:val="20"/>
        </w:rPr>
        <w:t>方式调理污泥</w:t>
      </w:r>
      <w:r>
        <w:rPr>
          <w:sz w:val="20"/>
          <w:szCs w:val="20"/>
        </w:rPr>
        <w:t>。</w:t>
      </w:r>
    </w:p>
    <w:p w:rsidR="009C1ACE" w:rsidRDefault="00EF10CE">
      <w:pPr>
        <w:spacing w:line="300" w:lineRule="auto"/>
        <w:ind w:firstLineChars="200" w:firstLine="400"/>
        <w:rPr>
          <w:sz w:val="20"/>
          <w:szCs w:val="20"/>
        </w:rPr>
      </w:pPr>
      <w:r>
        <w:rPr>
          <w:sz w:val="20"/>
          <w:szCs w:val="20"/>
        </w:rPr>
        <w:t>目前国内已发布的涉及到水热调理（热水解）的相关标准包括《城镇污水处理厂污泥处理技术标准》（征求意见稿）、《城镇污水处理厂污泥高级厌氧消化处理工艺设计规范》</w:t>
      </w:r>
      <w:r>
        <w:rPr>
          <w:sz w:val="20"/>
          <w:szCs w:val="20"/>
        </w:rPr>
        <w:t>T/CSUS29-2021</w:t>
      </w:r>
      <w:r>
        <w:rPr>
          <w:sz w:val="20"/>
          <w:szCs w:val="20"/>
        </w:rPr>
        <w:t>。《城镇污水处理厂污泥处理技术标准》（征求意见稿）给出了污泥热水解反应温度（</w:t>
      </w:r>
      <w:r>
        <w:rPr>
          <w:sz w:val="20"/>
          <w:szCs w:val="20"/>
        </w:rPr>
        <w:t>160-200℃</w:t>
      </w:r>
      <w:r>
        <w:rPr>
          <w:sz w:val="20"/>
          <w:szCs w:val="20"/>
        </w:rPr>
        <w:t>）、压力（</w:t>
      </w:r>
      <w:r>
        <w:rPr>
          <w:sz w:val="20"/>
          <w:szCs w:val="20"/>
        </w:rPr>
        <w:t>0.6-1.6 MPa</w:t>
      </w:r>
      <w:r>
        <w:rPr>
          <w:sz w:val="20"/>
          <w:szCs w:val="20"/>
        </w:rPr>
        <w:t>）、进泥含固率（</w:t>
      </w:r>
      <w:r>
        <w:rPr>
          <w:sz w:val="20"/>
          <w:szCs w:val="20"/>
        </w:rPr>
        <w:t>14-16%</w:t>
      </w:r>
      <w:r>
        <w:rPr>
          <w:sz w:val="20"/>
          <w:szCs w:val="20"/>
        </w:rPr>
        <w:t>）等参数，水热调理后污泥进入厌氧消化池。《城镇污水处理厂污泥高级厌氧消化处理工艺设计规范》</w:t>
      </w:r>
      <w:r>
        <w:rPr>
          <w:sz w:val="20"/>
          <w:szCs w:val="20"/>
        </w:rPr>
        <w:t>T/CSUS29-2021</w:t>
      </w:r>
      <w:r>
        <w:rPr>
          <w:sz w:val="20"/>
          <w:szCs w:val="20"/>
        </w:rPr>
        <w:t>是中国城市科学研究会发布的团体标准，其中污泥高温热水解作为厌氧消化前的预处理工艺，旨在提升厌氧消化处理效率，因此相关设计规定以提升厌氧消化效率为目标。</w:t>
      </w:r>
    </w:p>
    <w:p w:rsidR="009C1ACE" w:rsidRDefault="00EF10CE">
      <w:pPr>
        <w:spacing w:line="300" w:lineRule="auto"/>
        <w:ind w:firstLineChars="200" w:firstLine="400"/>
        <w:rPr>
          <w:sz w:val="20"/>
          <w:szCs w:val="20"/>
        </w:rPr>
      </w:pPr>
      <w:r>
        <w:rPr>
          <w:rFonts w:hint="eastAsia"/>
          <w:sz w:val="20"/>
          <w:szCs w:val="20"/>
        </w:rPr>
        <w:t>国际标准通过在</w:t>
      </w:r>
      <w:r>
        <w:rPr>
          <w:rFonts w:hint="eastAsia"/>
          <w:sz w:val="20"/>
          <w:szCs w:val="20"/>
        </w:rPr>
        <w:t>I</w:t>
      </w:r>
      <w:r>
        <w:rPr>
          <w:sz w:val="20"/>
          <w:szCs w:val="20"/>
        </w:rPr>
        <w:t>SO</w:t>
      </w:r>
      <w:r>
        <w:rPr>
          <w:sz w:val="20"/>
          <w:szCs w:val="20"/>
        </w:rPr>
        <w:t>、</w:t>
      </w:r>
      <w:r>
        <w:rPr>
          <w:rFonts w:hint="eastAsia"/>
          <w:sz w:val="20"/>
          <w:szCs w:val="20"/>
        </w:rPr>
        <w:t>H</w:t>
      </w:r>
      <w:r>
        <w:rPr>
          <w:sz w:val="20"/>
          <w:szCs w:val="20"/>
        </w:rPr>
        <w:t>IS</w:t>
      </w:r>
      <w:r>
        <w:rPr>
          <w:sz w:val="20"/>
          <w:szCs w:val="20"/>
        </w:rPr>
        <w:t>、</w:t>
      </w:r>
      <w:r>
        <w:rPr>
          <w:rFonts w:hint="eastAsia"/>
          <w:sz w:val="20"/>
          <w:szCs w:val="20"/>
        </w:rPr>
        <w:t>B</w:t>
      </w:r>
      <w:r>
        <w:rPr>
          <w:sz w:val="20"/>
          <w:szCs w:val="20"/>
        </w:rPr>
        <w:t>SI</w:t>
      </w:r>
      <w:r>
        <w:rPr>
          <w:rFonts w:hint="eastAsia"/>
          <w:sz w:val="20"/>
          <w:szCs w:val="20"/>
        </w:rPr>
        <w:t>等标准检索网站搜索“</w:t>
      </w:r>
      <w:r>
        <w:rPr>
          <w:rFonts w:hint="eastAsia"/>
          <w:sz w:val="20"/>
          <w:szCs w:val="20"/>
        </w:rPr>
        <w:t>s</w:t>
      </w:r>
      <w:r>
        <w:rPr>
          <w:sz w:val="20"/>
          <w:szCs w:val="20"/>
        </w:rPr>
        <w:t>ludg</w:t>
      </w:r>
      <w:r>
        <w:rPr>
          <w:sz w:val="20"/>
          <w:szCs w:val="20"/>
        </w:rPr>
        <w:t>”</w:t>
      </w:r>
      <w:r>
        <w:rPr>
          <w:sz w:val="20"/>
          <w:szCs w:val="20"/>
        </w:rPr>
        <w:t>、</w:t>
      </w:r>
      <w:r>
        <w:rPr>
          <w:sz w:val="20"/>
          <w:szCs w:val="20"/>
        </w:rPr>
        <w:t>“thermal hydrolysis”</w:t>
      </w:r>
      <w:r>
        <w:rPr>
          <w:sz w:val="20"/>
          <w:szCs w:val="20"/>
        </w:rPr>
        <w:t>、</w:t>
      </w:r>
      <w:r>
        <w:rPr>
          <w:sz w:val="20"/>
          <w:szCs w:val="20"/>
        </w:rPr>
        <w:t>“hydrothermal”</w:t>
      </w:r>
      <w:r>
        <w:rPr>
          <w:sz w:val="20"/>
          <w:szCs w:val="20"/>
        </w:rPr>
        <w:t>、</w:t>
      </w:r>
      <w:r>
        <w:rPr>
          <w:sz w:val="20"/>
          <w:szCs w:val="20"/>
        </w:rPr>
        <w:t>“dewater”</w:t>
      </w:r>
      <w:r>
        <w:rPr>
          <w:rFonts w:hint="eastAsia"/>
          <w:sz w:val="20"/>
          <w:szCs w:val="20"/>
        </w:rPr>
        <w:t>等关键词，检索到目前国际上涉及到水热调理的技术标准有</w:t>
      </w:r>
      <w:r>
        <w:rPr>
          <w:rFonts w:hint="eastAsia"/>
          <w:sz w:val="20"/>
          <w:szCs w:val="20"/>
        </w:rPr>
        <w:t>I</w:t>
      </w:r>
      <w:r>
        <w:rPr>
          <w:sz w:val="20"/>
          <w:szCs w:val="20"/>
        </w:rPr>
        <w:t>SO 19388</w:t>
      </w:r>
      <w:r>
        <w:rPr>
          <w:rFonts w:hint="eastAsia"/>
          <w:sz w:val="20"/>
          <w:szCs w:val="20"/>
        </w:rPr>
        <w:t>、</w:t>
      </w:r>
      <w:r>
        <w:rPr>
          <w:rFonts w:hint="eastAsia"/>
          <w:sz w:val="20"/>
          <w:szCs w:val="20"/>
        </w:rPr>
        <w:t>I</w:t>
      </w:r>
      <w:r>
        <w:rPr>
          <w:sz w:val="20"/>
          <w:szCs w:val="20"/>
        </w:rPr>
        <w:t>SO/TR 20736</w:t>
      </w:r>
      <w:r>
        <w:rPr>
          <w:sz w:val="20"/>
          <w:szCs w:val="20"/>
        </w:rPr>
        <w:t>，</w:t>
      </w:r>
      <w:r>
        <w:rPr>
          <w:rFonts w:hint="eastAsia"/>
          <w:sz w:val="20"/>
          <w:szCs w:val="20"/>
        </w:rPr>
        <w:t>关于脱水的技术标准</w:t>
      </w:r>
      <w:r>
        <w:rPr>
          <w:rFonts w:hint="eastAsia"/>
          <w:sz w:val="20"/>
          <w:szCs w:val="20"/>
        </w:rPr>
        <w:t>I</w:t>
      </w:r>
      <w:r>
        <w:rPr>
          <w:sz w:val="20"/>
          <w:szCs w:val="20"/>
        </w:rPr>
        <w:t>SO/CD TR19995</w:t>
      </w:r>
      <w:r>
        <w:rPr>
          <w:rFonts w:hint="eastAsia"/>
          <w:sz w:val="20"/>
          <w:szCs w:val="20"/>
        </w:rPr>
        <w:t>正在编制中还未发布</w:t>
      </w:r>
      <w:r>
        <w:rPr>
          <w:sz w:val="20"/>
          <w:szCs w:val="20"/>
        </w:rPr>
        <w:t>。</w:t>
      </w:r>
      <w:r>
        <w:rPr>
          <w:rFonts w:hint="eastAsia"/>
          <w:sz w:val="20"/>
          <w:szCs w:val="20"/>
        </w:rPr>
        <w:t>I</w:t>
      </w:r>
      <w:r>
        <w:rPr>
          <w:sz w:val="20"/>
          <w:szCs w:val="20"/>
        </w:rPr>
        <w:t>SO 19388</w:t>
      </w:r>
      <w:r>
        <w:rPr>
          <w:rFonts w:hint="eastAsia"/>
          <w:sz w:val="20"/>
          <w:szCs w:val="20"/>
        </w:rPr>
        <w:t>是</w:t>
      </w:r>
      <w:r>
        <w:rPr>
          <w:rFonts w:hint="eastAsia"/>
          <w:sz w:val="20"/>
          <w:szCs w:val="20"/>
        </w:rPr>
        <w:t>2023</w:t>
      </w:r>
      <w:r>
        <w:rPr>
          <w:rFonts w:hint="eastAsia"/>
          <w:sz w:val="20"/>
          <w:szCs w:val="20"/>
        </w:rPr>
        <w:t>年发布的关于污泥厌氧消化设施操作的要求和建议。在厌氧消化预处理章节，</w:t>
      </w:r>
      <w:r>
        <w:rPr>
          <w:rFonts w:hint="eastAsia"/>
          <w:sz w:val="20"/>
          <w:szCs w:val="20"/>
        </w:rPr>
        <w:t xml:space="preserve"> I</w:t>
      </w:r>
      <w:r>
        <w:rPr>
          <w:sz w:val="20"/>
          <w:szCs w:val="20"/>
        </w:rPr>
        <w:t>SO 19388</w:t>
      </w:r>
      <w:r>
        <w:rPr>
          <w:rFonts w:hint="eastAsia"/>
          <w:sz w:val="20"/>
          <w:szCs w:val="20"/>
        </w:rPr>
        <w:t>提到水解是厌氧消化的限速步骤，可以通过热预处理的方式提升厌氧消化速率。其中高温热水解是在污泥水解池中通入热蒸汽，使污泥</w:t>
      </w:r>
      <w:r>
        <w:rPr>
          <w:rFonts w:hint="eastAsia"/>
          <w:sz w:val="20"/>
          <w:szCs w:val="20"/>
        </w:rPr>
        <w:t>升</w:t>
      </w:r>
      <w:r>
        <w:rPr>
          <w:rFonts w:hint="eastAsia"/>
          <w:sz w:val="20"/>
          <w:szCs w:val="20"/>
        </w:rPr>
        <w:t>温至</w:t>
      </w:r>
      <w:r>
        <w:rPr>
          <w:rFonts w:hint="eastAsia"/>
          <w:sz w:val="20"/>
          <w:szCs w:val="20"/>
        </w:rPr>
        <w:t>140-170</w:t>
      </w:r>
      <w:r>
        <w:rPr>
          <w:rFonts w:hint="eastAsia"/>
          <w:sz w:val="20"/>
          <w:szCs w:val="20"/>
        </w:rPr>
        <w:t>℃，反应压力为</w:t>
      </w:r>
      <w:r>
        <w:rPr>
          <w:rFonts w:hint="eastAsia"/>
          <w:sz w:val="20"/>
          <w:szCs w:val="20"/>
        </w:rPr>
        <w:t>4-6</w:t>
      </w:r>
      <w:r>
        <w:rPr>
          <w:sz w:val="20"/>
          <w:szCs w:val="20"/>
        </w:rPr>
        <w:t xml:space="preserve"> bar</w:t>
      </w:r>
      <w:r>
        <w:rPr>
          <w:sz w:val="20"/>
          <w:szCs w:val="20"/>
        </w:rPr>
        <w:t>（</w:t>
      </w:r>
      <w:r>
        <w:rPr>
          <w:sz w:val="20"/>
          <w:szCs w:val="20"/>
        </w:rPr>
        <w:t>0.4-0.6 MPa</w:t>
      </w:r>
      <w:r>
        <w:rPr>
          <w:sz w:val="20"/>
          <w:szCs w:val="20"/>
        </w:rPr>
        <w:t>）</w:t>
      </w:r>
      <w:r>
        <w:rPr>
          <w:rFonts w:hint="eastAsia"/>
          <w:sz w:val="20"/>
          <w:szCs w:val="20"/>
        </w:rPr>
        <w:t>，反应时间</w:t>
      </w:r>
      <w:r>
        <w:rPr>
          <w:rFonts w:hint="eastAsia"/>
          <w:sz w:val="20"/>
          <w:szCs w:val="20"/>
        </w:rPr>
        <w:t>30</w:t>
      </w:r>
      <w:r>
        <w:rPr>
          <w:sz w:val="20"/>
          <w:szCs w:val="20"/>
        </w:rPr>
        <w:t xml:space="preserve"> min</w:t>
      </w:r>
      <w:r>
        <w:rPr>
          <w:sz w:val="20"/>
          <w:szCs w:val="20"/>
        </w:rPr>
        <w:t>，</w:t>
      </w:r>
      <w:r>
        <w:rPr>
          <w:rFonts w:hint="eastAsia"/>
          <w:sz w:val="20"/>
          <w:szCs w:val="20"/>
        </w:rPr>
        <w:t>反应通常包括三个反应器，分别为预热均质、热水解反应、冷却和热回收。此外还可以通过碱热水解的方式调理污泥，</w:t>
      </w:r>
      <w:r>
        <w:rPr>
          <w:rFonts w:hint="eastAsia"/>
          <w:sz w:val="20"/>
          <w:szCs w:val="20"/>
        </w:rPr>
        <w:t>70</w:t>
      </w:r>
      <w:r>
        <w:rPr>
          <w:rFonts w:hint="eastAsia"/>
          <w:sz w:val="20"/>
          <w:szCs w:val="20"/>
        </w:rPr>
        <w:t>℃左右，调节</w:t>
      </w:r>
      <w:r>
        <w:rPr>
          <w:rFonts w:hint="eastAsia"/>
          <w:sz w:val="20"/>
          <w:szCs w:val="20"/>
        </w:rPr>
        <w:t>p</w:t>
      </w:r>
      <w:r>
        <w:rPr>
          <w:sz w:val="20"/>
          <w:szCs w:val="20"/>
        </w:rPr>
        <w:t>H10-12</w:t>
      </w:r>
      <w:r>
        <w:rPr>
          <w:sz w:val="20"/>
          <w:szCs w:val="20"/>
        </w:rPr>
        <w:t>，</w:t>
      </w:r>
      <w:r>
        <w:rPr>
          <w:rFonts w:hint="eastAsia"/>
          <w:sz w:val="20"/>
          <w:szCs w:val="20"/>
        </w:rPr>
        <w:t>也可达到提升厌氧消化速率的目的。</w:t>
      </w:r>
      <w:r>
        <w:rPr>
          <w:rFonts w:hint="eastAsia"/>
          <w:sz w:val="20"/>
          <w:szCs w:val="20"/>
        </w:rPr>
        <w:t>I</w:t>
      </w:r>
      <w:r>
        <w:rPr>
          <w:sz w:val="20"/>
          <w:szCs w:val="20"/>
        </w:rPr>
        <w:t>SO 20736</w:t>
      </w:r>
      <w:r>
        <w:rPr>
          <w:rFonts w:hint="eastAsia"/>
          <w:sz w:val="20"/>
          <w:szCs w:val="20"/>
        </w:rPr>
        <w:t>是污泥热处理指南，其中热水解作为一种热处理方式，在</w:t>
      </w:r>
      <w:r>
        <w:rPr>
          <w:rFonts w:hint="eastAsia"/>
          <w:sz w:val="20"/>
          <w:szCs w:val="20"/>
        </w:rPr>
        <w:t>7.3</w:t>
      </w:r>
      <w:r>
        <w:rPr>
          <w:rFonts w:hint="eastAsia"/>
          <w:sz w:val="20"/>
          <w:szCs w:val="20"/>
        </w:rPr>
        <w:t>章节提供了该技术指南</w:t>
      </w:r>
      <w:r>
        <w:rPr>
          <w:rFonts w:hint="eastAsia"/>
          <w:sz w:val="20"/>
          <w:szCs w:val="20"/>
        </w:rPr>
        <w:t>。</w:t>
      </w:r>
      <w:r>
        <w:rPr>
          <w:rFonts w:hint="eastAsia"/>
          <w:sz w:val="20"/>
          <w:szCs w:val="20"/>
        </w:rPr>
        <w:t>该技术的优势在于提高厌氧消化速率、去除挥发性固体、改善脱水性能等</w:t>
      </w:r>
      <w:bookmarkStart w:id="14" w:name="_GoBack"/>
      <w:bookmarkEnd w:id="14"/>
      <w:r>
        <w:rPr>
          <w:rFonts w:hint="eastAsia"/>
          <w:sz w:val="20"/>
          <w:szCs w:val="20"/>
        </w:rPr>
        <w:t>技术指南提供了热水解处理的工艺流程，包括污泥预热浆化、泵送至水热反应器、水热反应（温度不超过</w:t>
      </w:r>
      <w:r>
        <w:rPr>
          <w:rFonts w:hint="eastAsia"/>
          <w:sz w:val="20"/>
          <w:szCs w:val="20"/>
        </w:rPr>
        <w:t>170</w:t>
      </w:r>
      <w:r>
        <w:rPr>
          <w:rFonts w:hint="eastAsia"/>
          <w:sz w:val="20"/>
          <w:szCs w:val="20"/>
        </w:rPr>
        <w:t>℃）、闪</w:t>
      </w:r>
      <w:r>
        <w:rPr>
          <w:rFonts w:hint="eastAsia"/>
          <w:sz w:val="20"/>
          <w:szCs w:val="20"/>
        </w:rPr>
        <w:t>蒸热回收，系统产生的不凝气体冷却压缩后通入厌氧消化进料系统管道中。</w:t>
      </w:r>
    </w:p>
    <w:p w:rsidR="009C1ACE" w:rsidRDefault="00EF10CE">
      <w:pPr>
        <w:spacing w:line="300" w:lineRule="auto"/>
        <w:ind w:firstLineChars="200" w:firstLine="400"/>
        <w:rPr>
          <w:sz w:val="20"/>
          <w:szCs w:val="20"/>
        </w:rPr>
      </w:pPr>
      <w:r>
        <w:rPr>
          <w:sz w:val="20"/>
          <w:szCs w:val="20"/>
        </w:rPr>
        <w:t>综上所述，目前国内、</w:t>
      </w:r>
      <w:r>
        <w:rPr>
          <w:rFonts w:hint="eastAsia"/>
          <w:sz w:val="20"/>
          <w:szCs w:val="20"/>
        </w:rPr>
        <w:t>外</w:t>
      </w:r>
      <w:r>
        <w:rPr>
          <w:sz w:val="20"/>
          <w:szCs w:val="20"/>
        </w:rPr>
        <w:t>已发布污泥水热调理相关技术</w:t>
      </w:r>
      <w:r>
        <w:rPr>
          <w:rFonts w:hint="eastAsia"/>
          <w:sz w:val="20"/>
          <w:szCs w:val="20"/>
        </w:rPr>
        <w:t>标准提供的流程方法、工艺参数</w:t>
      </w:r>
      <w:r>
        <w:rPr>
          <w:sz w:val="20"/>
          <w:szCs w:val="20"/>
        </w:rPr>
        <w:t>是以提升厌氧消化效率为目标，</w:t>
      </w:r>
      <w:r>
        <w:rPr>
          <w:rFonts w:hint="eastAsia"/>
          <w:sz w:val="20"/>
          <w:szCs w:val="20"/>
        </w:rPr>
        <w:t>而</w:t>
      </w:r>
      <w:r>
        <w:rPr>
          <w:sz w:val="20"/>
          <w:szCs w:val="20"/>
        </w:rPr>
        <w:t>脱水相关标准，污泥预处理均以化学调理为主。本标准是以深度脱水为目标，通过水热调理改善污泥脱水性能，无需添加化学药剂实现深度脱水，利于后续处置与</w:t>
      </w:r>
      <w:r>
        <w:rPr>
          <w:sz w:val="20"/>
          <w:szCs w:val="20"/>
        </w:rPr>
        <w:lastRenderedPageBreak/>
        <w:t>资源化利用。水热脱水工艺目前已有工程应用，但尚未有针对该工艺全流程的技术规程，现编制本标准，提升污泥水热深度脱水工艺设计及运行管理水平，促进技术推广应用。本标准中关于水热预处理的一般规定、机械深度</w:t>
      </w:r>
      <w:r>
        <w:rPr>
          <w:sz w:val="20"/>
          <w:szCs w:val="20"/>
        </w:rPr>
        <w:t>脱水设备及相关设计要求与上述国内相关标准保持一致。</w:t>
      </w:r>
    </w:p>
    <w:bookmarkStart w:id="15" w:name="_Toc19431"/>
    <w:p w:rsidR="009C1ACE" w:rsidRDefault="009C1ACE">
      <w:pPr>
        <w:pStyle w:val="11"/>
        <w:numPr>
          <w:ilvl w:val="0"/>
          <w:numId w:val="3"/>
        </w:numPr>
        <w:outlineLvl w:val="0"/>
        <w:rPr>
          <w:bCs w:val="0"/>
          <w:lang w:val="zh-CN"/>
        </w:rPr>
      </w:pPr>
      <w:r>
        <w:rPr>
          <w:bCs w:val="0"/>
        </w:rPr>
        <w:fldChar w:fldCharType="begin"/>
      </w:r>
      <w:r w:rsidR="00EF10CE">
        <w:rPr>
          <w:bCs w:val="0"/>
        </w:rPr>
        <w:instrText xml:space="preserve"> HYPERLINK \l "_Toc234978610"</w:instrText>
      </w:r>
      <w:r>
        <w:rPr>
          <w:bCs w:val="0"/>
        </w:rPr>
        <w:fldChar w:fldCharType="separate"/>
      </w:r>
      <w:r w:rsidR="00EF10CE">
        <w:rPr>
          <w:bCs w:val="0"/>
        </w:rPr>
        <w:t>同类工程现状调研</w:t>
      </w:r>
      <w:r>
        <w:rPr>
          <w:bCs w:val="0"/>
        </w:rPr>
        <w:fldChar w:fldCharType="end"/>
      </w:r>
      <w:bookmarkEnd w:id="15"/>
    </w:p>
    <w:p w:rsidR="009C1ACE" w:rsidRDefault="00EF10CE">
      <w:pPr>
        <w:spacing w:line="300" w:lineRule="auto"/>
        <w:ind w:firstLineChars="200" w:firstLine="400"/>
        <w:rPr>
          <w:sz w:val="20"/>
          <w:szCs w:val="20"/>
        </w:rPr>
      </w:pPr>
      <w:r>
        <w:rPr>
          <w:sz w:val="20"/>
          <w:szCs w:val="20"/>
        </w:rPr>
        <w:t>深圳盐田污水处理厂污泥深度脱水项目（</w:t>
      </w:r>
      <w:r>
        <w:rPr>
          <w:sz w:val="20"/>
          <w:szCs w:val="20"/>
        </w:rPr>
        <w:t>150t/d</w:t>
      </w:r>
      <w:r>
        <w:rPr>
          <w:sz w:val="20"/>
          <w:szCs w:val="20"/>
        </w:rPr>
        <w:t>）采用水热深度脱水工艺，工艺流程为污泥储存</w:t>
      </w:r>
      <w:r>
        <w:rPr>
          <w:sz w:val="20"/>
          <w:szCs w:val="20"/>
        </w:rPr>
        <w:t>—</w:t>
      </w:r>
      <w:r>
        <w:rPr>
          <w:sz w:val="20"/>
          <w:szCs w:val="20"/>
        </w:rPr>
        <w:t>水热调理</w:t>
      </w:r>
      <w:r>
        <w:rPr>
          <w:sz w:val="20"/>
          <w:szCs w:val="20"/>
        </w:rPr>
        <w:t>—</w:t>
      </w:r>
      <w:r>
        <w:rPr>
          <w:sz w:val="20"/>
          <w:szCs w:val="20"/>
        </w:rPr>
        <w:t>隔膜</w:t>
      </w:r>
      <w:r>
        <w:rPr>
          <w:rFonts w:hint="eastAsia"/>
          <w:sz w:val="20"/>
          <w:szCs w:val="20"/>
        </w:rPr>
        <w:t>板框</w:t>
      </w:r>
      <w:r>
        <w:rPr>
          <w:sz w:val="20"/>
          <w:szCs w:val="20"/>
        </w:rPr>
        <w:t>压滤，该工艺已推广应用至广州海滔、深圳蛇口等项目。深圳盐田项目占地</w:t>
      </w:r>
      <w:r>
        <w:rPr>
          <w:sz w:val="20"/>
          <w:szCs w:val="20"/>
        </w:rPr>
        <w:t>1500</w:t>
      </w:r>
      <w:r>
        <w:rPr>
          <w:sz w:val="20"/>
          <w:szCs w:val="20"/>
        </w:rPr>
        <w:t>㎡，总投资</w:t>
      </w:r>
      <w:r>
        <w:rPr>
          <w:sz w:val="20"/>
          <w:szCs w:val="20"/>
        </w:rPr>
        <w:t>4300</w:t>
      </w:r>
      <w:r>
        <w:rPr>
          <w:sz w:val="20"/>
          <w:szCs w:val="20"/>
        </w:rPr>
        <w:t>万元。脱水压滤液回流污水处理厂，脱水泥饼外运处置，用于园林绿化、电厂掺烧。项目采用浆化水热一体化系统，</w:t>
      </w:r>
      <w:r>
        <w:rPr>
          <w:sz w:val="20"/>
          <w:szCs w:val="20"/>
        </w:rPr>
        <w:t>80%</w:t>
      </w:r>
      <w:r>
        <w:rPr>
          <w:sz w:val="20"/>
          <w:szCs w:val="20"/>
        </w:rPr>
        <w:t>含水率污泥直接通过螺杆泵泵送至水热反应器，反应器内装有大功率搅拌设备，同步实现浆化和水热调理。蒸汽由反应器上部进入，与污泥充分接触，水热反应温度为</w:t>
      </w:r>
      <w:r>
        <w:rPr>
          <w:sz w:val="20"/>
          <w:szCs w:val="20"/>
        </w:rPr>
        <w:t>170-180℃</w:t>
      </w:r>
      <w:r>
        <w:rPr>
          <w:sz w:val="20"/>
          <w:szCs w:val="20"/>
        </w:rPr>
        <w:t>，最高时可达到</w:t>
      </w:r>
      <w:r>
        <w:rPr>
          <w:sz w:val="20"/>
          <w:szCs w:val="20"/>
        </w:rPr>
        <w:t>200℃</w:t>
      </w:r>
      <w:r>
        <w:rPr>
          <w:sz w:val="20"/>
          <w:szCs w:val="20"/>
        </w:rPr>
        <w:t>。标准编制组于</w:t>
      </w:r>
      <w:r>
        <w:rPr>
          <w:sz w:val="20"/>
          <w:szCs w:val="20"/>
        </w:rPr>
        <w:t>2022</w:t>
      </w:r>
      <w:r>
        <w:rPr>
          <w:sz w:val="20"/>
          <w:szCs w:val="20"/>
        </w:rPr>
        <w:t>年</w:t>
      </w:r>
      <w:r>
        <w:rPr>
          <w:sz w:val="20"/>
          <w:szCs w:val="20"/>
        </w:rPr>
        <w:t>3-6</w:t>
      </w:r>
      <w:r>
        <w:rPr>
          <w:sz w:val="20"/>
          <w:szCs w:val="20"/>
        </w:rPr>
        <w:t>月采集了工程运行相关数据如下，脱水泥饼平均含水率低于</w:t>
      </w:r>
      <w:r>
        <w:rPr>
          <w:sz w:val="20"/>
          <w:szCs w:val="20"/>
        </w:rPr>
        <w:t>40%</w:t>
      </w:r>
      <w:r>
        <w:rPr>
          <w:sz w:val="20"/>
          <w:szCs w:val="20"/>
        </w:rPr>
        <w:t>，实现较好的减量化效果。</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
        <w:gridCol w:w="850"/>
        <w:gridCol w:w="1598"/>
        <w:gridCol w:w="1138"/>
        <w:gridCol w:w="1324"/>
        <w:gridCol w:w="1287"/>
        <w:gridCol w:w="1190"/>
      </w:tblGrid>
      <w:tr w:rsidR="009C1ACE">
        <w:trPr>
          <w:trHeight w:val="579"/>
          <w:tblHeader/>
          <w:jc w:val="center"/>
        </w:trPr>
        <w:tc>
          <w:tcPr>
            <w:tcW w:w="888" w:type="dxa"/>
            <w:vAlign w:val="center"/>
          </w:tcPr>
          <w:p w:rsidR="009C1ACE" w:rsidRDefault="00EF10CE">
            <w:pPr>
              <w:rPr>
                <w:sz w:val="20"/>
                <w:szCs w:val="20"/>
              </w:rPr>
            </w:pPr>
            <w:r>
              <w:rPr>
                <w:sz w:val="20"/>
                <w:szCs w:val="20"/>
              </w:rPr>
              <w:t>采样日期</w:t>
            </w:r>
          </w:p>
        </w:tc>
        <w:tc>
          <w:tcPr>
            <w:tcW w:w="850" w:type="dxa"/>
            <w:vAlign w:val="center"/>
          </w:tcPr>
          <w:p w:rsidR="009C1ACE" w:rsidRDefault="00EF10CE">
            <w:pPr>
              <w:rPr>
                <w:sz w:val="20"/>
                <w:szCs w:val="20"/>
              </w:rPr>
            </w:pPr>
            <w:r>
              <w:rPr>
                <w:sz w:val="20"/>
                <w:szCs w:val="20"/>
              </w:rPr>
              <w:t>样品</w:t>
            </w:r>
            <w:r>
              <w:rPr>
                <w:sz w:val="20"/>
                <w:szCs w:val="20"/>
              </w:rPr>
              <w:t>来源</w:t>
            </w:r>
          </w:p>
        </w:tc>
        <w:tc>
          <w:tcPr>
            <w:tcW w:w="1598" w:type="dxa"/>
            <w:vAlign w:val="center"/>
          </w:tcPr>
          <w:p w:rsidR="009C1ACE" w:rsidRDefault="00EF10CE">
            <w:pPr>
              <w:rPr>
                <w:sz w:val="20"/>
                <w:szCs w:val="20"/>
              </w:rPr>
            </w:pPr>
            <w:r>
              <w:rPr>
                <w:sz w:val="20"/>
                <w:szCs w:val="20"/>
              </w:rPr>
              <w:t>检测报告编号</w:t>
            </w:r>
          </w:p>
        </w:tc>
        <w:tc>
          <w:tcPr>
            <w:tcW w:w="1138" w:type="dxa"/>
            <w:vAlign w:val="center"/>
          </w:tcPr>
          <w:p w:rsidR="009C1ACE" w:rsidRDefault="00EF10CE">
            <w:pPr>
              <w:rPr>
                <w:sz w:val="20"/>
                <w:szCs w:val="20"/>
              </w:rPr>
            </w:pPr>
            <w:r>
              <w:rPr>
                <w:sz w:val="20"/>
                <w:szCs w:val="20"/>
              </w:rPr>
              <w:t>含水率（</w:t>
            </w:r>
            <w:r>
              <w:rPr>
                <w:sz w:val="20"/>
                <w:szCs w:val="20"/>
              </w:rPr>
              <w:t>%</w:t>
            </w:r>
            <w:r>
              <w:rPr>
                <w:sz w:val="20"/>
                <w:szCs w:val="20"/>
              </w:rPr>
              <w:t>）</w:t>
            </w:r>
          </w:p>
        </w:tc>
        <w:tc>
          <w:tcPr>
            <w:tcW w:w="1324" w:type="dxa"/>
            <w:vAlign w:val="center"/>
          </w:tcPr>
          <w:p w:rsidR="009C1ACE" w:rsidRDefault="00EF10CE">
            <w:pPr>
              <w:rPr>
                <w:sz w:val="20"/>
                <w:szCs w:val="20"/>
              </w:rPr>
            </w:pPr>
            <w:r>
              <w:rPr>
                <w:sz w:val="20"/>
                <w:szCs w:val="20"/>
              </w:rPr>
              <w:t>VS/TS</w:t>
            </w:r>
            <w:r>
              <w:rPr>
                <w:sz w:val="20"/>
                <w:szCs w:val="20"/>
              </w:rPr>
              <w:t>（</w:t>
            </w:r>
            <w:r>
              <w:rPr>
                <w:sz w:val="20"/>
                <w:szCs w:val="20"/>
              </w:rPr>
              <w:t>%</w:t>
            </w:r>
            <w:r>
              <w:rPr>
                <w:sz w:val="20"/>
                <w:szCs w:val="20"/>
              </w:rPr>
              <w:t>）</w:t>
            </w:r>
          </w:p>
        </w:tc>
        <w:tc>
          <w:tcPr>
            <w:tcW w:w="1287" w:type="dxa"/>
            <w:vAlign w:val="center"/>
          </w:tcPr>
          <w:p w:rsidR="009C1ACE" w:rsidRDefault="00EF10CE">
            <w:pPr>
              <w:rPr>
                <w:sz w:val="20"/>
                <w:szCs w:val="20"/>
              </w:rPr>
            </w:pPr>
            <w:r>
              <w:rPr>
                <w:sz w:val="20"/>
                <w:szCs w:val="20"/>
              </w:rPr>
              <w:t>总氮含量</w:t>
            </w:r>
            <w:r>
              <w:rPr>
                <w:sz w:val="20"/>
                <w:szCs w:val="20"/>
              </w:rPr>
              <w:t xml:space="preserve"> mg/g TS</w:t>
            </w:r>
          </w:p>
        </w:tc>
        <w:tc>
          <w:tcPr>
            <w:tcW w:w="1190" w:type="dxa"/>
            <w:vAlign w:val="center"/>
          </w:tcPr>
          <w:p w:rsidR="009C1ACE" w:rsidRDefault="00EF10CE">
            <w:pPr>
              <w:rPr>
                <w:sz w:val="20"/>
                <w:szCs w:val="20"/>
              </w:rPr>
            </w:pPr>
            <w:r>
              <w:rPr>
                <w:sz w:val="20"/>
                <w:szCs w:val="20"/>
              </w:rPr>
              <w:t>总磷含量</w:t>
            </w:r>
          </w:p>
          <w:p w:rsidR="009C1ACE" w:rsidRDefault="00EF10CE">
            <w:pPr>
              <w:rPr>
                <w:sz w:val="20"/>
                <w:szCs w:val="20"/>
              </w:rPr>
            </w:pPr>
            <w:r>
              <w:rPr>
                <w:sz w:val="20"/>
                <w:szCs w:val="20"/>
              </w:rPr>
              <w:t>mg/g TS</w:t>
            </w:r>
          </w:p>
        </w:tc>
      </w:tr>
      <w:tr w:rsidR="009C1ACE">
        <w:trPr>
          <w:trHeight w:val="864"/>
          <w:jc w:val="center"/>
        </w:trPr>
        <w:tc>
          <w:tcPr>
            <w:tcW w:w="888" w:type="dxa"/>
            <w:vAlign w:val="center"/>
          </w:tcPr>
          <w:p w:rsidR="009C1ACE" w:rsidRDefault="00EF10CE">
            <w:pPr>
              <w:rPr>
                <w:sz w:val="20"/>
                <w:szCs w:val="20"/>
              </w:rPr>
            </w:pPr>
            <w:r>
              <w:rPr>
                <w:sz w:val="20"/>
                <w:szCs w:val="20"/>
              </w:rPr>
              <w:t>2022</w:t>
            </w:r>
            <w:r>
              <w:rPr>
                <w:sz w:val="20"/>
                <w:szCs w:val="20"/>
              </w:rPr>
              <w:t>年</w:t>
            </w:r>
            <w:r>
              <w:rPr>
                <w:sz w:val="20"/>
                <w:szCs w:val="20"/>
              </w:rPr>
              <w:t>3-6</w:t>
            </w:r>
            <w:r>
              <w:rPr>
                <w:sz w:val="20"/>
                <w:szCs w:val="20"/>
              </w:rPr>
              <w:t>月</w:t>
            </w:r>
          </w:p>
        </w:tc>
        <w:tc>
          <w:tcPr>
            <w:tcW w:w="850" w:type="dxa"/>
            <w:vAlign w:val="center"/>
          </w:tcPr>
          <w:p w:rsidR="009C1ACE" w:rsidRDefault="00EF10CE">
            <w:pPr>
              <w:rPr>
                <w:sz w:val="20"/>
                <w:szCs w:val="20"/>
              </w:rPr>
            </w:pPr>
            <w:r>
              <w:rPr>
                <w:sz w:val="20"/>
                <w:szCs w:val="20"/>
              </w:rPr>
              <w:t>原泥</w:t>
            </w:r>
          </w:p>
          <w:p w:rsidR="009C1ACE" w:rsidRDefault="00EF10CE">
            <w:pPr>
              <w:rPr>
                <w:sz w:val="20"/>
                <w:szCs w:val="20"/>
              </w:rPr>
            </w:pPr>
            <w:r>
              <w:rPr>
                <w:sz w:val="20"/>
                <w:szCs w:val="20"/>
              </w:rPr>
              <w:t>（离心污泥）</w:t>
            </w:r>
          </w:p>
        </w:tc>
        <w:tc>
          <w:tcPr>
            <w:tcW w:w="1598" w:type="dxa"/>
            <w:vAlign w:val="center"/>
          </w:tcPr>
          <w:p w:rsidR="009C1ACE" w:rsidRDefault="00EF10CE">
            <w:pPr>
              <w:rPr>
                <w:sz w:val="20"/>
                <w:szCs w:val="20"/>
              </w:rPr>
            </w:pPr>
            <w:r>
              <w:rPr>
                <w:sz w:val="20"/>
                <w:szCs w:val="20"/>
              </w:rPr>
              <w:t>ZYHJ2200657-1</w:t>
            </w:r>
          </w:p>
        </w:tc>
        <w:tc>
          <w:tcPr>
            <w:tcW w:w="1138" w:type="dxa"/>
            <w:vAlign w:val="center"/>
          </w:tcPr>
          <w:p w:rsidR="009C1ACE" w:rsidRDefault="00EF10CE">
            <w:pPr>
              <w:rPr>
                <w:sz w:val="20"/>
                <w:szCs w:val="20"/>
              </w:rPr>
            </w:pPr>
            <w:r>
              <w:rPr>
                <w:sz w:val="20"/>
                <w:szCs w:val="20"/>
              </w:rPr>
              <w:t>82.1-82.7</w:t>
            </w:r>
          </w:p>
        </w:tc>
        <w:tc>
          <w:tcPr>
            <w:tcW w:w="1324" w:type="dxa"/>
            <w:vAlign w:val="center"/>
          </w:tcPr>
          <w:p w:rsidR="009C1ACE" w:rsidRDefault="00EF10CE">
            <w:pPr>
              <w:rPr>
                <w:sz w:val="20"/>
                <w:szCs w:val="20"/>
              </w:rPr>
            </w:pPr>
            <w:r>
              <w:rPr>
                <w:sz w:val="20"/>
                <w:szCs w:val="20"/>
              </w:rPr>
              <w:t>40.1-46.7</w:t>
            </w:r>
          </w:p>
        </w:tc>
        <w:tc>
          <w:tcPr>
            <w:tcW w:w="1287" w:type="dxa"/>
            <w:vAlign w:val="center"/>
          </w:tcPr>
          <w:p w:rsidR="009C1ACE" w:rsidRDefault="00EF10CE">
            <w:pPr>
              <w:rPr>
                <w:sz w:val="20"/>
                <w:szCs w:val="20"/>
              </w:rPr>
            </w:pPr>
            <w:r>
              <w:rPr>
                <w:sz w:val="20"/>
                <w:szCs w:val="20"/>
              </w:rPr>
              <w:t>31.4-32.2</w:t>
            </w:r>
          </w:p>
        </w:tc>
        <w:tc>
          <w:tcPr>
            <w:tcW w:w="1190" w:type="dxa"/>
            <w:vAlign w:val="center"/>
          </w:tcPr>
          <w:p w:rsidR="009C1ACE" w:rsidRDefault="00EF10CE">
            <w:pPr>
              <w:rPr>
                <w:sz w:val="20"/>
                <w:szCs w:val="20"/>
              </w:rPr>
            </w:pPr>
            <w:r>
              <w:rPr>
                <w:sz w:val="20"/>
                <w:szCs w:val="20"/>
              </w:rPr>
              <w:t>16.19-168</w:t>
            </w:r>
          </w:p>
        </w:tc>
      </w:tr>
      <w:tr w:rsidR="009C1ACE">
        <w:trPr>
          <w:trHeight w:val="294"/>
          <w:jc w:val="center"/>
        </w:trPr>
        <w:tc>
          <w:tcPr>
            <w:tcW w:w="3336" w:type="dxa"/>
            <w:gridSpan w:val="3"/>
            <w:shd w:val="clear" w:color="auto" w:fill="C9C9C9"/>
            <w:vAlign w:val="center"/>
          </w:tcPr>
          <w:p w:rsidR="009C1ACE" w:rsidRDefault="00EF10CE">
            <w:pPr>
              <w:rPr>
                <w:sz w:val="20"/>
                <w:szCs w:val="20"/>
              </w:rPr>
            </w:pPr>
            <w:r>
              <w:rPr>
                <w:sz w:val="20"/>
                <w:szCs w:val="20"/>
              </w:rPr>
              <w:t>原泥（离心污泥）平均值</w:t>
            </w:r>
          </w:p>
        </w:tc>
        <w:tc>
          <w:tcPr>
            <w:tcW w:w="1138" w:type="dxa"/>
            <w:shd w:val="clear" w:color="auto" w:fill="C9C9C9"/>
            <w:vAlign w:val="center"/>
          </w:tcPr>
          <w:p w:rsidR="009C1ACE" w:rsidRDefault="00EF10CE">
            <w:pPr>
              <w:rPr>
                <w:sz w:val="20"/>
                <w:szCs w:val="20"/>
              </w:rPr>
            </w:pPr>
            <w:r>
              <w:rPr>
                <w:sz w:val="20"/>
                <w:szCs w:val="20"/>
              </w:rPr>
              <w:t>82.4</w:t>
            </w:r>
          </w:p>
        </w:tc>
        <w:tc>
          <w:tcPr>
            <w:tcW w:w="1324" w:type="dxa"/>
            <w:shd w:val="clear" w:color="auto" w:fill="C9C9C9"/>
            <w:vAlign w:val="center"/>
          </w:tcPr>
          <w:p w:rsidR="009C1ACE" w:rsidRDefault="00EF10CE">
            <w:pPr>
              <w:rPr>
                <w:sz w:val="20"/>
                <w:szCs w:val="20"/>
              </w:rPr>
            </w:pPr>
            <w:r>
              <w:rPr>
                <w:sz w:val="20"/>
                <w:szCs w:val="20"/>
              </w:rPr>
              <w:t>43.4</w:t>
            </w:r>
          </w:p>
        </w:tc>
        <w:tc>
          <w:tcPr>
            <w:tcW w:w="1287" w:type="dxa"/>
            <w:shd w:val="clear" w:color="auto" w:fill="C9C9C9"/>
            <w:vAlign w:val="center"/>
          </w:tcPr>
          <w:p w:rsidR="009C1ACE" w:rsidRDefault="00EF10CE">
            <w:pPr>
              <w:rPr>
                <w:sz w:val="20"/>
                <w:szCs w:val="20"/>
              </w:rPr>
            </w:pPr>
            <w:r>
              <w:rPr>
                <w:sz w:val="20"/>
                <w:szCs w:val="20"/>
              </w:rPr>
              <w:t>31.8</w:t>
            </w:r>
          </w:p>
        </w:tc>
        <w:tc>
          <w:tcPr>
            <w:tcW w:w="1190" w:type="dxa"/>
            <w:shd w:val="clear" w:color="auto" w:fill="C9C9C9"/>
            <w:vAlign w:val="center"/>
          </w:tcPr>
          <w:p w:rsidR="009C1ACE" w:rsidRDefault="00EF10CE">
            <w:pPr>
              <w:rPr>
                <w:sz w:val="20"/>
                <w:szCs w:val="20"/>
              </w:rPr>
            </w:pPr>
            <w:r>
              <w:rPr>
                <w:sz w:val="20"/>
                <w:szCs w:val="20"/>
              </w:rPr>
              <w:t>92.1</w:t>
            </w:r>
          </w:p>
        </w:tc>
      </w:tr>
      <w:tr w:rsidR="009C1ACE">
        <w:trPr>
          <w:trHeight w:val="604"/>
          <w:jc w:val="center"/>
        </w:trPr>
        <w:tc>
          <w:tcPr>
            <w:tcW w:w="888" w:type="dxa"/>
            <w:vAlign w:val="center"/>
          </w:tcPr>
          <w:p w:rsidR="009C1ACE" w:rsidRDefault="00EF10CE">
            <w:pPr>
              <w:rPr>
                <w:sz w:val="20"/>
                <w:szCs w:val="20"/>
              </w:rPr>
            </w:pPr>
            <w:r>
              <w:rPr>
                <w:sz w:val="20"/>
                <w:szCs w:val="20"/>
              </w:rPr>
              <w:t>2022</w:t>
            </w:r>
            <w:r>
              <w:rPr>
                <w:sz w:val="20"/>
                <w:szCs w:val="20"/>
              </w:rPr>
              <w:t>年</w:t>
            </w:r>
            <w:r>
              <w:rPr>
                <w:sz w:val="20"/>
                <w:szCs w:val="20"/>
              </w:rPr>
              <w:t>3-6</w:t>
            </w:r>
            <w:r>
              <w:rPr>
                <w:sz w:val="20"/>
                <w:szCs w:val="20"/>
              </w:rPr>
              <w:t>月</w:t>
            </w:r>
          </w:p>
        </w:tc>
        <w:tc>
          <w:tcPr>
            <w:tcW w:w="850" w:type="dxa"/>
            <w:vAlign w:val="center"/>
          </w:tcPr>
          <w:p w:rsidR="009C1ACE" w:rsidRDefault="00EF10CE">
            <w:pPr>
              <w:rPr>
                <w:sz w:val="20"/>
                <w:szCs w:val="20"/>
              </w:rPr>
            </w:pPr>
            <w:r>
              <w:rPr>
                <w:sz w:val="20"/>
                <w:szCs w:val="20"/>
              </w:rPr>
              <w:t>脱水泥饼</w:t>
            </w:r>
          </w:p>
        </w:tc>
        <w:tc>
          <w:tcPr>
            <w:tcW w:w="1598" w:type="dxa"/>
            <w:vAlign w:val="center"/>
          </w:tcPr>
          <w:p w:rsidR="009C1ACE" w:rsidRDefault="00EF10CE">
            <w:pPr>
              <w:rPr>
                <w:sz w:val="20"/>
                <w:szCs w:val="20"/>
              </w:rPr>
            </w:pPr>
            <w:r>
              <w:rPr>
                <w:sz w:val="20"/>
                <w:szCs w:val="20"/>
              </w:rPr>
              <w:t>ZYHJ2200657-2</w:t>
            </w:r>
          </w:p>
        </w:tc>
        <w:tc>
          <w:tcPr>
            <w:tcW w:w="1138" w:type="dxa"/>
            <w:vAlign w:val="center"/>
          </w:tcPr>
          <w:p w:rsidR="009C1ACE" w:rsidRDefault="00EF10CE">
            <w:pPr>
              <w:rPr>
                <w:sz w:val="20"/>
                <w:szCs w:val="20"/>
              </w:rPr>
            </w:pPr>
            <w:r>
              <w:rPr>
                <w:sz w:val="20"/>
                <w:szCs w:val="20"/>
              </w:rPr>
              <w:t>29.8-38.6</w:t>
            </w:r>
          </w:p>
        </w:tc>
        <w:tc>
          <w:tcPr>
            <w:tcW w:w="1324" w:type="dxa"/>
            <w:vAlign w:val="center"/>
          </w:tcPr>
          <w:p w:rsidR="009C1ACE" w:rsidRDefault="00EF10CE">
            <w:pPr>
              <w:rPr>
                <w:sz w:val="20"/>
                <w:szCs w:val="20"/>
              </w:rPr>
            </w:pPr>
            <w:r>
              <w:rPr>
                <w:sz w:val="20"/>
                <w:szCs w:val="20"/>
              </w:rPr>
              <w:t>30.6-33.4</w:t>
            </w:r>
          </w:p>
        </w:tc>
        <w:tc>
          <w:tcPr>
            <w:tcW w:w="1287" w:type="dxa"/>
            <w:vAlign w:val="center"/>
          </w:tcPr>
          <w:p w:rsidR="009C1ACE" w:rsidRDefault="00EF10CE">
            <w:pPr>
              <w:rPr>
                <w:sz w:val="20"/>
                <w:szCs w:val="20"/>
              </w:rPr>
            </w:pPr>
            <w:r>
              <w:rPr>
                <w:sz w:val="20"/>
                <w:szCs w:val="20"/>
              </w:rPr>
              <w:t>18.5-19.1</w:t>
            </w:r>
          </w:p>
        </w:tc>
        <w:tc>
          <w:tcPr>
            <w:tcW w:w="1190" w:type="dxa"/>
            <w:vAlign w:val="center"/>
          </w:tcPr>
          <w:p w:rsidR="009C1ACE" w:rsidRDefault="00EF10CE">
            <w:pPr>
              <w:rPr>
                <w:sz w:val="20"/>
                <w:szCs w:val="20"/>
              </w:rPr>
            </w:pPr>
            <w:r>
              <w:rPr>
                <w:sz w:val="20"/>
                <w:szCs w:val="20"/>
              </w:rPr>
              <w:t>39.5-216</w:t>
            </w:r>
          </w:p>
        </w:tc>
      </w:tr>
      <w:tr w:rsidR="009C1ACE">
        <w:trPr>
          <w:trHeight w:val="303"/>
          <w:jc w:val="center"/>
        </w:trPr>
        <w:tc>
          <w:tcPr>
            <w:tcW w:w="3336" w:type="dxa"/>
            <w:gridSpan w:val="3"/>
            <w:shd w:val="clear" w:color="auto" w:fill="C9C9C9"/>
            <w:vAlign w:val="center"/>
          </w:tcPr>
          <w:p w:rsidR="009C1ACE" w:rsidRDefault="00EF10CE">
            <w:pPr>
              <w:rPr>
                <w:sz w:val="20"/>
                <w:szCs w:val="20"/>
              </w:rPr>
            </w:pPr>
            <w:r>
              <w:rPr>
                <w:sz w:val="20"/>
                <w:szCs w:val="20"/>
              </w:rPr>
              <w:t>脱水泥饼平均值</w:t>
            </w:r>
          </w:p>
        </w:tc>
        <w:tc>
          <w:tcPr>
            <w:tcW w:w="1138" w:type="dxa"/>
            <w:shd w:val="clear" w:color="auto" w:fill="C9C9C9"/>
            <w:vAlign w:val="center"/>
          </w:tcPr>
          <w:p w:rsidR="009C1ACE" w:rsidRDefault="00EF10CE">
            <w:pPr>
              <w:rPr>
                <w:sz w:val="20"/>
                <w:szCs w:val="20"/>
              </w:rPr>
            </w:pPr>
            <w:r>
              <w:rPr>
                <w:sz w:val="20"/>
                <w:szCs w:val="20"/>
              </w:rPr>
              <w:t>34.2</w:t>
            </w:r>
          </w:p>
        </w:tc>
        <w:tc>
          <w:tcPr>
            <w:tcW w:w="1324" w:type="dxa"/>
            <w:shd w:val="clear" w:color="auto" w:fill="C9C9C9"/>
            <w:vAlign w:val="center"/>
          </w:tcPr>
          <w:p w:rsidR="009C1ACE" w:rsidRDefault="00EF10CE">
            <w:pPr>
              <w:rPr>
                <w:sz w:val="20"/>
                <w:szCs w:val="20"/>
              </w:rPr>
            </w:pPr>
            <w:r>
              <w:rPr>
                <w:sz w:val="20"/>
                <w:szCs w:val="20"/>
              </w:rPr>
              <w:t>32.0</w:t>
            </w:r>
          </w:p>
        </w:tc>
        <w:tc>
          <w:tcPr>
            <w:tcW w:w="1287" w:type="dxa"/>
            <w:shd w:val="clear" w:color="auto" w:fill="C9C9C9"/>
            <w:vAlign w:val="center"/>
          </w:tcPr>
          <w:p w:rsidR="009C1ACE" w:rsidRDefault="00EF10CE">
            <w:pPr>
              <w:rPr>
                <w:sz w:val="20"/>
                <w:szCs w:val="20"/>
              </w:rPr>
            </w:pPr>
            <w:r>
              <w:rPr>
                <w:sz w:val="20"/>
                <w:szCs w:val="20"/>
              </w:rPr>
              <w:t>18.8</w:t>
            </w:r>
          </w:p>
        </w:tc>
        <w:tc>
          <w:tcPr>
            <w:tcW w:w="1190" w:type="dxa"/>
            <w:shd w:val="clear" w:color="auto" w:fill="C9C9C9"/>
            <w:vAlign w:val="center"/>
          </w:tcPr>
          <w:p w:rsidR="009C1ACE" w:rsidRDefault="00EF10CE">
            <w:pPr>
              <w:rPr>
                <w:sz w:val="20"/>
                <w:szCs w:val="20"/>
              </w:rPr>
            </w:pPr>
            <w:r>
              <w:rPr>
                <w:sz w:val="20"/>
                <w:szCs w:val="20"/>
              </w:rPr>
              <w:t>127.3</w:t>
            </w:r>
          </w:p>
        </w:tc>
      </w:tr>
    </w:tbl>
    <w:p w:rsidR="009C1ACE" w:rsidRDefault="00EF10CE">
      <w:pPr>
        <w:spacing w:line="300" w:lineRule="auto"/>
        <w:ind w:firstLineChars="200" w:firstLine="400"/>
        <w:rPr>
          <w:sz w:val="20"/>
          <w:szCs w:val="20"/>
        </w:rPr>
      </w:pPr>
      <w:r>
        <w:rPr>
          <w:sz w:val="20"/>
          <w:szCs w:val="20"/>
        </w:rPr>
        <w:t>标准编制组还对脱水滤液、臭气成分进行了检测。滤液中</w:t>
      </w:r>
      <w:r>
        <w:rPr>
          <w:sz w:val="20"/>
          <w:szCs w:val="20"/>
        </w:rPr>
        <w:t>COD</w:t>
      </w:r>
      <w:r>
        <w:rPr>
          <w:sz w:val="20"/>
          <w:szCs w:val="20"/>
          <w:vertAlign w:val="subscript"/>
        </w:rPr>
        <w:t>Cr</w:t>
      </w:r>
      <w:r>
        <w:rPr>
          <w:sz w:val="20"/>
          <w:szCs w:val="20"/>
        </w:rPr>
        <w:t>浓度</w:t>
      </w:r>
      <w:r>
        <w:rPr>
          <w:sz w:val="20"/>
          <w:szCs w:val="20"/>
        </w:rPr>
        <w:t>3.15×10</w:t>
      </w:r>
      <w:r>
        <w:rPr>
          <w:sz w:val="20"/>
          <w:szCs w:val="20"/>
          <w:vertAlign w:val="superscript"/>
        </w:rPr>
        <w:t>4</w:t>
      </w:r>
      <w:r>
        <w:rPr>
          <w:sz w:val="20"/>
          <w:szCs w:val="20"/>
        </w:rPr>
        <w:t xml:space="preserve"> mg/L</w:t>
      </w:r>
      <w:r>
        <w:rPr>
          <w:sz w:val="20"/>
          <w:szCs w:val="20"/>
        </w:rPr>
        <w:t>、总氮</w:t>
      </w:r>
      <w:r>
        <w:rPr>
          <w:sz w:val="20"/>
          <w:szCs w:val="20"/>
        </w:rPr>
        <w:t>3.40×10</w:t>
      </w:r>
      <w:r>
        <w:rPr>
          <w:sz w:val="20"/>
          <w:szCs w:val="20"/>
          <w:vertAlign w:val="superscript"/>
        </w:rPr>
        <w:t>3</w:t>
      </w:r>
      <w:r>
        <w:rPr>
          <w:sz w:val="20"/>
          <w:szCs w:val="20"/>
        </w:rPr>
        <w:t xml:space="preserve"> mg/L</w:t>
      </w:r>
      <w:r>
        <w:rPr>
          <w:sz w:val="20"/>
          <w:szCs w:val="20"/>
        </w:rPr>
        <w:t>、总磷</w:t>
      </w:r>
      <w:r>
        <w:rPr>
          <w:sz w:val="20"/>
          <w:szCs w:val="20"/>
        </w:rPr>
        <w:t>15.3 mg/L</w:t>
      </w:r>
      <w:r>
        <w:rPr>
          <w:sz w:val="20"/>
          <w:szCs w:val="20"/>
        </w:rPr>
        <w:t>。根据测算，滤液回流污水处理厂对进水</w:t>
      </w:r>
      <w:r>
        <w:rPr>
          <w:sz w:val="20"/>
          <w:szCs w:val="20"/>
        </w:rPr>
        <w:t>COD</w:t>
      </w:r>
      <w:r>
        <w:rPr>
          <w:sz w:val="20"/>
          <w:szCs w:val="20"/>
          <w:vertAlign w:val="subscript"/>
        </w:rPr>
        <w:t>Cr</w:t>
      </w:r>
      <w:r>
        <w:rPr>
          <w:sz w:val="20"/>
          <w:szCs w:val="20"/>
        </w:rPr>
        <w:t>、总氮、总磷的增加分别为</w:t>
      </w:r>
      <w:r>
        <w:rPr>
          <w:sz w:val="20"/>
          <w:szCs w:val="20"/>
        </w:rPr>
        <w:t>17.4%</w:t>
      </w:r>
      <w:r>
        <w:rPr>
          <w:sz w:val="20"/>
          <w:szCs w:val="20"/>
        </w:rPr>
        <w:t>、</w:t>
      </w:r>
      <w:r>
        <w:rPr>
          <w:sz w:val="20"/>
          <w:szCs w:val="20"/>
        </w:rPr>
        <w:t>11.7%</w:t>
      </w:r>
      <w:r>
        <w:rPr>
          <w:sz w:val="20"/>
          <w:szCs w:val="20"/>
        </w:rPr>
        <w:t>、</w:t>
      </w:r>
      <w:r>
        <w:rPr>
          <w:sz w:val="20"/>
          <w:szCs w:val="20"/>
        </w:rPr>
        <w:t>0.4%</w:t>
      </w:r>
      <w:r>
        <w:rPr>
          <w:sz w:val="20"/>
          <w:szCs w:val="20"/>
        </w:rPr>
        <w:t>，</w:t>
      </w:r>
      <w:r>
        <w:rPr>
          <w:rFonts w:hint="eastAsia"/>
          <w:sz w:val="20"/>
          <w:szCs w:val="20"/>
        </w:rPr>
        <w:t>未影响</w:t>
      </w:r>
      <w:r>
        <w:rPr>
          <w:sz w:val="20"/>
          <w:szCs w:val="20"/>
        </w:rPr>
        <w:t>污水厂出水</w:t>
      </w:r>
      <w:r>
        <w:rPr>
          <w:rFonts w:hint="eastAsia"/>
          <w:sz w:val="20"/>
          <w:szCs w:val="20"/>
        </w:rPr>
        <w:t>水质达标</w:t>
      </w:r>
      <w:r>
        <w:rPr>
          <w:sz w:val="20"/>
          <w:szCs w:val="20"/>
        </w:rPr>
        <w:t>。不凝气体中含有高浓度甲硫醇、甲硫醚、二甲二硫醚、硫化氢等，采用化学洗涤</w:t>
      </w:r>
      <w:r>
        <w:rPr>
          <w:sz w:val="20"/>
          <w:szCs w:val="20"/>
        </w:rPr>
        <w:t>+</w:t>
      </w:r>
      <w:r>
        <w:rPr>
          <w:sz w:val="20"/>
          <w:szCs w:val="20"/>
        </w:rPr>
        <w:t>催化氧化技术可以实现较好的处理效果，达到臭气处理要求。</w:t>
      </w:r>
    </w:p>
    <w:p w:rsidR="009C1ACE" w:rsidRDefault="00EF10CE">
      <w:pPr>
        <w:spacing w:line="300" w:lineRule="auto"/>
        <w:ind w:firstLineChars="200" w:firstLine="400"/>
        <w:rPr>
          <w:sz w:val="20"/>
          <w:szCs w:val="20"/>
        </w:rPr>
      </w:pPr>
      <w:r>
        <w:rPr>
          <w:sz w:val="20"/>
          <w:szCs w:val="20"/>
        </w:rPr>
        <w:t>广东东莞市污泥深度脱水项目也采用水热深度脱水工艺，设计规模</w:t>
      </w:r>
      <w:r>
        <w:rPr>
          <w:sz w:val="20"/>
          <w:szCs w:val="20"/>
        </w:rPr>
        <w:t>300</w:t>
      </w:r>
      <w:r>
        <w:rPr>
          <w:sz w:val="20"/>
          <w:szCs w:val="20"/>
        </w:rPr>
        <w:t>吨</w:t>
      </w:r>
      <w:r>
        <w:rPr>
          <w:sz w:val="20"/>
          <w:szCs w:val="20"/>
        </w:rPr>
        <w:t>/</w:t>
      </w:r>
      <w:r>
        <w:rPr>
          <w:sz w:val="20"/>
          <w:szCs w:val="20"/>
        </w:rPr>
        <w:t>天，工艺流程为污泥储存</w:t>
      </w:r>
      <w:r>
        <w:rPr>
          <w:sz w:val="20"/>
          <w:szCs w:val="20"/>
        </w:rPr>
        <w:t>—</w:t>
      </w:r>
      <w:r>
        <w:rPr>
          <w:sz w:val="20"/>
          <w:szCs w:val="20"/>
        </w:rPr>
        <w:t>水热调理</w:t>
      </w:r>
      <w:r>
        <w:rPr>
          <w:sz w:val="20"/>
          <w:szCs w:val="20"/>
        </w:rPr>
        <w:t>—</w:t>
      </w:r>
      <w:r>
        <w:rPr>
          <w:sz w:val="20"/>
          <w:szCs w:val="20"/>
        </w:rPr>
        <w:t>离心脱水</w:t>
      </w:r>
      <w:r>
        <w:rPr>
          <w:sz w:val="20"/>
          <w:szCs w:val="20"/>
        </w:rPr>
        <w:t>—</w:t>
      </w:r>
      <w:r>
        <w:rPr>
          <w:sz w:val="20"/>
          <w:szCs w:val="20"/>
        </w:rPr>
        <w:t>干化热解。项目采用序批式系统，</w:t>
      </w:r>
      <w:r>
        <w:rPr>
          <w:color w:val="000000"/>
          <w:sz w:val="20"/>
          <w:szCs w:val="20"/>
        </w:rPr>
        <w:t>浆化设备、水热反应器、闪蒸释压反应器</w:t>
      </w:r>
      <w:r>
        <w:rPr>
          <w:sz w:val="20"/>
          <w:szCs w:val="20"/>
        </w:rPr>
        <w:t>，反应温度</w:t>
      </w:r>
      <w:r>
        <w:rPr>
          <w:sz w:val="20"/>
          <w:szCs w:val="20"/>
        </w:rPr>
        <w:t>170-180℃</w:t>
      </w:r>
      <w:r>
        <w:rPr>
          <w:sz w:val="20"/>
          <w:szCs w:val="20"/>
        </w:rPr>
        <w:t>，采用离心机脱水，需投加少量</w:t>
      </w:r>
      <w:r>
        <w:rPr>
          <w:sz w:val="20"/>
          <w:szCs w:val="20"/>
        </w:rPr>
        <w:t>PAM</w:t>
      </w:r>
      <w:r>
        <w:rPr>
          <w:sz w:val="20"/>
          <w:szCs w:val="20"/>
        </w:rPr>
        <w:t>，脱水泥饼含水率不能达到</w:t>
      </w:r>
      <w:r>
        <w:rPr>
          <w:sz w:val="20"/>
          <w:szCs w:val="20"/>
        </w:rPr>
        <w:t>60%</w:t>
      </w:r>
      <w:r>
        <w:rPr>
          <w:sz w:val="20"/>
          <w:szCs w:val="20"/>
        </w:rPr>
        <w:t>以下。</w:t>
      </w:r>
      <w:r>
        <w:rPr>
          <w:rFonts w:hint="eastAsia"/>
          <w:sz w:val="20"/>
          <w:szCs w:val="20"/>
        </w:rPr>
        <w:t>该工程不凝气体采用热处理工艺，利用热解系统进行处理。</w:t>
      </w:r>
    </w:p>
    <w:p w:rsidR="009C1ACE" w:rsidRDefault="00EF10CE">
      <w:pPr>
        <w:spacing w:line="300" w:lineRule="auto"/>
        <w:ind w:firstLineChars="200" w:firstLine="400"/>
        <w:rPr>
          <w:sz w:val="20"/>
          <w:szCs w:val="20"/>
        </w:rPr>
      </w:pPr>
      <w:r>
        <w:rPr>
          <w:sz w:val="20"/>
          <w:szCs w:val="20"/>
        </w:rPr>
        <w:t>综合上述两项工程调研，为实现深度脱水效果，降低泥饼含水率，本标准提出水热深度脱水应采用</w:t>
      </w:r>
      <w:r>
        <w:rPr>
          <w:rFonts w:hint="eastAsia"/>
          <w:sz w:val="20"/>
          <w:szCs w:val="20"/>
        </w:rPr>
        <w:t>隔膜板框</w:t>
      </w:r>
      <w:r>
        <w:rPr>
          <w:sz w:val="20"/>
          <w:szCs w:val="20"/>
        </w:rPr>
        <w:t>压滤设备进行脱水。同时对工程脱水滤液、臭气进行分析检测，提出脱水滤液宜回流污水处理厂，对于</w:t>
      </w:r>
      <w:r>
        <w:rPr>
          <w:sz w:val="20"/>
          <w:szCs w:val="20"/>
        </w:rPr>
        <w:t>水热系统产生的不凝臭气可采用化学洗涤</w:t>
      </w:r>
      <w:r>
        <w:rPr>
          <w:sz w:val="20"/>
          <w:szCs w:val="20"/>
        </w:rPr>
        <w:t>+</w:t>
      </w:r>
      <w:r>
        <w:rPr>
          <w:sz w:val="20"/>
          <w:szCs w:val="20"/>
        </w:rPr>
        <w:t>催化氧化</w:t>
      </w:r>
      <w:r>
        <w:rPr>
          <w:rFonts w:hint="eastAsia"/>
          <w:sz w:val="20"/>
          <w:szCs w:val="20"/>
        </w:rPr>
        <w:t>、热处理</w:t>
      </w:r>
      <w:r>
        <w:rPr>
          <w:sz w:val="20"/>
          <w:szCs w:val="20"/>
        </w:rPr>
        <w:t>的处理工艺。</w:t>
      </w:r>
    </w:p>
    <w:bookmarkStart w:id="16" w:name="_Toc14999"/>
    <w:p w:rsidR="009C1ACE" w:rsidRDefault="009C1ACE">
      <w:pPr>
        <w:pStyle w:val="11"/>
        <w:numPr>
          <w:ilvl w:val="0"/>
          <w:numId w:val="3"/>
        </w:numPr>
        <w:outlineLvl w:val="0"/>
        <w:rPr>
          <w:bCs w:val="0"/>
          <w:lang w:val="zh-CN"/>
        </w:rPr>
      </w:pPr>
      <w:r>
        <w:rPr>
          <w:bCs w:val="0"/>
        </w:rPr>
        <w:fldChar w:fldCharType="begin"/>
      </w:r>
      <w:r w:rsidR="00EF10CE">
        <w:rPr>
          <w:bCs w:val="0"/>
        </w:rPr>
        <w:instrText xml:space="preserve"> HYPERLINK \l "_Toc234978613"</w:instrText>
      </w:r>
      <w:r>
        <w:rPr>
          <w:bCs w:val="0"/>
        </w:rPr>
        <w:fldChar w:fldCharType="separate"/>
      </w:r>
      <w:r w:rsidR="00EF10CE">
        <w:rPr>
          <w:bCs w:val="0"/>
        </w:rPr>
        <w:t>主要技术内容及说明</w:t>
      </w:r>
      <w:r>
        <w:rPr>
          <w:bCs w:val="0"/>
        </w:rPr>
        <w:fldChar w:fldCharType="end"/>
      </w:r>
      <w:bookmarkEnd w:id="16"/>
    </w:p>
    <w:p w:rsidR="009C1ACE" w:rsidRDefault="00EF10CE">
      <w:pPr>
        <w:numPr>
          <w:ilvl w:val="0"/>
          <w:numId w:val="5"/>
        </w:numPr>
        <w:spacing w:line="300" w:lineRule="auto"/>
        <w:ind w:firstLineChars="200" w:firstLine="400"/>
        <w:rPr>
          <w:sz w:val="20"/>
          <w:szCs w:val="20"/>
        </w:rPr>
      </w:pPr>
      <w:r>
        <w:rPr>
          <w:sz w:val="20"/>
          <w:szCs w:val="20"/>
        </w:rPr>
        <w:t>标准框架结构及主要内容</w:t>
      </w:r>
    </w:p>
    <w:p w:rsidR="009C1ACE" w:rsidRDefault="00EF10CE">
      <w:pPr>
        <w:spacing w:line="300" w:lineRule="auto"/>
        <w:ind w:firstLineChars="200" w:firstLine="400"/>
        <w:rPr>
          <w:sz w:val="20"/>
          <w:szCs w:val="20"/>
        </w:rPr>
      </w:pPr>
      <w:r>
        <w:rPr>
          <w:sz w:val="20"/>
          <w:szCs w:val="20"/>
        </w:rPr>
        <w:t>标准分为</w:t>
      </w:r>
      <w:r>
        <w:rPr>
          <w:sz w:val="20"/>
          <w:szCs w:val="20"/>
        </w:rPr>
        <w:t>1</w:t>
      </w:r>
      <w:r>
        <w:rPr>
          <w:rFonts w:hint="eastAsia"/>
          <w:sz w:val="20"/>
          <w:szCs w:val="20"/>
        </w:rPr>
        <w:t>2</w:t>
      </w:r>
      <w:r>
        <w:rPr>
          <w:sz w:val="20"/>
          <w:szCs w:val="20"/>
        </w:rPr>
        <w:t>个章节，包括</w:t>
      </w:r>
      <w:r>
        <w:rPr>
          <w:sz w:val="20"/>
          <w:szCs w:val="20"/>
        </w:rPr>
        <w:t>“1.</w:t>
      </w:r>
      <w:r>
        <w:rPr>
          <w:sz w:val="20"/>
          <w:szCs w:val="20"/>
        </w:rPr>
        <w:t>范围、</w:t>
      </w:r>
      <w:r>
        <w:rPr>
          <w:sz w:val="20"/>
          <w:szCs w:val="20"/>
        </w:rPr>
        <w:t>2.</w:t>
      </w:r>
      <w:r>
        <w:rPr>
          <w:sz w:val="20"/>
          <w:szCs w:val="20"/>
        </w:rPr>
        <w:t>规范应引用文件、</w:t>
      </w:r>
      <w:r>
        <w:rPr>
          <w:sz w:val="20"/>
          <w:szCs w:val="20"/>
        </w:rPr>
        <w:t>3.</w:t>
      </w:r>
      <w:r>
        <w:rPr>
          <w:sz w:val="20"/>
          <w:szCs w:val="20"/>
        </w:rPr>
        <w:t>术语和定义、</w:t>
      </w:r>
      <w:r>
        <w:rPr>
          <w:sz w:val="20"/>
          <w:szCs w:val="20"/>
        </w:rPr>
        <w:t>4.</w:t>
      </w:r>
      <w:r>
        <w:rPr>
          <w:rFonts w:hint="eastAsia"/>
          <w:sz w:val="20"/>
          <w:szCs w:val="20"/>
        </w:rPr>
        <w:t>工艺流程</w:t>
      </w:r>
      <w:r>
        <w:rPr>
          <w:sz w:val="20"/>
          <w:szCs w:val="20"/>
        </w:rPr>
        <w:t>、</w:t>
      </w:r>
      <w:r>
        <w:rPr>
          <w:sz w:val="20"/>
          <w:szCs w:val="20"/>
        </w:rPr>
        <w:t>5.</w:t>
      </w:r>
      <w:r>
        <w:rPr>
          <w:rFonts w:hint="eastAsia"/>
          <w:sz w:val="20"/>
          <w:szCs w:val="20"/>
        </w:rPr>
        <w:t>总体要求</w:t>
      </w:r>
      <w:r>
        <w:rPr>
          <w:sz w:val="20"/>
          <w:szCs w:val="20"/>
        </w:rPr>
        <w:t>、</w:t>
      </w:r>
      <w:r>
        <w:rPr>
          <w:sz w:val="20"/>
          <w:szCs w:val="20"/>
        </w:rPr>
        <w:t>6.</w:t>
      </w:r>
      <w:r>
        <w:rPr>
          <w:sz w:val="20"/>
          <w:szCs w:val="20"/>
        </w:rPr>
        <w:t>污泥储存和输送、</w:t>
      </w:r>
      <w:r>
        <w:rPr>
          <w:sz w:val="20"/>
          <w:szCs w:val="20"/>
        </w:rPr>
        <w:t>7.</w:t>
      </w:r>
      <w:r>
        <w:rPr>
          <w:sz w:val="20"/>
          <w:szCs w:val="20"/>
        </w:rPr>
        <w:t>污泥水热</w:t>
      </w:r>
      <w:r>
        <w:rPr>
          <w:rFonts w:hint="eastAsia"/>
          <w:sz w:val="20"/>
          <w:szCs w:val="20"/>
        </w:rPr>
        <w:t>调理</w:t>
      </w:r>
      <w:r>
        <w:rPr>
          <w:sz w:val="20"/>
          <w:szCs w:val="20"/>
        </w:rPr>
        <w:t>、</w:t>
      </w:r>
      <w:r>
        <w:rPr>
          <w:sz w:val="20"/>
          <w:szCs w:val="20"/>
        </w:rPr>
        <w:t>8.</w:t>
      </w:r>
      <w:r>
        <w:rPr>
          <w:sz w:val="20"/>
          <w:szCs w:val="20"/>
        </w:rPr>
        <w:t>污泥换热系、</w:t>
      </w:r>
      <w:r>
        <w:rPr>
          <w:sz w:val="20"/>
          <w:szCs w:val="20"/>
        </w:rPr>
        <w:t>9.</w:t>
      </w:r>
      <w:r>
        <w:rPr>
          <w:sz w:val="20"/>
          <w:szCs w:val="20"/>
        </w:rPr>
        <w:t>污泥深度、</w:t>
      </w:r>
      <w:r>
        <w:rPr>
          <w:sz w:val="20"/>
          <w:szCs w:val="20"/>
        </w:rPr>
        <w:t>10.</w:t>
      </w:r>
      <w:r>
        <w:rPr>
          <w:sz w:val="20"/>
          <w:szCs w:val="20"/>
        </w:rPr>
        <w:t>滤液收集与处理系</w:t>
      </w:r>
      <w:r>
        <w:rPr>
          <w:sz w:val="20"/>
          <w:szCs w:val="20"/>
        </w:rPr>
        <w:lastRenderedPageBreak/>
        <w:t>统、</w:t>
      </w:r>
      <w:r>
        <w:rPr>
          <w:sz w:val="20"/>
          <w:szCs w:val="20"/>
        </w:rPr>
        <w:t>11.</w:t>
      </w:r>
      <w:r>
        <w:rPr>
          <w:sz w:val="20"/>
          <w:szCs w:val="20"/>
        </w:rPr>
        <w:t>臭气处理、</w:t>
      </w:r>
      <w:r>
        <w:rPr>
          <w:sz w:val="20"/>
          <w:szCs w:val="20"/>
        </w:rPr>
        <w:t>12.</w:t>
      </w:r>
      <w:r>
        <w:rPr>
          <w:sz w:val="20"/>
          <w:szCs w:val="20"/>
        </w:rPr>
        <w:t>运行与管理</w:t>
      </w:r>
      <w:r>
        <w:rPr>
          <w:sz w:val="20"/>
          <w:szCs w:val="20"/>
        </w:rPr>
        <w:t>”</w:t>
      </w:r>
      <w:r>
        <w:rPr>
          <w:sz w:val="20"/>
          <w:szCs w:val="20"/>
        </w:rPr>
        <w:t>。第</w:t>
      </w:r>
      <w:r>
        <w:rPr>
          <w:sz w:val="20"/>
          <w:szCs w:val="20"/>
        </w:rPr>
        <w:t>1</w:t>
      </w:r>
      <w:r>
        <w:rPr>
          <w:sz w:val="20"/>
          <w:szCs w:val="20"/>
        </w:rPr>
        <w:t>章规定了标准适用范围为</w:t>
      </w:r>
      <w:r>
        <w:rPr>
          <w:color w:val="000000"/>
          <w:sz w:val="20"/>
          <w:szCs w:val="20"/>
        </w:rPr>
        <w:t>新建、改建和扩建城镇污水处理厂污泥水热</w:t>
      </w:r>
      <w:r>
        <w:rPr>
          <w:rFonts w:hint="eastAsia"/>
          <w:color w:val="000000"/>
          <w:sz w:val="20"/>
          <w:szCs w:val="20"/>
        </w:rPr>
        <w:t>调理</w:t>
      </w:r>
      <w:r>
        <w:rPr>
          <w:color w:val="000000"/>
          <w:sz w:val="20"/>
          <w:szCs w:val="20"/>
        </w:rPr>
        <w:t>深度脱水</w:t>
      </w:r>
      <w:r>
        <w:rPr>
          <w:rFonts w:hint="eastAsia"/>
          <w:color w:val="000000"/>
          <w:sz w:val="20"/>
          <w:szCs w:val="20"/>
        </w:rPr>
        <w:t>项目</w:t>
      </w:r>
      <w:r>
        <w:rPr>
          <w:color w:val="000000"/>
          <w:sz w:val="20"/>
          <w:szCs w:val="20"/>
        </w:rPr>
        <w:t>的设计和运行管理；第</w:t>
      </w:r>
      <w:r>
        <w:rPr>
          <w:color w:val="000000"/>
          <w:sz w:val="20"/>
          <w:szCs w:val="20"/>
        </w:rPr>
        <w:t>2</w:t>
      </w:r>
      <w:r>
        <w:rPr>
          <w:color w:val="000000"/>
          <w:sz w:val="20"/>
          <w:szCs w:val="20"/>
        </w:rPr>
        <w:t>章列</w:t>
      </w:r>
      <w:r>
        <w:rPr>
          <w:color w:val="000000"/>
          <w:sz w:val="20"/>
          <w:szCs w:val="20"/>
        </w:rPr>
        <w:t>出了本标准引用的规范性文件；第</w:t>
      </w:r>
      <w:r>
        <w:rPr>
          <w:color w:val="000000"/>
          <w:sz w:val="20"/>
          <w:szCs w:val="20"/>
        </w:rPr>
        <w:t>3</w:t>
      </w:r>
      <w:r>
        <w:rPr>
          <w:color w:val="000000"/>
          <w:sz w:val="20"/>
          <w:szCs w:val="20"/>
        </w:rPr>
        <w:t>章定义了标准中提到的专业术语；</w:t>
      </w:r>
      <w:r>
        <w:rPr>
          <w:color w:val="000000"/>
          <w:sz w:val="20"/>
          <w:szCs w:val="20"/>
        </w:rPr>
        <w:t>4~5</w:t>
      </w:r>
      <w:r>
        <w:rPr>
          <w:color w:val="000000"/>
          <w:sz w:val="20"/>
          <w:szCs w:val="20"/>
        </w:rPr>
        <w:t>章</w:t>
      </w:r>
      <w:r>
        <w:rPr>
          <w:rFonts w:hint="eastAsia"/>
          <w:color w:val="000000"/>
          <w:sz w:val="20"/>
          <w:szCs w:val="20"/>
        </w:rPr>
        <w:t>提供了工艺流程及总体</w:t>
      </w:r>
      <w:r>
        <w:rPr>
          <w:color w:val="000000"/>
          <w:sz w:val="20"/>
          <w:szCs w:val="20"/>
        </w:rPr>
        <w:t>要求；</w:t>
      </w:r>
      <w:r>
        <w:rPr>
          <w:sz w:val="20"/>
          <w:szCs w:val="20"/>
        </w:rPr>
        <w:t>6~11</w:t>
      </w:r>
      <w:r>
        <w:rPr>
          <w:sz w:val="20"/>
          <w:szCs w:val="20"/>
        </w:rPr>
        <w:t>章</w:t>
      </w:r>
      <w:r>
        <w:rPr>
          <w:rFonts w:hint="eastAsia"/>
          <w:sz w:val="20"/>
          <w:szCs w:val="20"/>
        </w:rPr>
        <w:t>提供</w:t>
      </w:r>
      <w:r>
        <w:rPr>
          <w:sz w:val="20"/>
          <w:szCs w:val="20"/>
        </w:rPr>
        <w:t>了水热</w:t>
      </w:r>
      <w:r>
        <w:rPr>
          <w:rFonts w:hint="eastAsia"/>
          <w:sz w:val="20"/>
          <w:szCs w:val="20"/>
        </w:rPr>
        <w:t>调理</w:t>
      </w:r>
      <w:r>
        <w:rPr>
          <w:sz w:val="20"/>
          <w:szCs w:val="20"/>
        </w:rPr>
        <w:t>深度脱水各工艺环节的技术要求，分为一般规定、工艺设计、设备构造，一般规定</w:t>
      </w:r>
      <w:r>
        <w:rPr>
          <w:rFonts w:hint="eastAsia"/>
          <w:sz w:val="20"/>
          <w:szCs w:val="20"/>
        </w:rPr>
        <w:t>提供</w:t>
      </w:r>
      <w:r>
        <w:rPr>
          <w:sz w:val="20"/>
          <w:szCs w:val="20"/>
        </w:rPr>
        <w:t>了工艺设计通用性的原则，工艺设计</w:t>
      </w:r>
      <w:r>
        <w:rPr>
          <w:rFonts w:hint="eastAsia"/>
          <w:sz w:val="20"/>
          <w:szCs w:val="20"/>
        </w:rPr>
        <w:t>提供</w:t>
      </w:r>
      <w:r>
        <w:rPr>
          <w:sz w:val="20"/>
          <w:szCs w:val="20"/>
        </w:rPr>
        <w:t>了工艺设计技术要求及参数，设备构造提出了工艺设备技术要求及参数；</w:t>
      </w:r>
      <w:r>
        <w:rPr>
          <w:sz w:val="20"/>
          <w:szCs w:val="20"/>
        </w:rPr>
        <w:t>12</w:t>
      </w:r>
      <w:r>
        <w:rPr>
          <w:sz w:val="20"/>
          <w:szCs w:val="20"/>
        </w:rPr>
        <w:t>章</w:t>
      </w:r>
      <w:r>
        <w:rPr>
          <w:rFonts w:hint="eastAsia"/>
          <w:sz w:val="20"/>
          <w:szCs w:val="20"/>
        </w:rPr>
        <w:t>提供了项目运</w:t>
      </w:r>
      <w:r>
        <w:rPr>
          <w:sz w:val="20"/>
          <w:szCs w:val="20"/>
        </w:rPr>
        <w:t>行管理方面的要求。</w:t>
      </w:r>
    </w:p>
    <w:p w:rsidR="009C1ACE" w:rsidRDefault="00EF10CE">
      <w:pPr>
        <w:numPr>
          <w:ilvl w:val="0"/>
          <w:numId w:val="5"/>
        </w:numPr>
        <w:spacing w:line="300" w:lineRule="auto"/>
        <w:ind w:firstLineChars="200" w:firstLine="400"/>
        <w:rPr>
          <w:sz w:val="20"/>
          <w:szCs w:val="20"/>
        </w:rPr>
      </w:pPr>
      <w:r>
        <w:rPr>
          <w:sz w:val="20"/>
          <w:szCs w:val="20"/>
        </w:rPr>
        <w:t>主要技术内容说明</w:t>
      </w:r>
    </w:p>
    <w:p w:rsidR="009C1ACE" w:rsidRDefault="00EF10CE">
      <w:pPr>
        <w:spacing w:line="300" w:lineRule="auto"/>
        <w:ind w:firstLineChars="200" w:firstLine="400"/>
        <w:rPr>
          <w:sz w:val="20"/>
          <w:szCs w:val="20"/>
        </w:rPr>
      </w:pPr>
      <w:r>
        <w:rPr>
          <w:rFonts w:hint="eastAsia"/>
          <w:sz w:val="20"/>
          <w:szCs w:val="20"/>
        </w:rPr>
        <w:t>5</w:t>
      </w:r>
      <w:r>
        <w:rPr>
          <w:sz w:val="20"/>
          <w:szCs w:val="20"/>
        </w:rPr>
        <w:t xml:space="preserve">.1.1 </w:t>
      </w:r>
      <w:r>
        <w:rPr>
          <w:sz w:val="20"/>
          <w:szCs w:val="20"/>
        </w:rPr>
        <w:t>设计泥量：城镇污水处理厂污泥包括初沉污泥、剩余污泥、化学污泥等，在设计时首先要考虑哪些污泥进入水热深度脱水系统。此外，污泥水热深度处理设施宜集中建设</w:t>
      </w:r>
      <w:r>
        <w:rPr>
          <w:sz w:val="20"/>
          <w:szCs w:val="20"/>
        </w:rPr>
        <w:t>，可能处理一个或多个污水处理厂产生的污泥，应综合考虑污泥处理工艺、进水水量和水质、季节性变化等因素对污泥产量的影响，设计泥量应综合考虑并留有</w:t>
      </w:r>
      <w:r>
        <w:rPr>
          <w:sz w:val="20"/>
          <w:szCs w:val="20"/>
        </w:rPr>
        <w:t>20%</w:t>
      </w:r>
      <w:r>
        <w:rPr>
          <w:sz w:val="20"/>
          <w:szCs w:val="20"/>
        </w:rPr>
        <w:t>左右的安全系数。</w:t>
      </w:r>
    </w:p>
    <w:p w:rsidR="009C1ACE" w:rsidRDefault="00EF10CE">
      <w:pPr>
        <w:spacing w:line="300" w:lineRule="auto"/>
        <w:ind w:firstLineChars="200" w:firstLine="400"/>
        <w:rPr>
          <w:sz w:val="20"/>
          <w:szCs w:val="20"/>
        </w:rPr>
      </w:pPr>
      <w:r>
        <w:rPr>
          <w:rFonts w:hint="eastAsia"/>
          <w:sz w:val="20"/>
          <w:szCs w:val="20"/>
        </w:rPr>
        <w:t xml:space="preserve">5.1.2 </w:t>
      </w:r>
      <w:r>
        <w:rPr>
          <w:rFonts w:hint="eastAsia"/>
          <w:color w:val="000000"/>
          <w:szCs w:val="21"/>
        </w:rPr>
        <w:t>水热调理深度脱水工艺所处理的污泥有机质含量宜＞</w:t>
      </w:r>
      <w:r>
        <w:rPr>
          <w:rFonts w:hint="eastAsia"/>
          <w:color w:val="000000"/>
          <w:szCs w:val="21"/>
        </w:rPr>
        <w:t>35%</w:t>
      </w:r>
      <w:r>
        <w:rPr>
          <w:rFonts w:hint="eastAsia"/>
          <w:color w:val="000000"/>
          <w:szCs w:val="21"/>
        </w:rPr>
        <w:t>，有机质含量过低的污泥中含有大量砂石，易对水热调理设备造成磨损，影响处理效果。</w:t>
      </w:r>
    </w:p>
    <w:p w:rsidR="009C1ACE" w:rsidRDefault="00EF10CE">
      <w:pPr>
        <w:spacing w:line="300" w:lineRule="auto"/>
        <w:ind w:firstLineChars="200" w:firstLine="400"/>
        <w:rPr>
          <w:sz w:val="20"/>
          <w:szCs w:val="20"/>
        </w:rPr>
      </w:pPr>
      <w:r>
        <w:rPr>
          <w:rFonts w:hint="eastAsia"/>
          <w:sz w:val="20"/>
          <w:szCs w:val="20"/>
        </w:rPr>
        <w:t>5</w:t>
      </w:r>
      <w:r>
        <w:rPr>
          <w:sz w:val="20"/>
          <w:szCs w:val="20"/>
        </w:rPr>
        <w:t>.1.</w:t>
      </w:r>
      <w:r>
        <w:rPr>
          <w:rFonts w:hint="eastAsia"/>
          <w:sz w:val="20"/>
          <w:szCs w:val="20"/>
        </w:rPr>
        <w:t>3</w:t>
      </w:r>
      <w:r>
        <w:rPr>
          <w:sz w:val="20"/>
          <w:szCs w:val="20"/>
        </w:rPr>
        <w:t xml:space="preserve"> </w:t>
      </w:r>
      <w:r>
        <w:rPr>
          <w:sz w:val="20"/>
          <w:szCs w:val="20"/>
        </w:rPr>
        <w:t>设计泥质：进入污泥水热深度脱水的污泥一般是机械脱水后的污泥，比如采用叠螺脱水机、离心脱水机、带式脱水机等，其含水率约</w:t>
      </w:r>
      <w:r>
        <w:rPr>
          <w:sz w:val="20"/>
          <w:szCs w:val="20"/>
        </w:rPr>
        <w:t>80%~85%</w:t>
      </w:r>
      <w:r>
        <w:rPr>
          <w:sz w:val="20"/>
          <w:szCs w:val="20"/>
        </w:rPr>
        <w:t>，如含水率过高，一是污泥脱水减量不明显，集中处理时污泥运输成本较高；二是水热预处理时，蒸汽耗量高，不经济。</w:t>
      </w:r>
    </w:p>
    <w:p w:rsidR="009C1ACE" w:rsidRDefault="00EF10CE">
      <w:pPr>
        <w:spacing w:line="300" w:lineRule="auto"/>
        <w:ind w:firstLineChars="200" w:firstLine="400"/>
        <w:rPr>
          <w:sz w:val="20"/>
          <w:szCs w:val="20"/>
        </w:rPr>
      </w:pPr>
      <w:r>
        <w:rPr>
          <w:sz w:val="20"/>
          <w:szCs w:val="20"/>
        </w:rPr>
        <w:t>5.</w:t>
      </w:r>
      <w:r>
        <w:rPr>
          <w:rFonts w:hint="eastAsia"/>
          <w:sz w:val="20"/>
          <w:szCs w:val="20"/>
        </w:rPr>
        <w:t>2</w:t>
      </w:r>
      <w:r>
        <w:rPr>
          <w:sz w:val="20"/>
          <w:szCs w:val="20"/>
        </w:rPr>
        <w:t xml:space="preserve">.2 </w:t>
      </w:r>
      <w:r>
        <w:rPr>
          <w:sz w:val="20"/>
          <w:szCs w:val="20"/>
        </w:rPr>
        <w:t>污泥水热深度脱水的滤液污染物浓度含量高，单独建设滤液处理设施时投资和运行成本较高，可考虑利用现有污水处理厂处理余量处理滤液。</w:t>
      </w:r>
    </w:p>
    <w:p w:rsidR="009C1ACE" w:rsidRDefault="00EF10CE">
      <w:pPr>
        <w:spacing w:line="300" w:lineRule="auto"/>
        <w:ind w:firstLineChars="200" w:firstLine="400"/>
        <w:rPr>
          <w:sz w:val="20"/>
          <w:szCs w:val="20"/>
        </w:rPr>
      </w:pPr>
      <w:r>
        <w:rPr>
          <w:sz w:val="20"/>
          <w:szCs w:val="20"/>
        </w:rPr>
        <w:t>5.</w:t>
      </w:r>
      <w:r>
        <w:rPr>
          <w:rFonts w:hint="eastAsia"/>
          <w:sz w:val="20"/>
          <w:szCs w:val="20"/>
        </w:rPr>
        <w:t>2</w:t>
      </w:r>
      <w:r>
        <w:rPr>
          <w:sz w:val="20"/>
          <w:szCs w:val="20"/>
        </w:rPr>
        <w:t>.</w:t>
      </w:r>
      <w:r>
        <w:rPr>
          <w:rFonts w:hint="eastAsia"/>
          <w:sz w:val="20"/>
          <w:szCs w:val="20"/>
        </w:rPr>
        <w:t>4</w:t>
      </w:r>
      <w:r>
        <w:rPr>
          <w:sz w:val="20"/>
          <w:szCs w:val="20"/>
        </w:rPr>
        <w:t xml:space="preserve"> </w:t>
      </w:r>
      <w:r>
        <w:rPr>
          <w:sz w:val="20"/>
          <w:szCs w:val="20"/>
        </w:rPr>
        <w:t>根据已建工程调研情况，采用浆化水热一体化</w:t>
      </w:r>
      <w:r>
        <w:rPr>
          <w:rFonts w:hint="eastAsia"/>
          <w:sz w:val="20"/>
          <w:szCs w:val="20"/>
        </w:rPr>
        <w:t>系统</w:t>
      </w:r>
      <w:r>
        <w:rPr>
          <w:sz w:val="20"/>
          <w:szCs w:val="20"/>
        </w:rPr>
        <w:t>，设备布置紧凑，占地面积大约</w:t>
      </w:r>
      <w:r>
        <w:rPr>
          <w:sz w:val="20"/>
          <w:szCs w:val="20"/>
        </w:rPr>
        <w:t xml:space="preserve">10 </w:t>
      </w:r>
      <w:r>
        <w:rPr>
          <w:sz w:val="20"/>
          <w:szCs w:val="20"/>
        </w:rPr>
        <w:t>㎡</w:t>
      </w:r>
      <w:r>
        <w:rPr>
          <w:sz w:val="20"/>
          <w:szCs w:val="20"/>
        </w:rPr>
        <w:t>/t</w:t>
      </w:r>
      <w:r>
        <w:rPr>
          <w:sz w:val="20"/>
          <w:szCs w:val="20"/>
        </w:rPr>
        <w:t>。考虑到序批式系统包括浆化设备、水热反应器、闪蒸释压反应器，系统占地面积稍大，同时随着环保要求升高，应为臭气、滤液储存等环保设施预留足够的空间，因此用地指标适当扩大。</w:t>
      </w:r>
    </w:p>
    <w:p w:rsidR="009C1ACE" w:rsidRDefault="00EF10CE">
      <w:pPr>
        <w:spacing w:line="300" w:lineRule="auto"/>
        <w:ind w:firstLineChars="200" w:firstLine="400"/>
        <w:rPr>
          <w:sz w:val="20"/>
          <w:szCs w:val="20"/>
        </w:rPr>
      </w:pPr>
      <w:r>
        <w:rPr>
          <w:rFonts w:hint="eastAsia"/>
          <w:sz w:val="20"/>
          <w:szCs w:val="20"/>
        </w:rPr>
        <w:t xml:space="preserve">5.3.2 </w:t>
      </w:r>
      <w:r>
        <w:rPr>
          <w:rFonts w:hint="eastAsia"/>
          <w:sz w:val="20"/>
          <w:szCs w:val="20"/>
        </w:rPr>
        <w:t>水热调理深度脱水工艺优势在于仅需少量化学药剂或不需药剂实现深度脱水，适宜土地利用，在污染物含量达标、有土地利用条件的情况下应优先土地利用，在利用前应进行稳定化处理。</w:t>
      </w:r>
    </w:p>
    <w:p w:rsidR="009C1ACE" w:rsidRDefault="00EF10CE">
      <w:pPr>
        <w:spacing w:line="300" w:lineRule="auto"/>
        <w:ind w:firstLineChars="200" w:firstLine="400"/>
        <w:rPr>
          <w:sz w:val="20"/>
          <w:szCs w:val="20"/>
        </w:rPr>
      </w:pPr>
      <w:r>
        <w:rPr>
          <w:rFonts w:hint="eastAsia"/>
          <w:sz w:val="20"/>
          <w:szCs w:val="20"/>
        </w:rPr>
        <w:t xml:space="preserve">6.1.4 </w:t>
      </w:r>
      <w:r>
        <w:rPr>
          <w:rFonts w:hint="eastAsia"/>
          <w:sz w:val="20"/>
          <w:szCs w:val="20"/>
        </w:rPr>
        <w:t>根据项目情况，污泥可能通过管道泵送或车辆运输至水热调理深度脱水处理项目，如采用管道泵送，可采用流量计对污泥进行计量；如采用车辆运输，可设置称重磅进行</w:t>
      </w:r>
      <w:r>
        <w:rPr>
          <w:rFonts w:hint="eastAsia"/>
          <w:sz w:val="20"/>
          <w:szCs w:val="20"/>
        </w:rPr>
        <w:t>计量。</w:t>
      </w:r>
    </w:p>
    <w:p w:rsidR="009C1ACE" w:rsidRDefault="00EF10CE">
      <w:pPr>
        <w:spacing w:line="300" w:lineRule="auto"/>
        <w:ind w:firstLineChars="200" w:firstLine="400"/>
        <w:rPr>
          <w:sz w:val="20"/>
          <w:szCs w:val="20"/>
        </w:rPr>
      </w:pPr>
      <w:r>
        <w:rPr>
          <w:sz w:val="20"/>
          <w:szCs w:val="20"/>
        </w:rPr>
        <w:t xml:space="preserve">6.3.2 </w:t>
      </w:r>
      <w:r>
        <w:rPr>
          <w:sz w:val="20"/>
          <w:szCs w:val="20"/>
        </w:rPr>
        <w:t>脱水污泥的粘性较大，进入污泥料仓后，脱水污泥易板结、成团，在料仓与输送泵连接口之前经常会出现污泥架空导致污泥无法顺利落入输送泵泵腔的情况，这种现象称之为</w:t>
      </w:r>
      <w:r>
        <w:rPr>
          <w:sz w:val="20"/>
          <w:szCs w:val="20"/>
        </w:rPr>
        <w:t>“</w:t>
      </w:r>
      <w:r>
        <w:rPr>
          <w:sz w:val="20"/>
          <w:szCs w:val="20"/>
        </w:rPr>
        <w:t>架桥</w:t>
      </w:r>
      <w:r>
        <w:rPr>
          <w:sz w:val="20"/>
          <w:szCs w:val="20"/>
        </w:rPr>
        <w:t>”</w:t>
      </w:r>
      <w:r>
        <w:rPr>
          <w:sz w:val="20"/>
          <w:szCs w:val="20"/>
        </w:rPr>
        <w:t>，可通过设置刮板、螺旋的方式防止污泥架桥。</w:t>
      </w:r>
    </w:p>
    <w:p w:rsidR="009C1ACE" w:rsidRDefault="00EF10CE">
      <w:pPr>
        <w:spacing w:line="300" w:lineRule="auto"/>
        <w:ind w:firstLineChars="200" w:firstLine="400"/>
        <w:rPr>
          <w:sz w:val="20"/>
          <w:szCs w:val="20"/>
        </w:rPr>
      </w:pPr>
      <w:r>
        <w:rPr>
          <w:sz w:val="20"/>
          <w:szCs w:val="20"/>
        </w:rPr>
        <w:t xml:space="preserve">7.1.1 </w:t>
      </w:r>
      <w:r>
        <w:rPr>
          <w:sz w:val="20"/>
          <w:szCs w:val="20"/>
        </w:rPr>
        <w:t>水热反应的原理简单来说类似高压锅，即污泥在高温高压的过程中，胞外聚合物和大分子有机物发生水解，污泥中微生物的细胞壁破碎，可有效改善污泥的脱水性能，利于后续的脱水。工程中，为确保污泥输送系统、水热反应系统、换热系统、蒸汽供应系统等连续运行，一条水热生产线可能配置多个水热反应器，</w:t>
      </w:r>
      <w:r>
        <w:rPr>
          <w:sz w:val="20"/>
          <w:szCs w:val="20"/>
        </w:rPr>
        <w:t>每个水热反应器依次经历进泥、加热、保温、闪蒸释压、排泥等工序，而整个水热系统可实现连续进泥，连续反应，连续排泥等。</w:t>
      </w:r>
    </w:p>
    <w:p w:rsidR="009C1ACE" w:rsidRDefault="00EF10CE">
      <w:pPr>
        <w:spacing w:line="300" w:lineRule="auto"/>
        <w:ind w:firstLineChars="200" w:firstLine="400"/>
        <w:rPr>
          <w:sz w:val="20"/>
          <w:szCs w:val="20"/>
        </w:rPr>
      </w:pPr>
      <w:r>
        <w:rPr>
          <w:sz w:val="20"/>
          <w:szCs w:val="20"/>
        </w:rPr>
        <w:t xml:space="preserve">7.2.1 </w:t>
      </w:r>
      <w:r>
        <w:rPr>
          <w:sz w:val="20"/>
          <w:szCs w:val="20"/>
        </w:rPr>
        <w:t>反应温度是水热预处理过程中一个非常重要的控制参数，根据编制组前期的研究结果，</w:t>
      </w:r>
      <w:r>
        <w:rPr>
          <w:sz w:val="20"/>
          <w:szCs w:val="20"/>
        </w:rPr>
        <w:lastRenderedPageBreak/>
        <w:t>污泥脱水性能随着反应温度的升高而改善，温度超过</w:t>
      </w:r>
      <w:r>
        <w:rPr>
          <w:sz w:val="20"/>
          <w:szCs w:val="20"/>
        </w:rPr>
        <w:t>200℃</w:t>
      </w:r>
      <w:r>
        <w:rPr>
          <w:sz w:val="20"/>
          <w:szCs w:val="20"/>
        </w:rPr>
        <w:t>，通过机械脱水，不添加药剂可将含水率降低到</w:t>
      </w:r>
      <w:r>
        <w:rPr>
          <w:sz w:val="20"/>
          <w:szCs w:val="20"/>
        </w:rPr>
        <w:t>40%</w:t>
      </w:r>
      <w:r>
        <w:rPr>
          <w:sz w:val="20"/>
          <w:szCs w:val="20"/>
        </w:rPr>
        <w:t>以下。但过高的反应温度（</w:t>
      </w:r>
      <w:r>
        <w:rPr>
          <w:sz w:val="20"/>
          <w:szCs w:val="20"/>
        </w:rPr>
        <w:t>200℃</w:t>
      </w:r>
      <w:r>
        <w:rPr>
          <w:sz w:val="20"/>
          <w:szCs w:val="20"/>
        </w:rPr>
        <w:t>以上）容易使水解出来还原糖的醛基和氨基酸中的氨基会发生美拉德反应</w:t>
      </w:r>
      <w:r>
        <w:rPr>
          <w:sz w:val="20"/>
          <w:szCs w:val="20"/>
        </w:rPr>
        <w:t>(Maillard Reaction)</w:t>
      </w:r>
      <w:r>
        <w:rPr>
          <w:sz w:val="20"/>
          <w:szCs w:val="20"/>
        </w:rPr>
        <w:t>，生成难降解的褐色多聚氮，不利于脱水滤液的处理。此外，过高的反应温度，对</w:t>
      </w:r>
      <w:r>
        <w:rPr>
          <w:sz w:val="20"/>
          <w:szCs w:val="20"/>
        </w:rPr>
        <w:t>蒸汽压力（蒸汽锅炉）、水热反应设备、管道、阀门、仪表等的压力等级要求也相应较高，可能会增加设备系统投资以及操作运行难度。从项目整体的技术经济角度考量，不追求更低的含水率情况下，推荐反应温度为</w:t>
      </w:r>
      <w:r>
        <w:rPr>
          <w:sz w:val="20"/>
          <w:szCs w:val="20"/>
        </w:rPr>
        <w:t>170~200℃</w:t>
      </w:r>
      <w:r>
        <w:rPr>
          <w:sz w:val="20"/>
          <w:szCs w:val="20"/>
        </w:rPr>
        <w:t>。</w:t>
      </w:r>
    </w:p>
    <w:p w:rsidR="009C1ACE" w:rsidRDefault="00EF10CE">
      <w:pPr>
        <w:spacing w:line="300" w:lineRule="auto"/>
        <w:ind w:firstLineChars="200" w:firstLine="400"/>
        <w:rPr>
          <w:sz w:val="20"/>
          <w:szCs w:val="20"/>
        </w:rPr>
      </w:pPr>
      <w:r>
        <w:rPr>
          <w:sz w:val="20"/>
          <w:szCs w:val="20"/>
        </w:rPr>
        <w:t xml:space="preserve">7.2.2 </w:t>
      </w:r>
      <w:r>
        <w:rPr>
          <w:sz w:val="20"/>
          <w:szCs w:val="20"/>
        </w:rPr>
        <w:t>水热反应过程中，蒸汽需求量是波动的，前期污泥温度低，反应器压力也较低，蒸汽通入后，污泥快速吸收通入的蒸汽；随着加热过程的不断进行，污泥温度不断升高，反应器内的压力也不断升高，污泥吸收的蒸汽速度也相应较低。为保证水热系统的稳定运行，锅炉的蒸汽供应量要有一定的富裕量。</w:t>
      </w:r>
    </w:p>
    <w:p w:rsidR="009C1ACE" w:rsidRDefault="00EF10CE">
      <w:pPr>
        <w:spacing w:line="300" w:lineRule="auto"/>
        <w:ind w:firstLineChars="200" w:firstLine="400"/>
        <w:rPr>
          <w:sz w:val="20"/>
          <w:szCs w:val="20"/>
        </w:rPr>
      </w:pPr>
      <w:r>
        <w:rPr>
          <w:sz w:val="20"/>
          <w:szCs w:val="20"/>
        </w:rPr>
        <w:t xml:space="preserve">7.2.4 </w:t>
      </w:r>
      <w:bookmarkStart w:id="17" w:name="OLE_LINK6"/>
      <w:bookmarkStart w:id="18" w:name="OLE_LINK7"/>
      <w:r>
        <w:rPr>
          <w:sz w:val="20"/>
          <w:szCs w:val="20"/>
        </w:rPr>
        <w:t>单批次运行时</w:t>
      </w:r>
      <w:r>
        <w:rPr>
          <w:sz w:val="20"/>
          <w:szCs w:val="20"/>
        </w:rPr>
        <w:t>间包括进泥、加热、保温、闪蒸释压、排泥等过程，保温时间是指污泥达到设计反应温度后的时间。设计反应温度越高，保温时间越短。当设计反应温度为</w:t>
      </w:r>
      <w:r>
        <w:rPr>
          <w:sz w:val="20"/>
          <w:szCs w:val="20"/>
        </w:rPr>
        <w:t>170℃</w:t>
      </w:r>
      <w:r>
        <w:rPr>
          <w:sz w:val="20"/>
          <w:szCs w:val="20"/>
        </w:rPr>
        <w:t>时，保温时间约为</w:t>
      </w:r>
      <w:r>
        <w:rPr>
          <w:sz w:val="20"/>
          <w:szCs w:val="20"/>
        </w:rPr>
        <w:t>20</w:t>
      </w:r>
      <w:r>
        <w:rPr>
          <w:rFonts w:hint="eastAsia"/>
          <w:sz w:val="20"/>
          <w:szCs w:val="20"/>
        </w:rPr>
        <w:t xml:space="preserve">-30 </w:t>
      </w:r>
      <w:r>
        <w:rPr>
          <w:sz w:val="20"/>
          <w:szCs w:val="20"/>
        </w:rPr>
        <w:t>min</w:t>
      </w:r>
      <w:r>
        <w:rPr>
          <w:sz w:val="20"/>
          <w:szCs w:val="20"/>
        </w:rPr>
        <w:t>，当设计反应温度为</w:t>
      </w:r>
      <w:r>
        <w:rPr>
          <w:sz w:val="20"/>
          <w:szCs w:val="20"/>
        </w:rPr>
        <w:t>200℃</w:t>
      </w:r>
      <w:r>
        <w:rPr>
          <w:sz w:val="20"/>
          <w:szCs w:val="20"/>
        </w:rPr>
        <w:t>时，保温时间约为</w:t>
      </w:r>
      <w:r>
        <w:rPr>
          <w:sz w:val="20"/>
          <w:szCs w:val="20"/>
        </w:rPr>
        <w:t>5min</w:t>
      </w:r>
      <w:r>
        <w:rPr>
          <w:sz w:val="20"/>
          <w:szCs w:val="20"/>
        </w:rPr>
        <w:t>。</w:t>
      </w:r>
    </w:p>
    <w:p w:rsidR="009C1ACE" w:rsidRDefault="00EF10CE">
      <w:pPr>
        <w:spacing w:line="300" w:lineRule="auto"/>
        <w:ind w:firstLineChars="200" w:firstLine="400"/>
        <w:rPr>
          <w:color w:val="000000"/>
          <w:sz w:val="20"/>
          <w:szCs w:val="20"/>
        </w:rPr>
      </w:pPr>
      <w:r>
        <w:rPr>
          <w:sz w:val="20"/>
          <w:szCs w:val="20"/>
        </w:rPr>
        <w:t>7.2.</w:t>
      </w:r>
      <w:r>
        <w:rPr>
          <w:rFonts w:hint="eastAsia"/>
          <w:sz w:val="20"/>
          <w:szCs w:val="20"/>
        </w:rPr>
        <w:t>9</w:t>
      </w:r>
      <w:r>
        <w:rPr>
          <w:rFonts w:hint="eastAsia"/>
          <w:sz w:val="20"/>
          <w:szCs w:val="20"/>
        </w:rPr>
        <w:t>饱和蒸汽消耗量是衡量水热调理能耗的重要参数。水热调理深度脱水的优势之一在于不发生水的相变，调理后通过机械方式进行脱水，减少能耗。根据前期调研，水热调理过程中回收闪蒸释放的二次蒸汽热量的情况下，</w:t>
      </w:r>
      <w:r>
        <w:rPr>
          <w:rFonts w:hint="eastAsia"/>
          <w:sz w:val="20"/>
          <w:szCs w:val="20"/>
        </w:rPr>
        <w:t>1t</w:t>
      </w:r>
      <w:r>
        <w:rPr>
          <w:rFonts w:hint="eastAsia"/>
          <w:sz w:val="20"/>
          <w:szCs w:val="20"/>
        </w:rPr>
        <w:t>污泥（含水率</w:t>
      </w:r>
      <w:r>
        <w:rPr>
          <w:rFonts w:hint="eastAsia"/>
          <w:sz w:val="20"/>
          <w:szCs w:val="20"/>
        </w:rPr>
        <w:t>80%</w:t>
      </w:r>
      <w:r>
        <w:rPr>
          <w:rFonts w:hint="eastAsia"/>
          <w:sz w:val="20"/>
          <w:szCs w:val="20"/>
        </w:rPr>
        <w:t>）消耗的蒸汽小于</w:t>
      </w:r>
      <w:r>
        <w:rPr>
          <w:rFonts w:hint="eastAsia"/>
          <w:sz w:val="20"/>
          <w:szCs w:val="20"/>
        </w:rPr>
        <w:t>250 kg</w:t>
      </w:r>
      <w:r>
        <w:rPr>
          <w:rFonts w:hint="eastAsia"/>
          <w:sz w:val="20"/>
          <w:szCs w:val="20"/>
        </w:rPr>
        <w:t>，能耗低于热干化工艺。</w:t>
      </w:r>
      <w:r>
        <w:t>污泥粘</w:t>
      </w:r>
      <w:r>
        <w:t>度表征了污泥的流动性能，它影响到污泥的热传导、输送、搅拌、传质等特性</w:t>
      </w:r>
      <w:r>
        <w:rPr>
          <w:rFonts w:hint="eastAsia"/>
        </w:rPr>
        <w:t>，</w:t>
      </w:r>
      <w:r>
        <w:t>高温水热会显著降低污泥的粘度。</w:t>
      </w:r>
      <w:r>
        <w:rPr>
          <w:rFonts w:hint="eastAsia"/>
        </w:rPr>
        <w:t>水热调理后污泥经过机械脱水，泥饼含水率可低于</w:t>
      </w:r>
      <w:r>
        <w:rPr>
          <w:rFonts w:hint="eastAsia"/>
        </w:rPr>
        <w:t>60%</w:t>
      </w:r>
      <w:r>
        <w:rPr>
          <w:rFonts w:hint="eastAsia"/>
        </w:rPr>
        <w:t>。</w:t>
      </w:r>
    </w:p>
    <w:p w:rsidR="009C1ACE" w:rsidRDefault="00EF10CE">
      <w:pPr>
        <w:spacing w:line="300" w:lineRule="auto"/>
        <w:ind w:firstLineChars="200" w:firstLine="400"/>
        <w:rPr>
          <w:sz w:val="20"/>
          <w:szCs w:val="20"/>
        </w:rPr>
      </w:pPr>
      <w:r>
        <w:rPr>
          <w:sz w:val="20"/>
          <w:szCs w:val="20"/>
        </w:rPr>
        <w:t xml:space="preserve">7.3.1 </w:t>
      </w:r>
      <w:r>
        <w:rPr>
          <w:sz w:val="20"/>
          <w:szCs w:val="20"/>
        </w:rPr>
        <w:t>根据压力容器设计压力（</w:t>
      </w:r>
      <w:r>
        <w:rPr>
          <w:sz w:val="20"/>
          <w:szCs w:val="20"/>
        </w:rPr>
        <w:t>p</w:t>
      </w:r>
      <w:r>
        <w:rPr>
          <w:sz w:val="20"/>
          <w:szCs w:val="20"/>
        </w:rPr>
        <w:t>）大小分为四个压力等级，其中低压</w:t>
      </w:r>
      <w:r>
        <w:rPr>
          <w:sz w:val="20"/>
          <w:szCs w:val="20"/>
        </w:rPr>
        <w:t>(</w:t>
      </w:r>
      <w:r>
        <w:rPr>
          <w:sz w:val="20"/>
          <w:szCs w:val="20"/>
        </w:rPr>
        <w:t>代号</w:t>
      </w:r>
      <w:r>
        <w:rPr>
          <w:sz w:val="20"/>
          <w:szCs w:val="20"/>
        </w:rPr>
        <w:t>L)</w:t>
      </w:r>
      <w:r>
        <w:rPr>
          <w:sz w:val="20"/>
          <w:szCs w:val="20"/>
        </w:rPr>
        <w:t>容器</w:t>
      </w:r>
      <w:r>
        <w:rPr>
          <w:sz w:val="20"/>
          <w:szCs w:val="20"/>
        </w:rPr>
        <w:t xml:space="preserve"> 0.1 MPa≤p</w:t>
      </w:r>
      <w:r>
        <w:rPr>
          <w:sz w:val="20"/>
          <w:szCs w:val="20"/>
        </w:rPr>
        <w:t>＜</w:t>
      </w:r>
      <w:r>
        <w:rPr>
          <w:sz w:val="20"/>
          <w:szCs w:val="20"/>
        </w:rPr>
        <w:t>1.6 MPa</w:t>
      </w:r>
      <w:r>
        <w:rPr>
          <w:sz w:val="20"/>
          <w:szCs w:val="20"/>
        </w:rPr>
        <w:t>；中压</w:t>
      </w:r>
      <w:r>
        <w:rPr>
          <w:sz w:val="20"/>
          <w:szCs w:val="20"/>
        </w:rPr>
        <w:t>(</w:t>
      </w:r>
      <w:r>
        <w:rPr>
          <w:sz w:val="20"/>
          <w:szCs w:val="20"/>
        </w:rPr>
        <w:t>代号</w:t>
      </w:r>
      <w:r>
        <w:rPr>
          <w:sz w:val="20"/>
          <w:szCs w:val="20"/>
        </w:rPr>
        <w:t>M)</w:t>
      </w:r>
      <w:r>
        <w:rPr>
          <w:sz w:val="20"/>
          <w:szCs w:val="20"/>
        </w:rPr>
        <w:t>容器</w:t>
      </w:r>
      <w:r>
        <w:rPr>
          <w:sz w:val="20"/>
          <w:szCs w:val="20"/>
        </w:rPr>
        <w:t xml:space="preserve"> 1.6 MPa≤p</w:t>
      </w:r>
      <w:r>
        <w:rPr>
          <w:sz w:val="20"/>
          <w:szCs w:val="20"/>
        </w:rPr>
        <w:t>＜</w:t>
      </w:r>
      <w:r>
        <w:rPr>
          <w:sz w:val="20"/>
          <w:szCs w:val="20"/>
        </w:rPr>
        <w:t>10.0 MPa</w:t>
      </w:r>
      <w:r>
        <w:rPr>
          <w:sz w:val="20"/>
          <w:szCs w:val="20"/>
        </w:rPr>
        <w:t>。当水热反应温度为</w:t>
      </w:r>
      <w:r>
        <w:rPr>
          <w:sz w:val="20"/>
          <w:szCs w:val="20"/>
        </w:rPr>
        <w:t>200℃</w:t>
      </w:r>
      <w:r>
        <w:rPr>
          <w:sz w:val="20"/>
          <w:szCs w:val="20"/>
        </w:rPr>
        <w:t>时，进入水热反应器的蒸汽温度约</w:t>
      </w:r>
      <w:r>
        <w:rPr>
          <w:sz w:val="20"/>
          <w:szCs w:val="20"/>
        </w:rPr>
        <w:t>210℃</w:t>
      </w:r>
      <w:r>
        <w:rPr>
          <w:sz w:val="20"/>
          <w:szCs w:val="20"/>
        </w:rPr>
        <w:t>左右，相应的蒸汽压力约</w:t>
      </w:r>
      <w:r>
        <w:rPr>
          <w:sz w:val="20"/>
          <w:szCs w:val="20"/>
        </w:rPr>
        <w:t>2.0MPa</w:t>
      </w:r>
      <w:r>
        <w:rPr>
          <w:sz w:val="20"/>
          <w:szCs w:val="20"/>
        </w:rPr>
        <w:t>，此时，水热反应器为中压容器，需按</w:t>
      </w:r>
      <w:r>
        <w:rPr>
          <w:sz w:val="20"/>
          <w:szCs w:val="20"/>
        </w:rPr>
        <w:t>II</w:t>
      </w:r>
      <w:r>
        <w:rPr>
          <w:sz w:val="20"/>
          <w:szCs w:val="20"/>
        </w:rPr>
        <w:t>类压力容器设计。</w:t>
      </w:r>
    </w:p>
    <w:p w:rsidR="009C1ACE" w:rsidRDefault="00EF10CE">
      <w:pPr>
        <w:spacing w:line="300" w:lineRule="auto"/>
        <w:ind w:firstLineChars="200" w:firstLine="400"/>
        <w:rPr>
          <w:sz w:val="20"/>
          <w:szCs w:val="20"/>
        </w:rPr>
      </w:pPr>
      <w:r>
        <w:rPr>
          <w:sz w:val="20"/>
          <w:szCs w:val="20"/>
        </w:rPr>
        <w:t xml:space="preserve">8.1.2 </w:t>
      </w:r>
      <w:r>
        <w:rPr>
          <w:sz w:val="20"/>
          <w:szCs w:val="20"/>
        </w:rPr>
        <w:t>深度脱水系统一般</w:t>
      </w:r>
      <w:r>
        <w:rPr>
          <w:sz w:val="20"/>
          <w:szCs w:val="20"/>
        </w:rPr>
        <w:t>采用隔膜</w:t>
      </w:r>
      <w:r>
        <w:rPr>
          <w:rFonts w:hint="eastAsia"/>
          <w:sz w:val="20"/>
          <w:szCs w:val="20"/>
        </w:rPr>
        <w:t>板框</w:t>
      </w:r>
      <w:r>
        <w:rPr>
          <w:sz w:val="20"/>
          <w:szCs w:val="20"/>
        </w:rPr>
        <w:t>压滤机，当污泥温度较高时，滤板</w:t>
      </w:r>
      <w:r>
        <w:rPr>
          <w:rFonts w:hint="eastAsia"/>
          <w:sz w:val="20"/>
          <w:szCs w:val="20"/>
        </w:rPr>
        <w:t>、滤布</w:t>
      </w:r>
      <w:r>
        <w:rPr>
          <w:sz w:val="20"/>
          <w:szCs w:val="20"/>
        </w:rPr>
        <w:t>在工作时容易发生变形，从而影响脱水效率。因此，水热反应后的温度应换热降温后进入后续脱水系统。</w:t>
      </w:r>
    </w:p>
    <w:p w:rsidR="009C1ACE" w:rsidRDefault="00EF10CE">
      <w:pPr>
        <w:spacing w:line="300" w:lineRule="auto"/>
        <w:ind w:firstLineChars="200" w:firstLine="400"/>
        <w:rPr>
          <w:sz w:val="20"/>
          <w:szCs w:val="20"/>
        </w:rPr>
      </w:pPr>
      <w:r>
        <w:rPr>
          <w:sz w:val="20"/>
          <w:szCs w:val="20"/>
        </w:rPr>
        <w:t xml:space="preserve">9.1.1 </w:t>
      </w:r>
      <w:r>
        <w:rPr>
          <w:sz w:val="20"/>
          <w:szCs w:val="20"/>
        </w:rPr>
        <w:t>污泥最终处置包括填埋、焚烧及建材利用、土地利用等，不同的处置方式对污泥含水率有不同要求，污泥深度脱水设备应考虑污泥最终处置含水率要求。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1780"/>
        <w:gridCol w:w="4090"/>
        <w:gridCol w:w="880"/>
        <w:gridCol w:w="1086"/>
      </w:tblGrid>
      <w:tr w:rsidR="009C1ACE">
        <w:tc>
          <w:tcPr>
            <w:tcW w:w="686" w:type="dxa"/>
            <w:tcBorders>
              <w:top w:val="single" w:sz="4" w:space="0" w:color="auto"/>
              <w:left w:val="single" w:sz="4" w:space="0" w:color="auto"/>
              <w:bottom w:val="single" w:sz="4" w:space="0" w:color="auto"/>
              <w:right w:val="single" w:sz="4" w:space="0" w:color="auto"/>
            </w:tcBorders>
            <w:vAlign w:val="center"/>
          </w:tcPr>
          <w:p w:rsidR="009C1ACE" w:rsidRDefault="00EF10CE">
            <w:pPr>
              <w:jc w:val="center"/>
              <w:rPr>
                <w:rFonts w:eastAsiaTheme="minorEastAsia"/>
                <w:color w:val="000000"/>
                <w:sz w:val="20"/>
                <w:szCs w:val="20"/>
              </w:rPr>
            </w:pPr>
            <w:r>
              <w:rPr>
                <w:rFonts w:eastAsiaTheme="minorEastAsia"/>
                <w:color w:val="000000"/>
                <w:sz w:val="20"/>
                <w:szCs w:val="20"/>
              </w:rPr>
              <w:t>序号</w:t>
            </w:r>
          </w:p>
        </w:tc>
        <w:tc>
          <w:tcPr>
            <w:tcW w:w="1780" w:type="dxa"/>
            <w:tcBorders>
              <w:top w:val="single" w:sz="4" w:space="0" w:color="auto"/>
              <w:left w:val="nil"/>
              <w:bottom w:val="single" w:sz="4" w:space="0" w:color="auto"/>
              <w:right w:val="single" w:sz="4" w:space="0" w:color="auto"/>
            </w:tcBorders>
            <w:vAlign w:val="center"/>
          </w:tcPr>
          <w:p w:rsidR="009C1ACE" w:rsidRDefault="00EF10CE">
            <w:pPr>
              <w:rPr>
                <w:rFonts w:eastAsiaTheme="minorEastAsia"/>
                <w:color w:val="000000"/>
                <w:sz w:val="20"/>
                <w:szCs w:val="20"/>
              </w:rPr>
            </w:pPr>
            <w:r>
              <w:rPr>
                <w:rFonts w:eastAsiaTheme="minorEastAsia"/>
                <w:color w:val="000000"/>
                <w:sz w:val="20"/>
                <w:szCs w:val="20"/>
              </w:rPr>
              <w:t>标准号</w:t>
            </w:r>
          </w:p>
        </w:tc>
        <w:tc>
          <w:tcPr>
            <w:tcW w:w="4090" w:type="dxa"/>
            <w:tcBorders>
              <w:top w:val="single" w:sz="4" w:space="0" w:color="auto"/>
              <w:left w:val="nil"/>
              <w:bottom w:val="single" w:sz="4" w:space="0" w:color="auto"/>
              <w:right w:val="single" w:sz="4" w:space="0" w:color="auto"/>
            </w:tcBorders>
            <w:vAlign w:val="center"/>
          </w:tcPr>
          <w:p w:rsidR="009C1ACE" w:rsidRDefault="00EF10CE">
            <w:pPr>
              <w:rPr>
                <w:rFonts w:eastAsiaTheme="minorEastAsia"/>
                <w:color w:val="000000"/>
                <w:sz w:val="20"/>
                <w:szCs w:val="20"/>
              </w:rPr>
            </w:pPr>
            <w:r>
              <w:rPr>
                <w:rFonts w:eastAsiaTheme="minorEastAsia"/>
                <w:color w:val="000000"/>
                <w:sz w:val="20"/>
                <w:szCs w:val="20"/>
              </w:rPr>
              <w:t>标准名称</w:t>
            </w:r>
          </w:p>
        </w:tc>
        <w:tc>
          <w:tcPr>
            <w:tcW w:w="880" w:type="dxa"/>
            <w:tcBorders>
              <w:top w:val="single" w:sz="4" w:space="0" w:color="auto"/>
              <w:left w:val="nil"/>
              <w:bottom w:val="single" w:sz="4" w:space="0" w:color="auto"/>
              <w:right w:val="single" w:sz="4" w:space="0" w:color="auto"/>
            </w:tcBorders>
            <w:vAlign w:val="center"/>
          </w:tcPr>
          <w:p w:rsidR="009C1ACE" w:rsidRDefault="00EF10CE">
            <w:pPr>
              <w:rPr>
                <w:rFonts w:eastAsiaTheme="minorEastAsia"/>
                <w:color w:val="000000"/>
                <w:sz w:val="20"/>
                <w:szCs w:val="20"/>
              </w:rPr>
            </w:pPr>
            <w:r>
              <w:rPr>
                <w:rFonts w:eastAsiaTheme="minorEastAsia"/>
                <w:color w:val="000000"/>
                <w:sz w:val="20"/>
                <w:szCs w:val="20"/>
              </w:rPr>
              <w:t>含水率</w:t>
            </w:r>
          </w:p>
        </w:tc>
        <w:tc>
          <w:tcPr>
            <w:tcW w:w="1086" w:type="dxa"/>
            <w:tcBorders>
              <w:top w:val="single" w:sz="4" w:space="0" w:color="auto"/>
              <w:left w:val="nil"/>
              <w:bottom w:val="single" w:sz="4" w:space="0" w:color="auto"/>
              <w:right w:val="single" w:sz="4" w:space="0" w:color="auto"/>
            </w:tcBorders>
            <w:vAlign w:val="center"/>
          </w:tcPr>
          <w:p w:rsidR="009C1ACE" w:rsidRDefault="00EF10CE">
            <w:pPr>
              <w:rPr>
                <w:rFonts w:eastAsiaTheme="minorEastAsia"/>
                <w:color w:val="000000"/>
                <w:sz w:val="20"/>
                <w:szCs w:val="20"/>
              </w:rPr>
            </w:pPr>
            <w:r>
              <w:rPr>
                <w:rFonts w:eastAsiaTheme="minorEastAsia"/>
                <w:color w:val="000000"/>
                <w:sz w:val="20"/>
                <w:szCs w:val="20"/>
              </w:rPr>
              <w:t>备注</w:t>
            </w:r>
          </w:p>
        </w:tc>
      </w:tr>
      <w:tr w:rsidR="009C1ACE">
        <w:tc>
          <w:tcPr>
            <w:tcW w:w="686" w:type="dxa"/>
            <w:tcBorders>
              <w:top w:val="single" w:sz="4" w:space="0" w:color="auto"/>
              <w:left w:val="single" w:sz="4" w:space="0" w:color="auto"/>
              <w:bottom w:val="single" w:sz="4" w:space="0" w:color="auto"/>
              <w:right w:val="single" w:sz="4" w:space="0" w:color="auto"/>
            </w:tcBorders>
            <w:vAlign w:val="center"/>
          </w:tcPr>
          <w:p w:rsidR="009C1ACE" w:rsidRDefault="00EF10CE">
            <w:pPr>
              <w:jc w:val="center"/>
              <w:rPr>
                <w:rFonts w:eastAsiaTheme="minorEastAsia"/>
                <w:color w:val="000000"/>
                <w:sz w:val="20"/>
                <w:szCs w:val="20"/>
              </w:rPr>
            </w:pPr>
            <w:r>
              <w:rPr>
                <w:rFonts w:eastAsiaTheme="minorEastAsia"/>
                <w:color w:val="000000"/>
                <w:sz w:val="20"/>
                <w:szCs w:val="20"/>
              </w:rPr>
              <w:t>1</w:t>
            </w:r>
          </w:p>
        </w:tc>
        <w:tc>
          <w:tcPr>
            <w:tcW w:w="17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GB 4284-2018</w:t>
            </w:r>
          </w:p>
        </w:tc>
        <w:tc>
          <w:tcPr>
            <w:tcW w:w="409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农用污泥污染物控制标准</w:t>
            </w:r>
          </w:p>
        </w:tc>
        <w:tc>
          <w:tcPr>
            <w:tcW w:w="8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≤60%</w:t>
            </w:r>
          </w:p>
        </w:tc>
        <w:tc>
          <w:tcPr>
            <w:tcW w:w="1086" w:type="dxa"/>
            <w:tcBorders>
              <w:top w:val="single" w:sz="4" w:space="0" w:color="auto"/>
              <w:left w:val="nil"/>
              <w:bottom w:val="single" w:sz="4" w:space="0" w:color="auto"/>
              <w:right w:val="single" w:sz="4" w:space="0" w:color="auto"/>
            </w:tcBorders>
          </w:tcPr>
          <w:p w:rsidR="009C1ACE" w:rsidRDefault="009C1ACE">
            <w:pPr>
              <w:rPr>
                <w:rFonts w:eastAsiaTheme="minorEastAsia"/>
                <w:color w:val="000000"/>
                <w:sz w:val="20"/>
                <w:szCs w:val="20"/>
              </w:rPr>
            </w:pPr>
          </w:p>
        </w:tc>
      </w:tr>
      <w:tr w:rsidR="009C1ACE">
        <w:tc>
          <w:tcPr>
            <w:tcW w:w="686" w:type="dxa"/>
            <w:tcBorders>
              <w:top w:val="single" w:sz="4" w:space="0" w:color="auto"/>
              <w:left w:val="single" w:sz="4" w:space="0" w:color="auto"/>
              <w:bottom w:val="single" w:sz="4" w:space="0" w:color="auto"/>
              <w:right w:val="single" w:sz="4" w:space="0" w:color="auto"/>
            </w:tcBorders>
            <w:vAlign w:val="center"/>
          </w:tcPr>
          <w:p w:rsidR="009C1ACE" w:rsidRDefault="00EF10CE">
            <w:pPr>
              <w:jc w:val="center"/>
              <w:rPr>
                <w:rFonts w:eastAsiaTheme="minorEastAsia"/>
                <w:color w:val="000000"/>
                <w:sz w:val="20"/>
                <w:szCs w:val="20"/>
              </w:rPr>
            </w:pPr>
            <w:r>
              <w:rPr>
                <w:rFonts w:eastAsiaTheme="minorEastAsia"/>
                <w:color w:val="000000"/>
                <w:sz w:val="20"/>
                <w:szCs w:val="20"/>
              </w:rPr>
              <w:t>2</w:t>
            </w:r>
          </w:p>
        </w:tc>
        <w:tc>
          <w:tcPr>
            <w:tcW w:w="17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GB/T 25031-2010</w:t>
            </w:r>
          </w:p>
        </w:tc>
        <w:tc>
          <w:tcPr>
            <w:tcW w:w="409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城镇污水处理厂污泥处置</w:t>
            </w:r>
            <w:r>
              <w:rPr>
                <w:rFonts w:eastAsiaTheme="minorEastAsia"/>
                <w:color w:val="000000"/>
                <w:sz w:val="20"/>
                <w:szCs w:val="20"/>
              </w:rPr>
              <w:t xml:space="preserve"> </w:t>
            </w:r>
            <w:r>
              <w:rPr>
                <w:rFonts w:eastAsiaTheme="minorEastAsia"/>
                <w:color w:val="000000"/>
                <w:sz w:val="20"/>
                <w:szCs w:val="20"/>
              </w:rPr>
              <w:t>制砖用泥质</w:t>
            </w:r>
          </w:p>
        </w:tc>
        <w:tc>
          <w:tcPr>
            <w:tcW w:w="8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≤40%</w:t>
            </w:r>
          </w:p>
        </w:tc>
        <w:tc>
          <w:tcPr>
            <w:tcW w:w="1086" w:type="dxa"/>
            <w:tcBorders>
              <w:top w:val="single" w:sz="4" w:space="0" w:color="auto"/>
              <w:left w:val="nil"/>
              <w:bottom w:val="single" w:sz="4" w:space="0" w:color="auto"/>
              <w:right w:val="single" w:sz="4" w:space="0" w:color="auto"/>
            </w:tcBorders>
          </w:tcPr>
          <w:p w:rsidR="009C1ACE" w:rsidRDefault="009C1ACE">
            <w:pPr>
              <w:rPr>
                <w:rFonts w:eastAsiaTheme="minorEastAsia"/>
                <w:color w:val="000000"/>
                <w:sz w:val="20"/>
                <w:szCs w:val="20"/>
              </w:rPr>
            </w:pPr>
          </w:p>
        </w:tc>
      </w:tr>
      <w:tr w:rsidR="009C1ACE">
        <w:trPr>
          <w:trHeight w:val="354"/>
        </w:trPr>
        <w:tc>
          <w:tcPr>
            <w:tcW w:w="686" w:type="dxa"/>
            <w:tcBorders>
              <w:top w:val="single" w:sz="4" w:space="0" w:color="auto"/>
              <w:left w:val="single" w:sz="4" w:space="0" w:color="auto"/>
              <w:bottom w:val="single" w:sz="4" w:space="0" w:color="auto"/>
              <w:right w:val="single" w:sz="4" w:space="0" w:color="auto"/>
            </w:tcBorders>
            <w:vAlign w:val="center"/>
          </w:tcPr>
          <w:p w:rsidR="009C1ACE" w:rsidRDefault="00EF10CE">
            <w:pPr>
              <w:jc w:val="center"/>
              <w:rPr>
                <w:rFonts w:eastAsiaTheme="minorEastAsia"/>
                <w:color w:val="000000"/>
                <w:sz w:val="20"/>
                <w:szCs w:val="20"/>
              </w:rPr>
            </w:pPr>
            <w:r>
              <w:rPr>
                <w:rFonts w:eastAsiaTheme="minorEastAsia"/>
                <w:color w:val="000000"/>
                <w:sz w:val="20"/>
                <w:szCs w:val="20"/>
              </w:rPr>
              <w:t>3</w:t>
            </w:r>
          </w:p>
        </w:tc>
        <w:tc>
          <w:tcPr>
            <w:tcW w:w="17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 xml:space="preserve">GB/T </w:t>
            </w:r>
            <w:r>
              <w:rPr>
                <w:rFonts w:eastAsiaTheme="minorEastAsia"/>
                <w:color w:val="000000"/>
                <w:sz w:val="20"/>
                <w:szCs w:val="20"/>
              </w:rPr>
              <w:t>24600-2009</w:t>
            </w:r>
          </w:p>
        </w:tc>
        <w:tc>
          <w:tcPr>
            <w:tcW w:w="409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城镇污水处理厂污泥处置</w:t>
            </w:r>
            <w:r>
              <w:rPr>
                <w:rFonts w:eastAsiaTheme="minorEastAsia"/>
                <w:color w:val="000000"/>
                <w:sz w:val="20"/>
                <w:szCs w:val="20"/>
              </w:rPr>
              <w:t xml:space="preserve"> </w:t>
            </w:r>
            <w:r>
              <w:rPr>
                <w:rFonts w:eastAsiaTheme="minorEastAsia"/>
                <w:color w:val="000000"/>
                <w:sz w:val="20"/>
                <w:szCs w:val="20"/>
              </w:rPr>
              <w:t>土地改良用泥质</w:t>
            </w:r>
          </w:p>
        </w:tc>
        <w:tc>
          <w:tcPr>
            <w:tcW w:w="8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w:t>
            </w:r>
            <w:r>
              <w:rPr>
                <w:rFonts w:eastAsiaTheme="minorEastAsia"/>
                <w:color w:val="000000"/>
                <w:sz w:val="20"/>
                <w:szCs w:val="20"/>
              </w:rPr>
              <w:t>65%</w:t>
            </w:r>
          </w:p>
        </w:tc>
        <w:tc>
          <w:tcPr>
            <w:tcW w:w="1086" w:type="dxa"/>
            <w:tcBorders>
              <w:top w:val="single" w:sz="4" w:space="0" w:color="auto"/>
              <w:left w:val="nil"/>
              <w:bottom w:val="single" w:sz="4" w:space="0" w:color="auto"/>
              <w:right w:val="single" w:sz="4" w:space="0" w:color="auto"/>
            </w:tcBorders>
          </w:tcPr>
          <w:p w:rsidR="009C1ACE" w:rsidRDefault="009C1ACE">
            <w:pPr>
              <w:rPr>
                <w:rFonts w:eastAsiaTheme="minorEastAsia"/>
                <w:color w:val="000000"/>
                <w:sz w:val="20"/>
                <w:szCs w:val="20"/>
              </w:rPr>
            </w:pPr>
          </w:p>
        </w:tc>
      </w:tr>
      <w:tr w:rsidR="009C1ACE">
        <w:tc>
          <w:tcPr>
            <w:tcW w:w="686" w:type="dxa"/>
            <w:tcBorders>
              <w:top w:val="single" w:sz="4" w:space="0" w:color="auto"/>
              <w:left w:val="single" w:sz="4" w:space="0" w:color="auto"/>
              <w:bottom w:val="single" w:sz="4" w:space="0" w:color="auto"/>
              <w:right w:val="single" w:sz="4" w:space="0" w:color="auto"/>
            </w:tcBorders>
            <w:vAlign w:val="center"/>
          </w:tcPr>
          <w:p w:rsidR="009C1ACE" w:rsidRDefault="00EF10CE">
            <w:pPr>
              <w:jc w:val="center"/>
              <w:rPr>
                <w:rFonts w:eastAsiaTheme="minorEastAsia"/>
                <w:color w:val="000000"/>
                <w:sz w:val="20"/>
                <w:szCs w:val="20"/>
              </w:rPr>
            </w:pPr>
            <w:r>
              <w:rPr>
                <w:rFonts w:eastAsiaTheme="minorEastAsia"/>
                <w:color w:val="000000"/>
                <w:sz w:val="20"/>
                <w:szCs w:val="20"/>
              </w:rPr>
              <w:t>4</w:t>
            </w:r>
          </w:p>
        </w:tc>
        <w:tc>
          <w:tcPr>
            <w:tcW w:w="17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GB/T 24602-2009</w:t>
            </w:r>
          </w:p>
        </w:tc>
        <w:tc>
          <w:tcPr>
            <w:tcW w:w="409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城镇污水处理厂污泥处置</w:t>
            </w:r>
            <w:r>
              <w:rPr>
                <w:rFonts w:eastAsiaTheme="minorEastAsia"/>
                <w:color w:val="000000"/>
                <w:sz w:val="20"/>
                <w:szCs w:val="20"/>
              </w:rPr>
              <w:t xml:space="preserve"> </w:t>
            </w:r>
            <w:r>
              <w:rPr>
                <w:rFonts w:eastAsiaTheme="minorEastAsia"/>
                <w:color w:val="000000"/>
                <w:sz w:val="20"/>
                <w:szCs w:val="20"/>
              </w:rPr>
              <w:t>单独焚烧用泥质</w:t>
            </w:r>
          </w:p>
        </w:tc>
        <w:tc>
          <w:tcPr>
            <w:tcW w:w="8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w:t>
            </w:r>
            <w:r>
              <w:rPr>
                <w:rFonts w:eastAsiaTheme="minorEastAsia"/>
                <w:color w:val="000000"/>
                <w:sz w:val="20"/>
                <w:szCs w:val="20"/>
              </w:rPr>
              <w:t>60%</w:t>
            </w:r>
          </w:p>
        </w:tc>
        <w:tc>
          <w:tcPr>
            <w:tcW w:w="1086"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自持燃烧</w:t>
            </w:r>
          </w:p>
        </w:tc>
      </w:tr>
      <w:tr w:rsidR="009C1ACE">
        <w:tc>
          <w:tcPr>
            <w:tcW w:w="686" w:type="dxa"/>
            <w:tcBorders>
              <w:top w:val="single" w:sz="4" w:space="0" w:color="auto"/>
              <w:left w:val="single" w:sz="4" w:space="0" w:color="auto"/>
              <w:bottom w:val="single" w:sz="4" w:space="0" w:color="auto"/>
              <w:right w:val="single" w:sz="4" w:space="0" w:color="auto"/>
            </w:tcBorders>
            <w:vAlign w:val="center"/>
          </w:tcPr>
          <w:p w:rsidR="009C1ACE" w:rsidRDefault="00EF10CE">
            <w:pPr>
              <w:jc w:val="center"/>
              <w:rPr>
                <w:rFonts w:eastAsiaTheme="minorEastAsia"/>
                <w:color w:val="000000"/>
                <w:sz w:val="20"/>
                <w:szCs w:val="20"/>
              </w:rPr>
            </w:pPr>
            <w:r>
              <w:rPr>
                <w:rFonts w:eastAsiaTheme="minorEastAsia"/>
                <w:color w:val="000000"/>
                <w:sz w:val="20"/>
                <w:szCs w:val="20"/>
              </w:rPr>
              <w:t>5</w:t>
            </w:r>
          </w:p>
        </w:tc>
        <w:tc>
          <w:tcPr>
            <w:tcW w:w="17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GB/T 23485-2009</w:t>
            </w:r>
          </w:p>
        </w:tc>
        <w:tc>
          <w:tcPr>
            <w:tcW w:w="409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城镇污水处理污泥混合填埋泥质</w:t>
            </w:r>
          </w:p>
        </w:tc>
        <w:tc>
          <w:tcPr>
            <w:tcW w:w="8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w:t>
            </w:r>
            <w:r>
              <w:rPr>
                <w:rFonts w:eastAsiaTheme="minorEastAsia"/>
                <w:color w:val="000000"/>
                <w:sz w:val="20"/>
                <w:szCs w:val="20"/>
              </w:rPr>
              <w:t>60%</w:t>
            </w:r>
          </w:p>
        </w:tc>
        <w:tc>
          <w:tcPr>
            <w:tcW w:w="1086"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混合填埋</w:t>
            </w:r>
          </w:p>
        </w:tc>
      </w:tr>
      <w:tr w:rsidR="009C1ACE">
        <w:tc>
          <w:tcPr>
            <w:tcW w:w="686" w:type="dxa"/>
            <w:tcBorders>
              <w:top w:val="single" w:sz="4" w:space="0" w:color="auto"/>
              <w:left w:val="single" w:sz="4" w:space="0" w:color="auto"/>
              <w:bottom w:val="single" w:sz="4" w:space="0" w:color="auto"/>
              <w:right w:val="single" w:sz="4" w:space="0" w:color="auto"/>
            </w:tcBorders>
            <w:vAlign w:val="center"/>
          </w:tcPr>
          <w:p w:rsidR="009C1ACE" w:rsidRDefault="00EF10CE">
            <w:pPr>
              <w:jc w:val="center"/>
              <w:rPr>
                <w:rFonts w:eastAsiaTheme="minorEastAsia"/>
                <w:color w:val="000000"/>
                <w:sz w:val="20"/>
                <w:szCs w:val="20"/>
              </w:rPr>
            </w:pPr>
            <w:r>
              <w:rPr>
                <w:rFonts w:eastAsiaTheme="minorEastAsia"/>
                <w:color w:val="000000"/>
                <w:sz w:val="20"/>
                <w:szCs w:val="20"/>
              </w:rPr>
              <w:t>6</w:t>
            </w:r>
          </w:p>
        </w:tc>
        <w:tc>
          <w:tcPr>
            <w:tcW w:w="17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GB/T 23486-2009</w:t>
            </w:r>
          </w:p>
        </w:tc>
        <w:tc>
          <w:tcPr>
            <w:tcW w:w="409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城镇污水处理厂污泥处置</w:t>
            </w:r>
            <w:r>
              <w:rPr>
                <w:rFonts w:eastAsiaTheme="minorEastAsia"/>
                <w:color w:val="000000"/>
                <w:sz w:val="20"/>
                <w:szCs w:val="20"/>
              </w:rPr>
              <w:t xml:space="preserve"> </w:t>
            </w:r>
            <w:r>
              <w:rPr>
                <w:rFonts w:eastAsiaTheme="minorEastAsia"/>
                <w:color w:val="000000"/>
                <w:sz w:val="20"/>
                <w:szCs w:val="20"/>
              </w:rPr>
              <w:t>园林绿化用泥质</w:t>
            </w:r>
          </w:p>
        </w:tc>
        <w:tc>
          <w:tcPr>
            <w:tcW w:w="8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w:t>
            </w:r>
            <w:r>
              <w:rPr>
                <w:rFonts w:eastAsiaTheme="minorEastAsia"/>
                <w:color w:val="000000"/>
                <w:sz w:val="20"/>
                <w:szCs w:val="20"/>
              </w:rPr>
              <w:t>40%</w:t>
            </w:r>
          </w:p>
        </w:tc>
        <w:tc>
          <w:tcPr>
            <w:tcW w:w="1086" w:type="dxa"/>
            <w:tcBorders>
              <w:top w:val="single" w:sz="4" w:space="0" w:color="auto"/>
              <w:left w:val="nil"/>
              <w:bottom w:val="single" w:sz="4" w:space="0" w:color="auto"/>
              <w:right w:val="single" w:sz="4" w:space="0" w:color="auto"/>
            </w:tcBorders>
          </w:tcPr>
          <w:p w:rsidR="009C1ACE" w:rsidRDefault="009C1ACE">
            <w:pPr>
              <w:rPr>
                <w:rFonts w:eastAsiaTheme="minorEastAsia"/>
                <w:color w:val="000000"/>
                <w:sz w:val="20"/>
                <w:szCs w:val="20"/>
              </w:rPr>
            </w:pPr>
          </w:p>
        </w:tc>
      </w:tr>
      <w:tr w:rsidR="009C1ACE">
        <w:tc>
          <w:tcPr>
            <w:tcW w:w="686" w:type="dxa"/>
            <w:tcBorders>
              <w:top w:val="single" w:sz="4" w:space="0" w:color="auto"/>
              <w:left w:val="single" w:sz="4" w:space="0" w:color="auto"/>
              <w:bottom w:val="single" w:sz="4" w:space="0" w:color="auto"/>
              <w:right w:val="single" w:sz="4" w:space="0" w:color="auto"/>
            </w:tcBorders>
            <w:vAlign w:val="center"/>
          </w:tcPr>
          <w:p w:rsidR="009C1ACE" w:rsidRDefault="00EF10CE">
            <w:pPr>
              <w:jc w:val="center"/>
              <w:rPr>
                <w:rFonts w:eastAsiaTheme="minorEastAsia"/>
                <w:color w:val="000000"/>
                <w:sz w:val="20"/>
                <w:szCs w:val="20"/>
              </w:rPr>
            </w:pPr>
            <w:r>
              <w:rPr>
                <w:rFonts w:eastAsiaTheme="minorEastAsia"/>
                <w:color w:val="000000"/>
                <w:sz w:val="20"/>
                <w:szCs w:val="20"/>
              </w:rPr>
              <w:t>7</w:t>
            </w:r>
          </w:p>
        </w:tc>
        <w:tc>
          <w:tcPr>
            <w:tcW w:w="17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CJ/T 314-2009</w:t>
            </w:r>
          </w:p>
        </w:tc>
        <w:tc>
          <w:tcPr>
            <w:tcW w:w="409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城镇污水处理厂污泥处置水泥熟料生产用泥质</w:t>
            </w:r>
          </w:p>
        </w:tc>
        <w:tc>
          <w:tcPr>
            <w:tcW w:w="8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≤80%</w:t>
            </w:r>
          </w:p>
        </w:tc>
        <w:tc>
          <w:tcPr>
            <w:tcW w:w="1086" w:type="dxa"/>
            <w:tcBorders>
              <w:top w:val="single" w:sz="4" w:space="0" w:color="auto"/>
              <w:left w:val="nil"/>
              <w:bottom w:val="single" w:sz="4" w:space="0" w:color="auto"/>
              <w:right w:val="single" w:sz="4" w:space="0" w:color="auto"/>
            </w:tcBorders>
          </w:tcPr>
          <w:p w:rsidR="009C1ACE" w:rsidRDefault="009C1ACE">
            <w:pPr>
              <w:rPr>
                <w:rFonts w:eastAsiaTheme="minorEastAsia"/>
                <w:color w:val="000000"/>
                <w:sz w:val="20"/>
                <w:szCs w:val="20"/>
              </w:rPr>
            </w:pPr>
          </w:p>
        </w:tc>
      </w:tr>
      <w:tr w:rsidR="009C1ACE">
        <w:tc>
          <w:tcPr>
            <w:tcW w:w="686" w:type="dxa"/>
            <w:tcBorders>
              <w:top w:val="single" w:sz="4" w:space="0" w:color="auto"/>
              <w:left w:val="single" w:sz="4" w:space="0" w:color="auto"/>
              <w:bottom w:val="single" w:sz="4" w:space="0" w:color="auto"/>
              <w:right w:val="single" w:sz="4" w:space="0" w:color="auto"/>
            </w:tcBorders>
            <w:vAlign w:val="center"/>
          </w:tcPr>
          <w:p w:rsidR="009C1ACE" w:rsidRDefault="00EF10CE">
            <w:pPr>
              <w:jc w:val="center"/>
              <w:rPr>
                <w:rFonts w:eastAsiaTheme="minorEastAsia"/>
                <w:color w:val="000000"/>
                <w:sz w:val="20"/>
                <w:szCs w:val="20"/>
              </w:rPr>
            </w:pPr>
            <w:r>
              <w:rPr>
                <w:rFonts w:eastAsiaTheme="minorEastAsia"/>
                <w:color w:val="000000"/>
                <w:sz w:val="20"/>
                <w:szCs w:val="20"/>
              </w:rPr>
              <w:t>8</w:t>
            </w:r>
          </w:p>
        </w:tc>
        <w:tc>
          <w:tcPr>
            <w:tcW w:w="17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CJ/T 362-2011</w:t>
            </w:r>
          </w:p>
        </w:tc>
        <w:tc>
          <w:tcPr>
            <w:tcW w:w="409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城镇污水处理厂污泥处置林地用泥质</w:t>
            </w:r>
          </w:p>
        </w:tc>
        <w:tc>
          <w:tcPr>
            <w:tcW w:w="880" w:type="dxa"/>
            <w:tcBorders>
              <w:top w:val="single" w:sz="4" w:space="0" w:color="auto"/>
              <w:left w:val="nil"/>
              <w:bottom w:val="single" w:sz="4" w:space="0" w:color="auto"/>
              <w:right w:val="single" w:sz="4" w:space="0" w:color="auto"/>
            </w:tcBorders>
          </w:tcPr>
          <w:p w:rsidR="009C1ACE" w:rsidRDefault="00EF10CE">
            <w:pPr>
              <w:rPr>
                <w:rFonts w:eastAsiaTheme="minorEastAsia"/>
                <w:color w:val="000000"/>
                <w:sz w:val="20"/>
                <w:szCs w:val="20"/>
              </w:rPr>
            </w:pPr>
            <w:r>
              <w:rPr>
                <w:rFonts w:eastAsiaTheme="minorEastAsia"/>
                <w:color w:val="000000"/>
                <w:sz w:val="20"/>
                <w:szCs w:val="20"/>
              </w:rPr>
              <w:t>≤60%</w:t>
            </w:r>
          </w:p>
        </w:tc>
        <w:tc>
          <w:tcPr>
            <w:tcW w:w="1086" w:type="dxa"/>
            <w:tcBorders>
              <w:top w:val="single" w:sz="4" w:space="0" w:color="auto"/>
              <w:left w:val="nil"/>
              <w:bottom w:val="single" w:sz="4" w:space="0" w:color="auto"/>
              <w:right w:val="single" w:sz="4" w:space="0" w:color="auto"/>
            </w:tcBorders>
          </w:tcPr>
          <w:p w:rsidR="009C1ACE" w:rsidRDefault="009C1ACE">
            <w:pPr>
              <w:rPr>
                <w:rFonts w:eastAsiaTheme="minorEastAsia"/>
                <w:color w:val="000000"/>
                <w:sz w:val="20"/>
                <w:szCs w:val="20"/>
              </w:rPr>
            </w:pPr>
          </w:p>
        </w:tc>
      </w:tr>
    </w:tbl>
    <w:p w:rsidR="009C1ACE" w:rsidRDefault="00EF10CE">
      <w:pPr>
        <w:spacing w:line="300" w:lineRule="auto"/>
        <w:ind w:firstLineChars="200" w:firstLine="400"/>
        <w:rPr>
          <w:sz w:val="20"/>
          <w:szCs w:val="20"/>
        </w:rPr>
      </w:pPr>
      <w:r>
        <w:rPr>
          <w:sz w:val="20"/>
          <w:szCs w:val="20"/>
        </w:rPr>
        <w:lastRenderedPageBreak/>
        <w:t xml:space="preserve">9.2.2 </w:t>
      </w:r>
      <w:r>
        <w:rPr>
          <w:sz w:val="20"/>
          <w:szCs w:val="20"/>
        </w:rPr>
        <w:t>水热调理过程中有机质溶出水解，会造成干物质减量，脱水设备设置时应予以考虑。</w:t>
      </w:r>
    </w:p>
    <w:p w:rsidR="009C1ACE" w:rsidRDefault="00EF10CE">
      <w:pPr>
        <w:spacing w:line="300" w:lineRule="auto"/>
        <w:ind w:firstLineChars="200" w:firstLine="400"/>
        <w:rPr>
          <w:sz w:val="20"/>
          <w:szCs w:val="20"/>
        </w:rPr>
      </w:pPr>
      <w:r>
        <w:rPr>
          <w:sz w:val="20"/>
          <w:szCs w:val="20"/>
        </w:rPr>
        <w:t xml:space="preserve">9.2.3 </w:t>
      </w:r>
      <w:r>
        <w:rPr>
          <w:sz w:val="20"/>
          <w:szCs w:val="20"/>
        </w:rPr>
        <w:t>隔膜</w:t>
      </w:r>
      <w:r>
        <w:rPr>
          <w:rFonts w:hint="eastAsia"/>
          <w:sz w:val="20"/>
          <w:szCs w:val="20"/>
        </w:rPr>
        <w:t>板框</w:t>
      </w:r>
      <w:r>
        <w:rPr>
          <w:sz w:val="20"/>
          <w:szCs w:val="20"/>
        </w:rPr>
        <w:t>压滤机过滤周期通常按照</w:t>
      </w:r>
      <w:r>
        <w:rPr>
          <w:sz w:val="20"/>
          <w:szCs w:val="20"/>
        </w:rPr>
        <w:t>4h</w:t>
      </w:r>
      <w:r>
        <w:rPr>
          <w:sz w:val="20"/>
          <w:szCs w:val="20"/>
        </w:rPr>
        <w:t>计算，水热调理后污泥流动性好、更易脱水，过滤周期缩短。根据现有工程调研，水热调理后用隔膜</w:t>
      </w:r>
      <w:r>
        <w:rPr>
          <w:rFonts w:hint="eastAsia"/>
          <w:sz w:val="20"/>
          <w:szCs w:val="20"/>
        </w:rPr>
        <w:t>板框</w:t>
      </w:r>
      <w:r>
        <w:rPr>
          <w:sz w:val="20"/>
          <w:szCs w:val="20"/>
        </w:rPr>
        <w:t>压滤机进行脱水，过滤周期大约</w:t>
      </w:r>
      <w:r>
        <w:rPr>
          <w:sz w:val="20"/>
          <w:szCs w:val="20"/>
        </w:rPr>
        <w:t>2</w:t>
      </w:r>
      <w:r>
        <w:rPr>
          <w:sz w:val="20"/>
          <w:szCs w:val="20"/>
        </w:rPr>
        <w:t>小时。</w:t>
      </w:r>
    </w:p>
    <w:p w:rsidR="009C1ACE" w:rsidRDefault="00EF10CE">
      <w:pPr>
        <w:spacing w:line="300" w:lineRule="auto"/>
        <w:ind w:firstLineChars="200" w:firstLine="400"/>
        <w:rPr>
          <w:sz w:val="20"/>
          <w:szCs w:val="20"/>
        </w:rPr>
      </w:pPr>
      <w:r>
        <w:rPr>
          <w:rFonts w:hint="eastAsia"/>
          <w:sz w:val="20"/>
          <w:szCs w:val="20"/>
        </w:rPr>
        <w:t>9.2.</w:t>
      </w:r>
      <w:r>
        <w:rPr>
          <w:sz w:val="20"/>
          <w:szCs w:val="20"/>
        </w:rPr>
        <w:t>7</w:t>
      </w:r>
      <w:r>
        <w:rPr>
          <w:rFonts w:hint="eastAsia"/>
          <w:sz w:val="20"/>
          <w:szCs w:val="20"/>
        </w:rPr>
        <w:t xml:space="preserve"> </w:t>
      </w:r>
      <w:r>
        <w:rPr>
          <w:rFonts w:hint="eastAsia"/>
          <w:sz w:val="20"/>
          <w:szCs w:val="20"/>
        </w:rPr>
        <w:t>对于有机质含量较高的污泥，脱水性能较差，可根据最终泥饼含水率的要求，水热调理后少量添加药剂，使其达到脱水目标。</w:t>
      </w:r>
    </w:p>
    <w:p w:rsidR="009C1ACE" w:rsidRDefault="00EF10CE">
      <w:pPr>
        <w:spacing w:line="300" w:lineRule="auto"/>
        <w:ind w:firstLineChars="200" w:firstLine="400"/>
        <w:rPr>
          <w:sz w:val="20"/>
          <w:szCs w:val="20"/>
        </w:rPr>
      </w:pPr>
      <w:r>
        <w:rPr>
          <w:sz w:val="20"/>
          <w:szCs w:val="20"/>
        </w:rPr>
        <w:t xml:space="preserve">9.2.13 </w:t>
      </w:r>
      <w:r>
        <w:rPr>
          <w:sz w:val="20"/>
          <w:szCs w:val="20"/>
        </w:rPr>
        <w:t>隔膜</w:t>
      </w:r>
      <w:r>
        <w:rPr>
          <w:rFonts w:hint="eastAsia"/>
          <w:sz w:val="20"/>
          <w:szCs w:val="20"/>
        </w:rPr>
        <w:t>板框</w:t>
      </w:r>
      <w:r>
        <w:rPr>
          <w:sz w:val="20"/>
          <w:szCs w:val="20"/>
        </w:rPr>
        <w:t>压滤机处理后的泥饼呈块状，为了方便运输及后续利用或处置，可在压滤机下方设置格栅或破碎装置</w:t>
      </w:r>
      <w:r>
        <w:rPr>
          <w:sz w:val="20"/>
          <w:szCs w:val="20"/>
        </w:rPr>
        <w:t>，对泥饼进行破碎。</w:t>
      </w:r>
    </w:p>
    <w:p w:rsidR="009C1ACE" w:rsidRDefault="00EF10CE">
      <w:pPr>
        <w:spacing w:line="300" w:lineRule="auto"/>
        <w:ind w:firstLineChars="200" w:firstLine="400"/>
        <w:rPr>
          <w:sz w:val="20"/>
          <w:szCs w:val="20"/>
        </w:rPr>
      </w:pPr>
      <w:r>
        <w:rPr>
          <w:sz w:val="20"/>
          <w:szCs w:val="20"/>
        </w:rPr>
        <w:t xml:space="preserve">9.2.14 </w:t>
      </w:r>
      <w:r>
        <w:rPr>
          <w:sz w:val="20"/>
          <w:szCs w:val="20"/>
        </w:rPr>
        <w:t>设置脱水泥饼料仓或堆棚，临时储存脱水泥饼，以应对泥饼不能及时外运的情况；此外，由于经过水热调理，污泥中的胞内水、结合水释放，脱水泥饼短期堆置有利于含水率进一步降低。</w:t>
      </w:r>
    </w:p>
    <w:p w:rsidR="009C1ACE" w:rsidRDefault="00EF10CE">
      <w:pPr>
        <w:spacing w:line="300" w:lineRule="auto"/>
        <w:ind w:firstLineChars="200" w:firstLine="400"/>
        <w:rPr>
          <w:sz w:val="20"/>
          <w:szCs w:val="20"/>
        </w:rPr>
      </w:pPr>
      <w:r>
        <w:rPr>
          <w:sz w:val="20"/>
          <w:szCs w:val="20"/>
        </w:rPr>
        <w:t>10.1.1</w:t>
      </w:r>
      <w:r>
        <w:rPr>
          <w:sz w:val="20"/>
          <w:szCs w:val="20"/>
        </w:rPr>
        <w:t>设置滤液储存池，</w:t>
      </w:r>
      <w:r>
        <w:rPr>
          <w:rFonts w:hint="eastAsia"/>
          <w:sz w:val="20"/>
          <w:szCs w:val="20"/>
        </w:rPr>
        <w:t>用于缓冲调节滤液回流污水厂，较少对污水厂运行的影响，同时有利于氮磷回收。</w:t>
      </w:r>
    </w:p>
    <w:p w:rsidR="009C1ACE" w:rsidRDefault="00EF10CE">
      <w:pPr>
        <w:spacing w:line="300" w:lineRule="auto"/>
        <w:ind w:firstLineChars="200" w:firstLine="400"/>
        <w:rPr>
          <w:sz w:val="20"/>
          <w:szCs w:val="20"/>
        </w:rPr>
      </w:pPr>
      <w:r>
        <w:rPr>
          <w:rFonts w:hint="eastAsia"/>
          <w:sz w:val="20"/>
          <w:szCs w:val="20"/>
        </w:rPr>
        <w:t xml:space="preserve">10.2.1 </w:t>
      </w:r>
      <w:r>
        <w:rPr>
          <w:rFonts w:hint="eastAsia"/>
          <w:sz w:val="20"/>
          <w:szCs w:val="20"/>
        </w:rPr>
        <w:t>根据对现有工程的跟踪监测，脱水滤液中</w:t>
      </w:r>
      <w:r>
        <w:rPr>
          <w:rFonts w:hint="eastAsia"/>
          <w:sz w:val="20"/>
          <w:szCs w:val="20"/>
        </w:rPr>
        <w:t>C</w:t>
      </w:r>
      <w:r>
        <w:rPr>
          <w:sz w:val="20"/>
          <w:szCs w:val="20"/>
        </w:rPr>
        <w:t>OD</w:t>
      </w:r>
      <w:r>
        <w:rPr>
          <w:rFonts w:hint="eastAsia"/>
          <w:sz w:val="20"/>
          <w:szCs w:val="20"/>
        </w:rPr>
        <w:t>浓度＞</w:t>
      </w:r>
      <w:r>
        <w:rPr>
          <w:rFonts w:hint="eastAsia"/>
          <w:sz w:val="20"/>
          <w:szCs w:val="20"/>
        </w:rPr>
        <w:t>3</w:t>
      </w:r>
      <w:r>
        <w:rPr>
          <w:sz w:val="20"/>
          <w:szCs w:val="20"/>
        </w:rPr>
        <w:t>0000 mg</w:t>
      </w:r>
      <w:r>
        <w:rPr>
          <w:rFonts w:hint="eastAsia"/>
          <w:sz w:val="20"/>
          <w:szCs w:val="20"/>
        </w:rPr>
        <w:t>/</w:t>
      </w:r>
      <w:r>
        <w:rPr>
          <w:sz w:val="20"/>
          <w:szCs w:val="20"/>
        </w:rPr>
        <w:t>L</w:t>
      </w:r>
      <w:r>
        <w:rPr>
          <w:rFonts w:hint="eastAsia"/>
          <w:sz w:val="20"/>
          <w:szCs w:val="20"/>
        </w:rPr>
        <w:t>、总氮＞</w:t>
      </w:r>
      <w:r>
        <w:rPr>
          <w:sz w:val="20"/>
          <w:szCs w:val="20"/>
        </w:rPr>
        <w:t>3000 mg</w:t>
      </w:r>
      <w:r>
        <w:rPr>
          <w:rFonts w:hint="eastAsia"/>
          <w:sz w:val="20"/>
          <w:szCs w:val="20"/>
        </w:rPr>
        <w:t>/</w:t>
      </w:r>
      <w:r>
        <w:rPr>
          <w:sz w:val="20"/>
          <w:szCs w:val="20"/>
        </w:rPr>
        <w:t>L</w:t>
      </w:r>
      <w:r>
        <w:rPr>
          <w:rFonts w:hint="eastAsia"/>
          <w:sz w:val="20"/>
          <w:szCs w:val="20"/>
        </w:rPr>
        <w:t>、总磷＞</w:t>
      </w:r>
      <w:r>
        <w:rPr>
          <w:rFonts w:hint="eastAsia"/>
          <w:sz w:val="20"/>
          <w:szCs w:val="20"/>
        </w:rPr>
        <w:t>1</w:t>
      </w:r>
      <w:r>
        <w:rPr>
          <w:sz w:val="20"/>
          <w:szCs w:val="20"/>
        </w:rPr>
        <w:t>0 mg/L</w:t>
      </w:r>
      <w:r>
        <w:rPr>
          <w:rFonts w:hint="eastAsia"/>
          <w:sz w:val="20"/>
          <w:szCs w:val="20"/>
        </w:rPr>
        <w:t>，采用厌氧消化可回收滤液中的能源，可用于补充水热调理热源。滤液中的氮磷浓度也较高，具有回收价值。</w:t>
      </w:r>
    </w:p>
    <w:p w:rsidR="009C1ACE" w:rsidRDefault="00EF10CE">
      <w:pPr>
        <w:spacing w:line="300" w:lineRule="auto"/>
        <w:ind w:firstLineChars="200" w:firstLine="400"/>
        <w:rPr>
          <w:sz w:val="20"/>
          <w:szCs w:val="20"/>
        </w:rPr>
      </w:pPr>
      <w:r>
        <w:rPr>
          <w:sz w:val="20"/>
          <w:szCs w:val="20"/>
        </w:rPr>
        <w:t>10.2.</w:t>
      </w:r>
      <w:r>
        <w:rPr>
          <w:rFonts w:hint="eastAsia"/>
          <w:sz w:val="20"/>
          <w:szCs w:val="20"/>
        </w:rPr>
        <w:t>3</w:t>
      </w:r>
      <w:r>
        <w:rPr>
          <w:sz w:val="20"/>
          <w:szCs w:val="20"/>
        </w:rPr>
        <w:t xml:space="preserve"> </w:t>
      </w:r>
      <w:r>
        <w:rPr>
          <w:sz w:val="20"/>
          <w:szCs w:val="20"/>
        </w:rPr>
        <w:t>脱水滤液如排入污水处理厂，需考虑负荷对污水厂的影响。</w:t>
      </w:r>
    </w:p>
    <w:p w:rsidR="009C1ACE" w:rsidRDefault="00EF10CE">
      <w:pPr>
        <w:spacing w:line="300" w:lineRule="auto"/>
        <w:ind w:firstLineChars="200" w:firstLine="400"/>
        <w:rPr>
          <w:sz w:val="20"/>
          <w:szCs w:val="20"/>
        </w:rPr>
      </w:pPr>
      <w:r>
        <w:rPr>
          <w:sz w:val="20"/>
          <w:szCs w:val="20"/>
        </w:rPr>
        <w:t xml:space="preserve">12.2.2 </w:t>
      </w:r>
      <w:r>
        <w:rPr>
          <w:rFonts w:hint="eastAsia"/>
          <w:sz w:val="20"/>
          <w:szCs w:val="20"/>
        </w:rPr>
        <w:t>参考《城镇污水处理厂污泥深度脱水工艺设计与运行管理指南》</w:t>
      </w:r>
      <w:r>
        <w:rPr>
          <w:rFonts w:hint="eastAsia"/>
          <w:sz w:val="20"/>
          <w:szCs w:val="20"/>
        </w:rPr>
        <w:t>T</w:t>
      </w:r>
      <w:r>
        <w:rPr>
          <w:sz w:val="20"/>
          <w:szCs w:val="20"/>
        </w:rPr>
        <w:t>CECS20005</w:t>
      </w:r>
      <w:r>
        <w:rPr>
          <w:rFonts w:hint="eastAsia"/>
          <w:sz w:val="20"/>
          <w:szCs w:val="20"/>
        </w:rPr>
        <w:t>中的相关规定。</w:t>
      </w:r>
    </w:p>
    <w:p w:rsidR="009C1ACE" w:rsidRDefault="00EF10CE">
      <w:pPr>
        <w:spacing w:line="300" w:lineRule="auto"/>
        <w:ind w:firstLineChars="200" w:firstLine="400"/>
        <w:rPr>
          <w:sz w:val="20"/>
          <w:szCs w:val="20"/>
        </w:rPr>
      </w:pPr>
      <w:r>
        <w:rPr>
          <w:rFonts w:hint="eastAsia"/>
          <w:sz w:val="20"/>
          <w:szCs w:val="20"/>
        </w:rPr>
        <w:t>1</w:t>
      </w:r>
      <w:r>
        <w:rPr>
          <w:sz w:val="20"/>
          <w:szCs w:val="20"/>
        </w:rPr>
        <w:t xml:space="preserve">2.2.3 </w:t>
      </w:r>
      <w:r>
        <w:rPr>
          <w:rFonts w:hint="eastAsia"/>
          <w:sz w:val="20"/>
          <w:szCs w:val="20"/>
        </w:rPr>
        <w:t>（</w:t>
      </w:r>
      <w:r>
        <w:rPr>
          <w:rFonts w:hint="eastAsia"/>
          <w:sz w:val="20"/>
          <w:szCs w:val="20"/>
        </w:rPr>
        <w:t>1</w:t>
      </w:r>
      <w:r>
        <w:rPr>
          <w:rFonts w:hint="eastAsia"/>
          <w:sz w:val="20"/>
          <w:szCs w:val="20"/>
        </w:rPr>
        <w:t>）水热调理温度、蒸汽消耗量是水热调理重要的技术参数，温度应控制在</w:t>
      </w:r>
      <w:r>
        <w:rPr>
          <w:rFonts w:hint="eastAsia"/>
          <w:sz w:val="20"/>
          <w:szCs w:val="20"/>
        </w:rPr>
        <w:t>1</w:t>
      </w:r>
      <w:r>
        <w:rPr>
          <w:sz w:val="20"/>
          <w:szCs w:val="20"/>
        </w:rPr>
        <w:t>70</w:t>
      </w:r>
      <w:r>
        <w:rPr>
          <w:rFonts w:hint="eastAsia"/>
          <w:sz w:val="20"/>
          <w:szCs w:val="20"/>
        </w:rPr>
        <w:t>-</w:t>
      </w:r>
      <w:r>
        <w:rPr>
          <w:sz w:val="20"/>
          <w:szCs w:val="20"/>
        </w:rPr>
        <w:t>200</w:t>
      </w:r>
      <w:r>
        <w:rPr>
          <w:rFonts w:hint="eastAsia"/>
          <w:sz w:val="20"/>
          <w:szCs w:val="20"/>
        </w:rPr>
        <w:t>℃，蒸汽消耗量宜控制小于</w:t>
      </w:r>
      <w:r>
        <w:rPr>
          <w:rFonts w:hint="eastAsia"/>
          <w:sz w:val="20"/>
          <w:szCs w:val="20"/>
        </w:rPr>
        <w:t>2</w:t>
      </w:r>
      <w:r>
        <w:rPr>
          <w:sz w:val="20"/>
          <w:szCs w:val="20"/>
        </w:rPr>
        <w:t>50 kg/t</w:t>
      </w:r>
      <w:r>
        <w:rPr>
          <w:rFonts w:hint="eastAsia"/>
          <w:sz w:val="20"/>
          <w:szCs w:val="20"/>
        </w:rPr>
        <w:t>污泥（</w:t>
      </w:r>
      <w:r>
        <w:rPr>
          <w:rFonts w:hint="eastAsia"/>
          <w:sz w:val="20"/>
          <w:szCs w:val="20"/>
        </w:rPr>
        <w:t>8</w:t>
      </w:r>
      <w:r>
        <w:rPr>
          <w:sz w:val="20"/>
          <w:szCs w:val="20"/>
        </w:rPr>
        <w:t>0</w:t>
      </w:r>
      <w:r>
        <w:rPr>
          <w:rFonts w:hint="eastAsia"/>
          <w:sz w:val="20"/>
          <w:szCs w:val="20"/>
        </w:rPr>
        <w:t>%</w:t>
      </w:r>
      <w:r>
        <w:rPr>
          <w:rFonts w:hint="eastAsia"/>
          <w:sz w:val="20"/>
          <w:szCs w:val="20"/>
        </w:rPr>
        <w:t>含水率），充分发挥水热调理强化脱水及节能降耗优势。监测出泥温度主要是为了延长隔膜板框压滤机的使用寿命、保障处理效果。</w:t>
      </w:r>
    </w:p>
    <w:p w:rsidR="009C1ACE" w:rsidRDefault="00EF10CE">
      <w:pPr>
        <w:spacing w:line="300" w:lineRule="auto"/>
        <w:ind w:firstLineChars="200" w:firstLine="400"/>
        <w:rPr>
          <w:color w:val="000000"/>
          <w:szCs w:val="21"/>
        </w:rPr>
      </w:pPr>
      <w:r>
        <w:rPr>
          <w:rFonts w:hint="eastAsia"/>
          <w:sz w:val="20"/>
          <w:szCs w:val="20"/>
        </w:rPr>
        <w:t>（</w:t>
      </w:r>
      <w:r>
        <w:rPr>
          <w:rFonts w:hint="eastAsia"/>
          <w:sz w:val="20"/>
          <w:szCs w:val="20"/>
        </w:rPr>
        <w:t>3</w:t>
      </w:r>
      <w:r>
        <w:rPr>
          <w:rFonts w:hint="eastAsia"/>
          <w:sz w:val="20"/>
          <w:szCs w:val="20"/>
        </w:rPr>
        <w:t>）根据</w:t>
      </w:r>
      <w:r>
        <w:rPr>
          <w:rFonts w:hint="eastAsia"/>
          <w:color w:val="000000"/>
          <w:szCs w:val="21"/>
        </w:rPr>
        <w:t>《城镇污水处理厂运行、维护及安全技术规程》</w:t>
      </w:r>
      <w:r>
        <w:rPr>
          <w:rFonts w:hint="eastAsia"/>
          <w:color w:val="000000"/>
          <w:szCs w:val="21"/>
        </w:rPr>
        <w:t>CJJ60</w:t>
      </w:r>
      <w:r>
        <w:rPr>
          <w:rFonts w:hint="eastAsia"/>
          <w:color w:val="000000"/>
          <w:szCs w:val="21"/>
        </w:rPr>
        <w:t>规定，应定期对处理前、处理后的污泥性质进行检测。</w:t>
      </w:r>
    </w:p>
    <w:bookmarkStart w:id="19" w:name="_Toc21407"/>
    <w:bookmarkEnd w:id="17"/>
    <w:bookmarkEnd w:id="18"/>
    <w:p w:rsidR="009C1ACE" w:rsidRDefault="009C1ACE">
      <w:pPr>
        <w:pStyle w:val="11"/>
        <w:numPr>
          <w:ilvl w:val="0"/>
          <w:numId w:val="3"/>
        </w:numPr>
        <w:outlineLvl w:val="0"/>
        <w:rPr>
          <w:bCs w:val="0"/>
          <w:lang w:val="zh-CN"/>
        </w:rPr>
      </w:pPr>
      <w:r w:rsidRPr="009C1ACE">
        <w:rPr>
          <w:bCs w:val="0"/>
        </w:rPr>
        <w:fldChar w:fldCharType="begin"/>
      </w:r>
      <w:r w:rsidR="00EF10CE">
        <w:rPr>
          <w:bCs w:val="0"/>
        </w:rPr>
        <w:instrText xml:space="preserve"> HYPERLINK \l "_Toc234978614"</w:instrText>
      </w:r>
      <w:r w:rsidRPr="009C1ACE">
        <w:rPr>
          <w:bCs w:val="0"/>
        </w:rPr>
        <w:fldChar w:fldCharType="separate"/>
      </w:r>
      <w:r w:rsidR="00EF10CE">
        <w:rPr>
          <w:bCs w:val="0"/>
          <w:lang w:val="zh-CN"/>
        </w:rPr>
        <w:t>标准实施的环境效益与经济技术分析</w:t>
      </w:r>
      <w:r>
        <w:rPr>
          <w:bCs w:val="0"/>
          <w:lang w:val="zh-CN"/>
        </w:rPr>
        <w:fldChar w:fldCharType="end"/>
      </w:r>
      <w:bookmarkEnd w:id="19"/>
    </w:p>
    <w:p w:rsidR="009C1ACE" w:rsidRDefault="00EF10CE">
      <w:pPr>
        <w:spacing w:line="300" w:lineRule="auto"/>
        <w:ind w:firstLineChars="200" w:firstLine="400"/>
        <w:rPr>
          <w:sz w:val="20"/>
          <w:szCs w:val="20"/>
        </w:rPr>
      </w:pPr>
      <w:r>
        <w:rPr>
          <w:sz w:val="20"/>
          <w:szCs w:val="20"/>
        </w:rPr>
        <w:t>污泥脱水减量是污泥处理处置的关键环节。水热调理作为深度脱水前的污泥调理手段，与传统的化学调理、热干化技术相比，具有低药耗、低能耗的优势</w:t>
      </w:r>
      <w:r>
        <w:rPr>
          <w:rFonts w:hint="eastAsia"/>
          <w:sz w:val="20"/>
          <w:szCs w:val="20"/>
        </w:rPr>
        <w:t>。经测算，水热深度脱水工艺运行成本＜</w:t>
      </w:r>
      <w:r>
        <w:rPr>
          <w:rFonts w:hint="eastAsia"/>
          <w:sz w:val="20"/>
          <w:szCs w:val="20"/>
        </w:rPr>
        <w:t>10</w:t>
      </w:r>
      <w:r>
        <w:rPr>
          <w:sz w:val="20"/>
          <w:szCs w:val="20"/>
        </w:rPr>
        <w:t>0</w:t>
      </w:r>
      <w:r>
        <w:rPr>
          <w:rFonts w:hint="eastAsia"/>
          <w:sz w:val="20"/>
          <w:szCs w:val="20"/>
        </w:rPr>
        <w:t>元</w:t>
      </w:r>
      <w:r>
        <w:rPr>
          <w:rFonts w:hint="eastAsia"/>
          <w:sz w:val="20"/>
          <w:szCs w:val="20"/>
        </w:rPr>
        <w:t>/t</w:t>
      </w:r>
      <w:r>
        <w:rPr>
          <w:rFonts w:hint="eastAsia"/>
          <w:sz w:val="20"/>
          <w:szCs w:val="20"/>
        </w:rPr>
        <w:t>，如采用废热蒸汽作为热源成本可进一步降低。此外由于水热反应过程不发生相变深度脱水全过程能耗、碳排放均低于传统热干化工艺。水热深度脱水过程不添加化学药剂</w:t>
      </w:r>
      <w:r>
        <w:rPr>
          <w:sz w:val="20"/>
          <w:szCs w:val="20"/>
        </w:rPr>
        <w:t>，</w:t>
      </w:r>
      <w:r>
        <w:rPr>
          <w:rFonts w:hint="eastAsia"/>
          <w:sz w:val="20"/>
          <w:szCs w:val="20"/>
        </w:rPr>
        <w:t>对泥饼后续处置和利用的影响较小。</w:t>
      </w:r>
      <w:r>
        <w:rPr>
          <w:sz w:val="20"/>
          <w:szCs w:val="20"/>
        </w:rPr>
        <w:t>本标准提供了对污泥水热深度脱水的工艺设计和运行管理标准化技术要求，有利于工艺技术的推广应用，为我国污泥深度脱水提供</w:t>
      </w:r>
      <w:r>
        <w:rPr>
          <w:rFonts w:hint="eastAsia"/>
          <w:sz w:val="20"/>
          <w:szCs w:val="20"/>
        </w:rPr>
        <w:t>绿色、低碳、经济可行的</w:t>
      </w:r>
      <w:r>
        <w:rPr>
          <w:sz w:val="20"/>
          <w:szCs w:val="20"/>
        </w:rPr>
        <w:t>技术解决方案。</w:t>
      </w:r>
    </w:p>
    <w:bookmarkStart w:id="20" w:name="_Toc18027"/>
    <w:p w:rsidR="009C1ACE" w:rsidRDefault="009C1ACE">
      <w:pPr>
        <w:pStyle w:val="11"/>
        <w:numPr>
          <w:ilvl w:val="0"/>
          <w:numId w:val="3"/>
        </w:numPr>
        <w:outlineLvl w:val="0"/>
        <w:rPr>
          <w:bCs w:val="0"/>
          <w:lang w:val="zh-CN"/>
        </w:rPr>
      </w:pPr>
      <w:r w:rsidRPr="009C1ACE">
        <w:rPr>
          <w:bCs w:val="0"/>
        </w:rPr>
        <w:fldChar w:fldCharType="begin"/>
      </w:r>
      <w:r w:rsidR="00EF10CE">
        <w:rPr>
          <w:bCs w:val="0"/>
        </w:rPr>
        <w:instrText xml:space="preserve"> HYPERLINK \l "_Toc234978615"</w:instrText>
      </w:r>
      <w:r w:rsidRPr="009C1ACE">
        <w:rPr>
          <w:bCs w:val="0"/>
        </w:rPr>
        <w:fldChar w:fldCharType="separate"/>
      </w:r>
      <w:r w:rsidR="00EF10CE">
        <w:rPr>
          <w:bCs w:val="0"/>
          <w:lang w:val="zh-CN"/>
        </w:rPr>
        <w:t>标准实施建议</w:t>
      </w:r>
      <w:r>
        <w:rPr>
          <w:bCs w:val="0"/>
          <w:lang w:val="zh-CN"/>
        </w:rPr>
        <w:fldChar w:fldCharType="end"/>
      </w:r>
      <w:bookmarkEnd w:id="20"/>
    </w:p>
    <w:p w:rsidR="009C1ACE" w:rsidRDefault="00EF10CE">
      <w:pPr>
        <w:numPr>
          <w:ilvl w:val="0"/>
          <w:numId w:val="6"/>
        </w:numPr>
        <w:spacing w:line="300" w:lineRule="auto"/>
        <w:ind w:firstLineChars="200" w:firstLine="400"/>
        <w:rPr>
          <w:sz w:val="20"/>
          <w:szCs w:val="20"/>
        </w:rPr>
      </w:pPr>
      <w:r>
        <w:rPr>
          <w:sz w:val="20"/>
          <w:szCs w:val="20"/>
        </w:rPr>
        <w:t>在本标准发布之前，水热深度脱水工程设计和运行管理可参考《室外排水设计标准》</w:t>
      </w:r>
      <w:r>
        <w:rPr>
          <w:sz w:val="20"/>
          <w:szCs w:val="20"/>
        </w:rPr>
        <w:t>GB50014</w:t>
      </w:r>
      <w:r>
        <w:rPr>
          <w:sz w:val="20"/>
          <w:szCs w:val="20"/>
        </w:rPr>
        <w:t>、《城镇污</w:t>
      </w:r>
      <w:r>
        <w:rPr>
          <w:sz w:val="20"/>
          <w:szCs w:val="20"/>
        </w:rPr>
        <w:t>水处理厂污泥深度脱水工艺设计与运行管理指南》</w:t>
      </w:r>
      <w:r>
        <w:rPr>
          <w:sz w:val="20"/>
          <w:szCs w:val="20"/>
        </w:rPr>
        <w:t>TCECS20005-2021</w:t>
      </w:r>
      <w:r>
        <w:rPr>
          <w:sz w:val="20"/>
          <w:szCs w:val="20"/>
        </w:rPr>
        <w:t>、《城镇污水处理厂污泥隔膜压滤深度脱水技术规程》</w:t>
      </w:r>
      <w:r>
        <w:rPr>
          <w:sz w:val="20"/>
          <w:szCs w:val="20"/>
        </w:rPr>
        <w:t>TCECS 537-2018</w:t>
      </w:r>
      <w:r>
        <w:rPr>
          <w:sz w:val="20"/>
          <w:szCs w:val="20"/>
        </w:rPr>
        <w:t>、《城镇污水处理厂污泥高级</w:t>
      </w:r>
      <w:r>
        <w:rPr>
          <w:sz w:val="20"/>
          <w:szCs w:val="20"/>
        </w:rPr>
        <w:lastRenderedPageBreak/>
        <w:t>厌氧消化处理工艺设计规范》</w:t>
      </w:r>
      <w:r>
        <w:rPr>
          <w:sz w:val="20"/>
          <w:szCs w:val="20"/>
        </w:rPr>
        <w:t>T/CSUS29-2021</w:t>
      </w:r>
      <w:r>
        <w:rPr>
          <w:sz w:val="20"/>
          <w:szCs w:val="20"/>
        </w:rPr>
        <w:t>中相关工艺环节的技术要求及参数。</w:t>
      </w:r>
    </w:p>
    <w:p w:rsidR="009C1ACE" w:rsidRDefault="00EF10CE">
      <w:pPr>
        <w:numPr>
          <w:ilvl w:val="0"/>
          <w:numId w:val="6"/>
        </w:numPr>
        <w:spacing w:line="300" w:lineRule="auto"/>
        <w:ind w:firstLineChars="200" w:firstLine="400"/>
        <w:rPr>
          <w:sz w:val="20"/>
          <w:szCs w:val="20"/>
          <w:lang w:val="zh-CN"/>
        </w:rPr>
      </w:pPr>
      <w:r>
        <w:rPr>
          <w:sz w:val="20"/>
          <w:szCs w:val="20"/>
        </w:rPr>
        <w:t>在本标准发布之后，及时针对标准内容开展宣贯，水热深度脱水工程设计和运行管理参照本标准要求执行。</w:t>
      </w:r>
    </w:p>
    <w:bookmarkStart w:id="21" w:name="_Toc11471"/>
    <w:p w:rsidR="009C1ACE" w:rsidRDefault="009C1ACE">
      <w:pPr>
        <w:pStyle w:val="11"/>
        <w:numPr>
          <w:ilvl w:val="0"/>
          <w:numId w:val="3"/>
        </w:numPr>
        <w:outlineLvl w:val="0"/>
        <w:rPr>
          <w:bCs w:val="0"/>
          <w:lang w:val="zh-CN"/>
        </w:rPr>
      </w:pPr>
      <w:r w:rsidRPr="009C1ACE">
        <w:rPr>
          <w:bCs w:val="0"/>
        </w:rPr>
        <w:fldChar w:fldCharType="begin"/>
      </w:r>
      <w:r w:rsidR="00EF10CE">
        <w:rPr>
          <w:bCs w:val="0"/>
        </w:rPr>
        <w:instrText xml:space="preserve"> HYPERLINK \l "_Toc234978616"</w:instrText>
      </w:r>
      <w:r w:rsidRPr="009C1ACE">
        <w:rPr>
          <w:bCs w:val="0"/>
        </w:rPr>
        <w:fldChar w:fldCharType="separate"/>
      </w:r>
      <w:r w:rsidR="00EF10CE">
        <w:rPr>
          <w:bCs w:val="0"/>
          <w:lang w:val="zh-CN"/>
        </w:rPr>
        <w:t>征求意见处理情况说明</w:t>
      </w:r>
      <w:r>
        <w:rPr>
          <w:bCs w:val="0"/>
          <w:lang w:val="zh-CN"/>
        </w:rPr>
        <w:fldChar w:fldCharType="end"/>
      </w:r>
      <w:r w:rsidR="00EF10CE">
        <w:rPr>
          <w:bCs w:val="0"/>
          <w:lang w:val="zh-CN"/>
        </w:rPr>
        <w:t>（送审稿）</w:t>
      </w:r>
      <w:bookmarkEnd w:id="21"/>
    </w:p>
    <w:bookmarkStart w:id="22" w:name="_Toc5120"/>
    <w:p w:rsidR="009C1ACE" w:rsidRDefault="009C1ACE">
      <w:pPr>
        <w:pStyle w:val="11"/>
        <w:numPr>
          <w:ilvl w:val="0"/>
          <w:numId w:val="3"/>
        </w:numPr>
        <w:outlineLvl w:val="0"/>
        <w:rPr>
          <w:bCs w:val="0"/>
          <w:lang w:val="zh-CN"/>
        </w:rPr>
      </w:pPr>
      <w:r w:rsidRPr="009C1ACE">
        <w:rPr>
          <w:bCs w:val="0"/>
        </w:rPr>
        <w:fldChar w:fldCharType="begin"/>
      </w:r>
      <w:r w:rsidR="00EF10CE">
        <w:rPr>
          <w:bCs w:val="0"/>
        </w:rPr>
        <w:instrText xml:space="preserve"> HYPERLINK \l "_Toc234978617"</w:instrText>
      </w:r>
      <w:r w:rsidRPr="009C1ACE">
        <w:rPr>
          <w:bCs w:val="0"/>
        </w:rPr>
        <w:fldChar w:fldCharType="separate"/>
      </w:r>
      <w:r w:rsidR="00EF10CE">
        <w:rPr>
          <w:bCs w:val="0"/>
          <w:lang w:val="zh-CN"/>
        </w:rPr>
        <w:t>技术审查工作情况说明</w:t>
      </w:r>
      <w:r>
        <w:rPr>
          <w:bCs w:val="0"/>
          <w:lang w:val="zh-CN"/>
        </w:rPr>
        <w:fldChar w:fldCharType="end"/>
      </w:r>
      <w:r w:rsidR="00EF10CE">
        <w:rPr>
          <w:bCs w:val="0"/>
          <w:lang w:val="zh-CN"/>
        </w:rPr>
        <w:t>（报批稿）</w:t>
      </w:r>
      <w:bookmarkEnd w:id="22"/>
    </w:p>
    <w:p w:rsidR="009C1ACE" w:rsidRDefault="009C1ACE">
      <w:pPr>
        <w:spacing w:line="300" w:lineRule="auto"/>
        <w:ind w:firstLineChars="200" w:firstLine="420"/>
      </w:pPr>
    </w:p>
    <w:p w:rsidR="009C1ACE" w:rsidRDefault="009C1ACE">
      <w:pPr>
        <w:spacing w:line="300" w:lineRule="auto"/>
        <w:ind w:firstLineChars="200" w:firstLine="420"/>
      </w:pPr>
    </w:p>
    <w:p w:rsidR="009C1ACE" w:rsidRDefault="009C1ACE">
      <w:pPr>
        <w:spacing w:line="300" w:lineRule="auto"/>
        <w:ind w:firstLineChars="200" w:firstLine="420"/>
      </w:pPr>
    </w:p>
    <w:p w:rsidR="009C1ACE" w:rsidRDefault="009C1ACE">
      <w:pPr>
        <w:spacing w:line="300" w:lineRule="auto"/>
        <w:ind w:firstLineChars="200" w:firstLine="420"/>
      </w:pPr>
    </w:p>
    <w:p w:rsidR="009C1ACE" w:rsidRDefault="009C1ACE">
      <w:pPr>
        <w:spacing w:line="300" w:lineRule="auto"/>
        <w:ind w:firstLineChars="200" w:firstLine="420"/>
      </w:pPr>
    </w:p>
    <w:p w:rsidR="009C1ACE" w:rsidRDefault="009C1ACE">
      <w:pPr>
        <w:spacing w:line="300" w:lineRule="auto"/>
        <w:ind w:firstLineChars="200" w:firstLine="420"/>
      </w:pPr>
    </w:p>
    <w:p w:rsidR="009C1ACE" w:rsidRDefault="009C1ACE">
      <w:pPr>
        <w:spacing w:line="300" w:lineRule="auto"/>
        <w:ind w:firstLineChars="200" w:firstLine="420"/>
      </w:pPr>
    </w:p>
    <w:p w:rsidR="009C1ACE" w:rsidRDefault="009C1ACE">
      <w:pPr>
        <w:spacing w:line="300" w:lineRule="auto"/>
        <w:ind w:firstLineChars="200" w:firstLine="420"/>
      </w:pPr>
    </w:p>
    <w:p w:rsidR="009C1ACE" w:rsidRDefault="009C1ACE">
      <w:pPr>
        <w:spacing w:line="300" w:lineRule="auto"/>
        <w:ind w:firstLineChars="200" w:firstLine="420"/>
      </w:pPr>
    </w:p>
    <w:p w:rsidR="009C1ACE" w:rsidRDefault="009C1ACE"/>
    <w:sectPr w:rsidR="009C1ACE" w:rsidSect="009C1AC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0CE" w:rsidRDefault="00EF10CE" w:rsidP="009C1ACE">
      <w:r>
        <w:separator/>
      </w:r>
    </w:p>
  </w:endnote>
  <w:endnote w:type="continuationSeparator" w:id="1">
    <w:p w:rsidR="00EF10CE" w:rsidRDefault="00EF10CE" w:rsidP="009C1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ACE" w:rsidRDefault="009C1AC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ACE" w:rsidRDefault="009C1ACE">
    <w:pPr>
      <w:pStyle w:val="a5"/>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9C1ACE" w:rsidRDefault="009C1ACE">
                <w:pPr>
                  <w:pStyle w:val="a5"/>
                </w:pPr>
                <w:r>
                  <w:fldChar w:fldCharType="begin"/>
                </w:r>
                <w:r w:rsidR="00EF10CE">
                  <w:instrText xml:space="preserve"> PAGE  \* MERGEFORMAT </w:instrText>
                </w:r>
                <w:r>
                  <w:fldChar w:fldCharType="separate"/>
                </w:r>
                <w:r w:rsidR="008B70CB">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0CE" w:rsidRDefault="00EF10CE" w:rsidP="009C1ACE">
      <w:r>
        <w:separator/>
      </w:r>
    </w:p>
  </w:footnote>
  <w:footnote w:type="continuationSeparator" w:id="1">
    <w:p w:rsidR="00EF10CE" w:rsidRDefault="00EF10CE" w:rsidP="009C1A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FFF284"/>
    <w:multiLevelType w:val="singleLevel"/>
    <w:tmpl w:val="D4FFF284"/>
    <w:lvl w:ilvl="0">
      <w:start w:val="1"/>
      <w:numFmt w:val="decimal"/>
      <w:suff w:val="nothing"/>
      <w:lvlText w:val="（%1）"/>
      <w:lvlJc w:val="left"/>
    </w:lvl>
  </w:abstractNum>
  <w:abstractNum w:abstractNumId="1">
    <w:nsid w:val="06ED6203"/>
    <w:multiLevelType w:val="multilevel"/>
    <w:tmpl w:val="06ED6203"/>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2">
    <w:nsid w:val="179B5C51"/>
    <w:multiLevelType w:val="singleLevel"/>
    <w:tmpl w:val="179B5C51"/>
    <w:lvl w:ilvl="0">
      <w:start w:val="1"/>
      <w:numFmt w:val="decimal"/>
      <w:suff w:val="nothing"/>
      <w:lvlText w:val="%1）"/>
      <w:lvlJc w:val="left"/>
    </w:lvl>
  </w:abstractNum>
  <w:abstractNum w:abstractNumId="3">
    <w:nsid w:val="46BC64EE"/>
    <w:multiLevelType w:val="multilevel"/>
    <w:tmpl w:val="46BC64EE"/>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842"/>
        </w:tabs>
        <w:ind w:left="842" w:hanging="420"/>
      </w:pPr>
      <w:rPr>
        <w:rFonts w:hint="default"/>
      </w:rPr>
    </w:lvl>
    <w:lvl w:ilvl="2">
      <w:start w:val="1"/>
      <w:numFmt w:val="decimal"/>
      <w:lvlText w:val="%1.%2.%3"/>
      <w:lvlJc w:val="left"/>
      <w:pPr>
        <w:tabs>
          <w:tab w:val="left" w:pos="1264"/>
        </w:tabs>
        <w:ind w:left="1264" w:hanging="420"/>
      </w:pPr>
      <w:rPr>
        <w:rFonts w:hint="default"/>
      </w:rPr>
    </w:lvl>
    <w:lvl w:ilvl="3">
      <w:start w:val="1"/>
      <w:numFmt w:val="decimal"/>
      <w:lvlText w:val="%1.%2.%3.%4"/>
      <w:lvlJc w:val="left"/>
      <w:pPr>
        <w:tabs>
          <w:tab w:val="left" w:pos="1686"/>
        </w:tabs>
        <w:ind w:left="1686" w:hanging="420"/>
      </w:pPr>
      <w:rPr>
        <w:rFonts w:hint="default"/>
      </w:rPr>
    </w:lvl>
    <w:lvl w:ilvl="4">
      <w:start w:val="1"/>
      <w:numFmt w:val="decimal"/>
      <w:lvlText w:val="%1.%2.%3.%4.%5"/>
      <w:lvlJc w:val="left"/>
      <w:pPr>
        <w:tabs>
          <w:tab w:val="left" w:pos="2108"/>
        </w:tabs>
        <w:ind w:left="2108" w:hanging="420"/>
      </w:pPr>
      <w:rPr>
        <w:rFonts w:hint="default"/>
      </w:rPr>
    </w:lvl>
    <w:lvl w:ilvl="5">
      <w:start w:val="1"/>
      <w:numFmt w:val="decimal"/>
      <w:lvlText w:val="%1.%2.%3.%4.%5.%6"/>
      <w:lvlJc w:val="left"/>
      <w:pPr>
        <w:tabs>
          <w:tab w:val="left" w:pos="2530"/>
        </w:tabs>
        <w:ind w:left="2530" w:hanging="420"/>
      </w:pPr>
      <w:rPr>
        <w:rFonts w:hint="default"/>
      </w:rPr>
    </w:lvl>
    <w:lvl w:ilvl="6">
      <w:start w:val="1"/>
      <w:numFmt w:val="decimal"/>
      <w:lvlText w:val="%1.%2.%3.%4.%5.%6.%7"/>
      <w:lvlJc w:val="left"/>
      <w:pPr>
        <w:tabs>
          <w:tab w:val="left" w:pos="2952"/>
        </w:tabs>
        <w:ind w:left="2952" w:hanging="420"/>
      </w:pPr>
      <w:rPr>
        <w:rFonts w:hint="default"/>
      </w:rPr>
    </w:lvl>
    <w:lvl w:ilvl="7">
      <w:start w:val="1"/>
      <w:numFmt w:val="decimal"/>
      <w:lvlText w:val="%1.%2.%3.%4.%5.%6.%7.%8"/>
      <w:lvlJc w:val="left"/>
      <w:pPr>
        <w:tabs>
          <w:tab w:val="left" w:pos="3374"/>
        </w:tabs>
        <w:ind w:left="3374" w:hanging="420"/>
      </w:pPr>
      <w:rPr>
        <w:rFonts w:hint="default"/>
      </w:rPr>
    </w:lvl>
    <w:lvl w:ilvl="8">
      <w:start w:val="1"/>
      <w:numFmt w:val="decimal"/>
      <w:lvlText w:val="%1.%2.%3.%4.%5.%6.%7.%8.%9"/>
      <w:lvlJc w:val="left"/>
      <w:pPr>
        <w:tabs>
          <w:tab w:val="left" w:pos="3796"/>
        </w:tabs>
        <w:ind w:left="3796" w:hanging="420"/>
      </w:pPr>
      <w:rPr>
        <w:rFonts w:hint="default"/>
      </w:rPr>
    </w:lvl>
  </w:abstractNum>
  <w:abstractNum w:abstractNumId="4">
    <w:nsid w:val="5722710F"/>
    <w:multiLevelType w:val="multilevel"/>
    <w:tmpl w:val="5722710F"/>
    <w:lvl w:ilvl="0">
      <w:start w:val="1"/>
      <w:numFmt w:val="chineseCountingThousand"/>
      <w:lvlText w:val="第%1章"/>
      <w:lvlJc w:val="left"/>
      <w:pPr>
        <w:ind w:left="0" w:firstLine="0"/>
      </w:pPr>
      <w:rPr>
        <w:rFonts w:hint="eastAsia"/>
      </w:rPr>
    </w:lvl>
    <w:lvl w:ilvl="1">
      <w:start w:val="1"/>
      <w:numFmt w:val="decimal"/>
      <w:isLgl/>
      <w:lvlText w:val="%1.%2"/>
      <w:lvlJc w:val="left"/>
      <w:pPr>
        <w:ind w:left="0" w:firstLine="0"/>
      </w:pPr>
      <w:rPr>
        <w:rFonts w:hint="eastAsia"/>
      </w:rPr>
    </w:lvl>
    <w:lvl w:ilvl="2">
      <w:start w:val="1"/>
      <w:numFmt w:val="decimal"/>
      <w:pStyle w:val="3"/>
      <w:isLgl/>
      <w:lvlText w:val="%1.%2.%3"/>
      <w:lvlJc w:val="left"/>
      <w:pPr>
        <w:ind w:left="0" w:firstLine="0"/>
      </w:pPr>
      <w:rPr>
        <w:rFonts w:hint="eastAsia"/>
      </w:rPr>
    </w:lvl>
    <w:lvl w:ilvl="3">
      <w:start w:val="1"/>
      <w:numFmt w:val="decimal"/>
      <w:lvlText w:val="（%4）"/>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4">
      <w:start w:val="1"/>
      <w:numFmt w:val="decimal"/>
      <w:lvlRestart w:val="2"/>
      <w:isLgl/>
      <w:lvlText w:val="表%1.%2-%5"/>
      <w:lvlJc w:val="left"/>
      <w:pPr>
        <w:ind w:left="3403" w:firstLine="0"/>
      </w:pPr>
      <w:rPr>
        <w:rFonts w:hint="eastAsia"/>
      </w:rPr>
    </w:lvl>
    <w:lvl w:ilvl="5">
      <w:start w:val="1"/>
      <w:numFmt w:val="decimal"/>
      <w:lvlRestart w:val="2"/>
      <w:isLgl/>
      <w:lvlText w:val="图%1.%2-%6"/>
      <w:lvlJc w:val="center"/>
      <w:pPr>
        <w:ind w:left="3261" w:firstLine="0"/>
      </w:pPr>
      <w:rPr>
        <w:rFonts w:ascii="Times New Roman" w:hAnsi="Times New Roman" w:hint="eastAsia"/>
        <w:b w:val="0"/>
        <w:bCs w:val="0"/>
        <w:i w:val="0"/>
        <w:iCs w:val="0"/>
        <w:caps w:val="0"/>
        <w:smallCaps w:val="0"/>
        <w:strike w:val="0"/>
        <w:dstrike w:val="0"/>
        <w:outline w:val="0"/>
        <w:shadow w:val="0"/>
        <w:emboss w:val="0"/>
        <w:imprint w:val="0"/>
        <w:vanish w:val="0"/>
        <w:spacing w:val="0"/>
        <w:position w:val="0"/>
        <w:u w:val="none"/>
        <w:vertAlign w:val="baseline"/>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nsid w:val="6C414447"/>
    <w:multiLevelType w:val="multilevel"/>
    <w:tmpl w:val="6C414447"/>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0"/>
      <w:lvlText w:val="%1.%2.%3"/>
      <w:lvlJc w:val="left"/>
      <w:pPr>
        <w:ind w:left="3120"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RlNGM5MmQ5MmY5ZTEyMGZjN2M2ODZhZDYzNjc4MjIifQ=="/>
  </w:docVars>
  <w:rsids>
    <w:rsidRoot w:val="009313EB"/>
    <w:rsid w:val="00054379"/>
    <w:rsid w:val="000722EA"/>
    <w:rsid w:val="000D119C"/>
    <w:rsid w:val="0016119F"/>
    <w:rsid w:val="001D130A"/>
    <w:rsid w:val="001F7530"/>
    <w:rsid w:val="00213E77"/>
    <w:rsid w:val="003272A4"/>
    <w:rsid w:val="003C485B"/>
    <w:rsid w:val="003D2D7E"/>
    <w:rsid w:val="005C2CA3"/>
    <w:rsid w:val="006C3537"/>
    <w:rsid w:val="00713DF0"/>
    <w:rsid w:val="007C5F5F"/>
    <w:rsid w:val="007F6B2B"/>
    <w:rsid w:val="00800997"/>
    <w:rsid w:val="008145C0"/>
    <w:rsid w:val="00832FF4"/>
    <w:rsid w:val="00866C61"/>
    <w:rsid w:val="00882023"/>
    <w:rsid w:val="008B70CB"/>
    <w:rsid w:val="008F5687"/>
    <w:rsid w:val="009313EB"/>
    <w:rsid w:val="00952FDF"/>
    <w:rsid w:val="009812E0"/>
    <w:rsid w:val="009C1ACE"/>
    <w:rsid w:val="00A4201C"/>
    <w:rsid w:val="00A52009"/>
    <w:rsid w:val="00A811B0"/>
    <w:rsid w:val="00AB7D13"/>
    <w:rsid w:val="00B20AC0"/>
    <w:rsid w:val="00B92FED"/>
    <w:rsid w:val="00BE6EE2"/>
    <w:rsid w:val="00C23D5F"/>
    <w:rsid w:val="00C44E41"/>
    <w:rsid w:val="00C637E0"/>
    <w:rsid w:val="00DA1C8C"/>
    <w:rsid w:val="00DC7254"/>
    <w:rsid w:val="00E0698B"/>
    <w:rsid w:val="00E93ABF"/>
    <w:rsid w:val="00EA2DD5"/>
    <w:rsid w:val="00EE7986"/>
    <w:rsid w:val="00EF10CE"/>
    <w:rsid w:val="00F04FB0"/>
    <w:rsid w:val="00FB1789"/>
    <w:rsid w:val="06AE4A6E"/>
    <w:rsid w:val="101D248C"/>
    <w:rsid w:val="18FE4475"/>
    <w:rsid w:val="34193007"/>
    <w:rsid w:val="36D36DF1"/>
    <w:rsid w:val="3D120918"/>
    <w:rsid w:val="474F40C2"/>
    <w:rsid w:val="4D34202A"/>
    <w:rsid w:val="57611B4D"/>
    <w:rsid w:val="65CD5A15"/>
    <w:rsid w:val="690F2062"/>
    <w:rsid w:val="6AA6207B"/>
    <w:rsid w:val="7A270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ACE"/>
    <w:pPr>
      <w:widowControl w:val="0"/>
      <w:jc w:val="both"/>
    </w:pPr>
    <w:rPr>
      <w:kern w:val="2"/>
      <w:sz w:val="21"/>
      <w:szCs w:val="24"/>
    </w:rPr>
  </w:style>
  <w:style w:type="paragraph" w:styleId="10">
    <w:name w:val="heading 1"/>
    <w:basedOn w:val="a"/>
    <w:next w:val="a"/>
    <w:link w:val="1Char"/>
    <w:qFormat/>
    <w:rsid w:val="009C1ACE"/>
    <w:pPr>
      <w:keepNext/>
      <w:keepLines/>
      <w:spacing w:before="340" w:after="330" w:line="578" w:lineRule="auto"/>
      <w:outlineLvl w:val="0"/>
    </w:pPr>
    <w:rPr>
      <w:b/>
      <w:bCs/>
      <w:kern w:val="44"/>
      <w:sz w:val="44"/>
      <w:szCs w:val="44"/>
    </w:rPr>
  </w:style>
  <w:style w:type="paragraph" w:styleId="3">
    <w:name w:val="heading 3"/>
    <w:basedOn w:val="a"/>
    <w:next w:val="a"/>
    <w:uiPriority w:val="9"/>
    <w:qFormat/>
    <w:rsid w:val="009C1ACE"/>
    <w:pPr>
      <w:keepNext/>
      <w:keepLines/>
      <w:numPr>
        <w:ilvl w:val="2"/>
        <w:numId w:val="1"/>
      </w:numPr>
      <w:outlineLvl w:val="2"/>
    </w:pPr>
    <w:rPr>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C1ACE"/>
    <w:rPr>
      <w:rFonts w:ascii="宋体"/>
      <w:sz w:val="18"/>
      <w:szCs w:val="18"/>
    </w:rPr>
  </w:style>
  <w:style w:type="paragraph" w:styleId="a4">
    <w:name w:val="annotation text"/>
    <w:basedOn w:val="a"/>
    <w:uiPriority w:val="99"/>
    <w:semiHidden/>
    <w:unhideWhenUsed/>
    <w:qFormat/>
    <w:rsid w:val="009C1ACE"/>
    <w:pPr>
      <w:jc w:val="left"/>
    </w:pPr>
  </w:style>
  <w:style w:type="paragraph" w:styleId="a5">
    <w:name w:val="footer"/>
    <w:basedOn w:val="a"/>
    <w:link w:val="Char0"/>
    <w:uiPriority w:val="99"/>
    <w:unhideWhenUsed/>
    <w:qFormat/>
    <w:rsid w:val="009C1ACE"/>
    <w:pPr>
      <w:tabs>
        <w:tab w:val="center" w:pos="4153"/>
        <w:tab w:val="right" w:pos="8306"/>
      </w:tabs>
      <w:snapToGrid w:val="0"/>
      <w:jc w:val="left"/>
    </w:pPr>
    <w:rPr>
      <w:sz w:val="18"/>
      <w:szCs w:val="18"/>
    </w:rPr>
  </w:style>
  <w:style w:type="paragraph" w:styleId="a6">
    <w:name w:val="header"/>
    <w:basedOn w:val="a"/>
    <w:link w:val="Char1"/>
    <w:uiPriority w:val="99"/>
    <w:unhideWhenUsed/>
    <w:rsid w:val="009C1ACE"/>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rsid w:val="009C1ACE"/>
    <w:pPr>
      <w:spacing w:before="120" w:after="120"/>
      <w:jc w:val="left"/>
    </w:pPr>
    <w:rPr>
      <w:b/>
      <w:bCs/>
      <w:caps/>
      <w:sz w:val="20"/>
      <w:szCs w:val="20"/>
    </w:rPr>
  </w:style>
  <w:style w:type="character" w:styleId="a7">
    <w:name w:val="Strong"/>
    <w:basedOn w:val="a0"/>
    <w:uiPriority w:val="22"/>
    <w:qFormat/>
    <w:rsid w:val="009C1ACE"/>
    <w:rPr>
      <w:b/>
    </w:rPr>
  </w:style>
  <w:style w:type="character" w:styleId="a8">
    <w:name w:val="Hyperlink"/>
    <w:qFormat/>
    <w:rsid w:val="009C1ACE"/>
    <w:rPr>
      <w:color w:val="0000FF"/>
      <w:u w:val="single"/>
    </w:rPr>
  </w:style>
  <w:style w:type="character" w:customStyle="1" w:styleId="1Char">
    <w:name w:val="标题 1 Char"/>
    <w:basedOn w:val="a0"/>
    <w:link w:val="10"/>
    <w:qFormat/>
    <w:rsid w:val="009C1ACE"/>
    <w:rPr>
      <w:rFonts w:ascii="Times New Roman" w:eastAsia="宋体" w:hAnsi="Times New Roman" w:cs="Times New Roman"/>
      <w:b/>
      <w:bCs/>
      <w:kern w:val="44"/>
      <w:sz w:val="44"/>
      <w:szCs w:val="44"/>
    </w:rPr>
  </w:style>
  <w:style w:type="paragraph" w:customStyle="1" w:styleId="CharCharChar1CharChar">
    <w:name w:val="Char Char Char1 Char Char"/>
    <w:basedOn w:val="a3"/>
    <w:qFormat/>
    <w:rsid w:val="009C1ACE"/>
    <w:pPr>
      <w:shd w:val="clear" w:color="auto" w:fill="000080"/>
      <w:adjustRightInd w:val="0"/>
      <w:spacing w:line="436" w:lineRule="exact"/>
      <w:ind w:left="357"/>
      <w:jc w:val="left"/>
      <w:outlineLvl w:val="3"/>
    </w:pPr>
    <w:rPr>
      <w:rFonts w:ascii="Tahoma" w:hAnsi="Tahoma"/>
      <w:b/>
      <w:sz w:val="24"/>
      <w:szCs w:val="24"/>
    </w:rPr>
  </w:style>
  <w:style w:type="character" w:customStyle="1" w:styleId="Char">
    <w:name w:val="文档结构图 Char"/>
    <w:basedOn w:val="a0"/>
    <w:link w:val="a3"/>
    <w:uiPriority w:val="99"/>
    <w:semiHidden/>
    <w:qFormat/>
    <w:rsid w:val="009C1ACE"/>
    <w:rPr>
      <w:rFonts w:ascii="宋体" w:eastAsia="宋体" w:hAnsi="Times New Roman" w:cs="Times New Roman"/>
      <w:sz w:val="18"/>
      <w:szCs w:val="18"/>
    </w:rPr>
  </w:style>
  <w:style w:type="character" w:customStyle="1" w:styleId="Char1">
    <w:name w:val="页眉 Char"/>
    <w:basedOn w:val="a0"/>
    <w:link w:val="a6"/>
    <w:uiPriority w:val="99"/>
    <w:rsid w:val="009C1ACE"/>
    <w:rPr>
      <w:rFonts w:ascii="Times New Roman" w:eastAsia="宋体" w:hAnsi="Times New Roman" w:cs="Times New Roman"/>
      <w:sz w:val="18"/>
      <w:szCs w:val="18"/>
    </w:rPr>
  </w:style>
  <w:style w:type="character" w:customStyle="1" w:styleId="Char0">
    <w:name w:val="页脚 Char"/>
    <w:basedOn w:val="a0"/>
    <w:link w:val="a5"/>
    <w:uiPriority w:val="99"/>
    <w:rsid w:val="009C1ACE"/>
    <w:rPr>
      <w:rFonts w:ascii="Times New Roman" w:eastAsia="宋体" w:hAnsi="Times New Roman" w:cs="Times New Roman"/>
      <w:sz w:val="18"/>
      <w:szCs w:val="18"/>
    </w:rPr>
  </w:style>
  <w:style w:type="paragraph" w:styleId="a9">
    <w:name w:val="List Paragraph"/>
    <w:basedOn w:val="a"/>
    <w:uiPriority w:val="34"/>
    <w:qFormat/>
    <w:rsid w:val="009C1ACE"/>
    <w:pPr>
      <w:ind w:firstLineChars="200" w:firstLine="420"/>
    </w:pPr>
  </w:style>
  <w:style w:type="paragraph" w:customStyle="1" w:styleId="30">
    <w:name w:val="标准3"/>
    <w:basedOn w:val="2"/>
    <w:qFormat/>
    <w:rsid w:val="009C1ACE"/>
    <w:pPr>
      <w:numPr>
        <w:ilvl w:val="2"/>
      </w:numPr>
      <w:spacing w:line="360" w:lineRule="auto"/>
      <w:outlineLvl w:val="9"/>
    </w:pPr>
    <w:rPr>
      <w:b w:val="0"/>
    </w:rPr>
  </w:style>
  <w:style w:type="paragraph" w:customStyle="1" w:styleId="2">
    <w:name w:val="标准2"/>
    <w:basedOn w:val="1"/>
    <w:qFormat/>
    <w:rsid w:val="009C1ACE"/>
    <w:pPr>
      <w:numPr>
        <w:ilvl w:val="1"/>
      </w:numPr>
      <w:spacing w:line="480" w:lineRule="auto"/>
      <w:outlineLvl w:val="1"/>
    </w:pPr>
    <w:rPr>
      <w:rFonts w:eastAsiaTheme="minorEastAsia"/>
      <w:b/>
      <w:bCs/>
    </w:rPr>
  </w:style>
  <w:style w:type="paragraph" w:customStyle="1" w:styleId="1">
    <w:name w:val="标准1"/>
    <w:basedOn w:val="3"/>
    <w:qFormat/>
    <w:rsid w:val="009C1ACE"/>
    <w:pPr>
      <w:keepLines w:val="0"/>
      <w:numPr>
        <w:ilvl w:val="0"/>
        <w:numId w:val="2"/>
      </w:numPr>
      <w:spacing w:line="720" w:lineRule="auto"/>
      <w:ind w:left="0" w:hangingChars="202" w:hanging="202"/>
      <w:jc w:val="left"/>
      <w:outlineLvl w:val="0"/>
    </w:pPr>
    <w:rPr>
      <w:rFonts w:ascii="宋体" w:eastAsia="黑体" w:hAnsi="宋体"/>
      <w:bCs w:val="0"/>
      <w:kern w:val="0"/>
      <w:sz w:val="21"/>
      <w:szCs w:val="21"/>
    </w:rPr>
  </w:style>
  <w:style w:type="paragraph" w:customStyle="1" w:styleId="WPSOffice1">
    <w:name w:val="WPSOffice手动目录 1"/>
    <w:qFormat/>
    <w:rsid w:val="009C1ACE"/>
  </w:style>
  <w:style w:type="paragraph" w:styleId="aa">
    <w:name w:val="Balloon Text"/>
    <w:basedOn w:val="a"/>
    <w:link w:val="Char2"/>
    <w:uiPriority w:val="99"/>
    <w:semiHidden/>
    <w:unhideWhenUsed/>
    <w:rsid w:val="00B20AC0"/>
    <w:rPr>
      <w:sz w:val="18"/>
      <w:szCs w:val="18"/>
    </w:rPr>
  </w:style>
  <w:style w:type="character" w:customStyle="1" w:styleId="Char2">
    <w:name w:val="批注框文本 Char"/>
    <w:basedOn w:val="a0"/>
    <w:link w:val="aa"/>
    <w:uiPriority w:val="99"/>
    <w:semiHidden/>
    <w:rsid w:val="00B20AC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1471</Words>
  <Characters>8386</Characters>
  <Application>Microsoft Office Word</Application>
  <DocSecurity>0</DocSecurity>
  <Lines>69</Lines>
  <Paragraphs>19</Paragraphs>
  <ScaleCrop>false</ScaleCrop>
  <Company>P R C</Company>
  <LinksUpToDate>false</LinksUpToDate>
  <CharactersWithSpaces>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罗春辉</cp:lastModifiedBy>
  <cp:revision>13</cp:revision>
  <cp:lastPrinted>2023-06-05T07:30:00Z</cp:lastPrinted>
  <dcterms:created xsi:type="dcterms:W3CDTF">2014-06-06T07:36:00Z</dcterms:created>
  <dcterms:modified xsi:type="dcterms:W3CDTF">2023-06-05T08:31:00Z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96555938B2C14338ADA171EB83E6DCE8_13</vt:lpwstr>
  </property>
</Properties>
</file>