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5E" w:rsidRPr="008D7553" w:rsidRDefault="0041655E">
      <w:pPr>
        <w:pStyle w:val="1"/>
        <w:spacing w:before="0" w:after="0"/>
        <w:rPr>
          <w:sz w:val="28"/>
        </w:rPr>
      </w:pPr>
    </w:p>
    <w:p w:rsidR="0041655E" w:rsidRPr="008D7553" w:rsidRDefault="0041655E">
      <w:pPr>
        <w:rPr>
          <w:sz w:val="32"/>
        </w:rPr>
      </w:pPr>
    </w:p>
    <w:p w:rsidR="0041655E" w:rsidRPr="008D7553" w:rsidRDefault="0041655E">
      <w:pPr>
        <w:jc w:val="center"/>
        <w:rPr>
          <w:sz w:val="32"/>
        </w:rPr>
      </w:pPr>
    </w:p>
    <w:p w:rsidR="0041655E" w:rsidRPr="008D7553" w:rsidRDefault="0041655E">
      <w:pPr>
        <w:jc w:val="center"/>
        <w:rPr>
          <w:sz w:val="32"/>
        </w:rPr>
      </w:pPr>
    </w:p>
    <w:p w:rsidR="0041655E" w:rsidRPr="008D7553" w:rsidRDefault="000B72D8">
      <w:pPr>
        <w:snapToGrid w:val="0"/>
        <w:spacing w:line="360" w:lineRule="auto"/>
        <w:jc w:val="center"/>
        <w:rPr>
          <w:b/>
          <w:bCs/>
          <w:sz w:val="48"/>
          <w:szCs w:val="48"/>
        </w:rPr>
      </w:pPr>
      <w:r w:rsidRPr="008D7553">
        <w:rPr>
          <w:b/>
          <w:bCs/>
          <w:sz w:val="48"/>
          <w:szCs w:val="48"/>
        </w:rPr>
        <w:t>《</w:t>
      </w:r>
      <w:r w:rsidR="00254DCC" w:rsidRPr="008D7553">
        <w:rPr>
          <w:b/>
          <w:bCs/>
          <w:sz w:val="48"/>
          <w:szCs w:val="48"/>
        </w:rPr>
        <w:t>村镇社区污染</w:t>
      </w:r>
      <w:r w:rsidR="002D04C4" w:rsidRPr="008D7553">
        <w:rPr>
          <w:b/>
          <w:bCs/>
          <w:sz w:val="48"/>
          <w:szCs w:val="48"/>
        </w:rPr>
        <w:t>风险评估技术规范</w:t>
      </w:r>
      <w:r w:rsidRPr="008D7553">
        <w:rPr>
          <w:b/>
          <w:bCs/>
          <w:sz w:val="48"/>
          <w:szCs w:val="48"/>
        </w:rPr>
        <w:t>》</w:t>
      </w:r>
    </w:p>
    <w:p w:rsidR="007C3779" w:rsidRDefault="007C3779">
      <w:pPr>
        <w:snapToGrid w:val="0"/>
        <w:spacing w:line="360" w:lineRule="auto"/>
        <w:jc w:val="center"/>
        <w:rPr>
          <w:rFonts w:hint="eastAsia"/>
          <w:b/>
          <w:bCs/>
          <w:sz w:val="48"/>
          <w:szCs w:val="48"/>
        </w:rPr>
      </w:pPr>
      <w:r>
        <w:rPr>
          <w:rFonts w:hint="eastAsia"/>
          <w:b/>
          <w:bCs/>
          <w:sz w:val="48"/>
          <w:szCs w:val="48"/>
        </w:rPr>
        <w:t>（征求意见稿）</w:t>
      </w:r>
    </w:p>
    <w:p w:rsidR="0041655E" w:rsidRPr="008D7553" w:rsidRDefault="000B72D8">
      <w:pPr>
        <w:snapToGrid w:val="0"/>
        <w:spacing w:line="360" w:lineRule="auto"/>
        <w:jc w:val="center"/>
        <w:rPr>
          <w:b/>
          <w:bCs/>
          <w:sz w:val="48"/>
          <w:szCs w:val="48"/>
        </w:rPr>
      </w:pPr>
      <w:r w:rsidRPr="008D7553">
        <w:rPr>
          <w:b/>
          <w:bCs/>
          <w:sz w:val="48"/>
          <w:szCs w:val="48"/>
        </w:rPr>
        <w:t>编制说明</w:t>
      </w:r>
    </w:p>
    <w:p w:rsidR="0041655E" w:rsidRPr="008D7553" w:rsidRDefault="0041655E">
      <w:pPr>
        <w:snapToGrid w:val="0"/>
        <w:spacing w:line="360" w:lineRule="auto"/>
        <w:jc w:val="center"/>
        <w:rPr>
          <w:sz w:val="44"/>
          <w:szCs w:val="44"/>
        </w:rPr>
      </w:pPr>
    </w:p>
    <w:p w:rsidR="0041655E" w:rsidRPr="008D7553" w:rsidRDefault="0041655E">
      <w:pPr>
        <w:snapToGrid w:val="0"/>
        <w:spacing w:line="360" w:lineRule="auto"/>
        <w:jc w:val="center"/>
        <w:rPr>
          <w:sz w:val="44"/>
          <w:szCs w:val="44"/>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41655E">
      <w:pPr>
        <w:snapToGrid w:val="0"/>
        <w:spacing w:line="360" w:lineRule="auto"/>
        <w:jc w:val="center"/>
        <w:rPr>
          <w:sz w:val="32"/>
        </w:rPr>
      </w:pPr>
    </w:p>
    <w:p w:rsidR="0041655E" w:rsidRPr="008D7553" w:rsidRDefault="000B72D8">
      <w:pPr>
        <w:snapToGrid w:val="0"/>
        <w:spacing w:line="360" w:lineRule="auto"/>
        <w:jc w:val="center"/>
        <w:rPr>
          <w:sz w:val="32"/>
        </w:rPr>
      </w:pPr>
      <w:r w:rsidRPr="008D7553">
        <w:rPr>
          <w:sz w:val="32"/>
        </w:rPr>
        <w:t>《</w:t>
      </w:r>
      <w:r w:rsidR="00B645CD" w:rsidRPr="008D7553">
        <w:rPr>
          <w:sz w:val="32"/>
        </w:rPr>
        <w:t>村镇社区污染</w:t>
      </w:r>
      <w:r w:rsidR="002D04C4" w:rsidRPr="008D7553">
        <w:rPr>
          <w:sz w:val="32"/>
        </w:rPr>
        <w:t>风险评估技术规范</w:t>
      </w:r>
      <w:r w:rsidRPr="008D7553">
        <w:rPr>
          <w:sz w:val="32"/>
        </w:rPr>
        <w:t>》编制组</w:t>
      </w:r>
    </w:p>
    <w:p w:rsidR="0041655E" w:rsidRPr="008D7553" w:rsidRDefault="000B72D8">
      <w:pPr>
        <w:autoSpaceDE w:val="0"/>
        <w:autoSpaceDN w:val="0"/>
        <w:adjustRightInd w:val="0"/>
        <w:snapToGrid w:val="0"/>
        <w:spacing w:line="360" w:lineRule="auto"/>
        <w:jc w:val="center"/>
        <w:rPr>
          <w:kern w:val="0"/>
          <w:sz w:val="28"/>
          <w:szCs w:val="28"/>
        </w:rPr>
      </w:pPr>
      <w:r w:rsidRPr="008D7553">
        <w:rPr>
          <w:kern w:val="0"/>
          <w:sz w:val="28"/>
          <w:szCs w:val="28"/>
        </w:rPr>
        <w:t>二〇</w:t>
      </w:r>
      <w:r w:rsidR="008568CD" w:rsidRPr="008D7553">
        <w:rPr>
          <w:kern w:val="0"/>
          <w:sz w:val="28"/>
          <w:szCs w:val="28"/>
        </w:rPr>
        <w:t>二二</w:t>
      </w:r>
      <w:r w:rsidRPr="008D7553">
        <w:rPr>
          <w:kern w:val="0"/>
          <w:sz w:val="28"/>
          <w:szCs w:val="28"/>
        </w:rPr>
        <w:t>年</w:t>
      </w:r>
      <w:r w:rsidR="00EE096C">
        <w:rPr>
          <w:rFonts w:hint="eastAsia"/>
          <w:kern w:val="0"/>
          <w:sz w:val="28"/>
          <w:szCs w:val="28"/>
        </w:rPr>
        <w:t>十一</w:t>
      </w:r>
      <w:r w:rsidRPr="008D7553">
        <w:rPr>
          <w:kern w:val="0"/>
          <w:sz w:val="28"/>
          <w:szCs w:val="28"/>
        </w:rPr>
        <w:t>月</w:t>
      </w:r>
    </w:p>
    <w:p w:rsidR="0041655E" w:rsidRPr="008D7553" w:rsidRDefault="0041655E">
      <w:pPr>
        <w:autoSpaceDE w:val="0"/>
        <w:autoSpaceDN w:val="0"/>
        <w:adjustRightInd w:val="0"/>
        <w:snapToGrid w:val="0"/>
        <w:spacing w:line="360" w:lineRule="auto"/>
        <w:jc w:val="center"/>
        <w:rPr>
          <w:kern w:val="0"/>
          <w:sz w:val="28"/>
          <w:szCs w:val="28"/>
        </w:rPr>
      </w:pPr>
    </w:p>
    <w:p w:rsidR="00DC0239" w:rsidRPr="008D7553" w:rsidRDefault="00DC0239">
      <w:pPr>
        <w:autoSpaceDE w:val="0"/>
        <w:autoSpaceDN w:val="0"/>
        <w:adjustRightInd w:val="0"/>
        <w:snapToGrid w:val="0"/>
        <w:spacing w:line="360" w:lineRule="auto"/>
        <w:jc w:val="center"/>
        <w:rPr>
          <w:kern w:val="0"/>
          <w:sz w:val="28"/>
          <w:szCs w:val="28"/>
        </w:rPr>
      </w:pPr>
    </w:p>
    <w:p w:rsidR="0041655E" w:rsidRPr="008D7553" w:rsidRDefault="000B72D8">
      <w:pPr>
        <w:jc w:val="center"/>
        <w:rPr>
          <w:b/>
          <w:bCs/>
          <w:sz w:val="36"/>
          <w:szCs w:val="36"/>
        </w:rPr>
      </w:pPr>
      <w:r w:rsidRPr="008D7553">
        <w:rPr>
          <w:b/>
          <w:bCs/>
          <w:sz w:val="36"/>
          <w:szCs w:val="36"/>
        </w:rPr>
        <w:t>目次</w:t>
      </w:r>
    </w:p>
    <w:p w:rsidR="0041655E" w:rsidRPr="008D7553" w:rsidRDefault="0041655E">
      <w:pPr>
        <w:jc w:val="center"/>
        <w:rPr>
          <w:sz w:val="36"/>
          <w:szCs w:val="36"/>
        </w:rPr>
      </w:pPr>
    </w:p>
    <w:p w:rsidR="00497262" w:rsidRPr="002D35B8" w:rsidRDefault="00895CE7">
      <w:pPr>
        <w:pStyle w:val="10"/>
        <w:tabs>
          <w:tab w:val="right" w:leader="dot" w:pos="8296"/>
        </w:tabs>
        <w:rPr>
          <w:rFonts w:ascii="黑体" w:eastAsia="黑体" w:hAnsi="黑体" w:cstheme="minorBidi"/>
          <w:b w:val="0"/>
          <w:bCs w:val="0"/>
          <w:caps w:val="0"/>
          <w:noProof/>
          <w:sz w:val="24"/>
          <w:szCs w:val="24"/>
        </w:rPr>
      </w:pPr>
      <w:r w:rsidRPr="00895CE7">
        <w:rPr>
          <w:szCs w:val="21"/>
        </w:rPr>
        <w:fldChar w:fldCharType="begin"/>
      </w:r>
      <w:r w:rsidR="000B72D8" w:rsidRPr="008D7553">
        <w:rPr>
          <w:szCs w:val="21"/>
        </w:rPr>
        <w:instrText xml:space="preserve"> TOC \o "1-3" \h \z \u </w:instrText>
      </w:r>
      <w:r w:rsidRPr="00895CE7">
        <w:rPr>
          <w:szCs w:val="21"/>
        </w:rPr>
        <w:fldChar w:fldCharType="separate"/>
      </w:r>
      <w:hyperlink w:anchor="_Toc119660563" w:history="1">
        <w:r w:rsidR="00497262" w:rsidRPr="002D35B8">
          <w:rPr>
            <w:rStyle w:val="a6"/>
            <w:rFonts w:ascii="黑体" w:eastAsia="黑体" w:hAnsi="黑体"/>
            <w:b w:val="0"/>
            <w:bCs w:val="0"/>
            <w:noProof/>
            <w:sz w:val="24"/>
            <w:szCs w:val="24"/>
          </w:rPr>
          <w:t>一、 任务来源</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_Toc119660563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1</w:t>
        </w:r>
        <w:r w:rsidRPr="002D35B8">
          <w:rPr>
            <w:rFonts w:ascii="黑体" w:eastAsia="黑体" w:hAnsi="黑体"/>
            <w:b w:val="0"/>
            <w:bCs w:val="0"/>
            <w:noProof/>
            <w:webHidden/>
            <w:sz w:val="24"/>
            <w:szCs w:val="24"/>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64" w:history="1">
        <w:r w:rsidR="00497262" w:rsidRPr="002D35B8">
          <w:rPr>
            <w:rStyle w:val="a6"/>
            <w:rFonts w:ascii="黑体" w:eastAsia="黑体" w:hAnsi="黑体"/>
            <w:b w:val="0"/>
            <w:bCs w:val="0"/>
            <w:noProof/>
            <w:sz w:val="24"/>
            <w:szCs w:val="24"/>
          </w:rPr>
          <w:t>二、 标准制定的必要性、编制原则</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_Toc119660564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1</w:t>
        </w:r>
        <w:r w:rsidRPr="002D35B8">
          <w:rPr>
            <w:rFonts w:ascii="黑体" w:eastAsia="黑体" w:hAnsi="黑体"/>
            <w:b w:val="0"/>
            <w:bCs w:val="0"/>
            <w:noProof/>
            <w:webHidden/>
            <w:sz w:val="24"/>
            <w:szCs w:val="24"/>
          </w:rPr>
          <w:fldChar w:fldCharType="end"/>
        </w:r>
      </w:hyperlink>
    </w:p>
    <w:p w:rsidR="00497262" w:rsidRPr="002D35B8" w:rsidRDefault="00895CE7">
      <w:pPr>
        <w:pStyle w:val="20"/>
        <w:rPr>
          <w:rFonts w:cstheme="minorBidi"/>
          <w:noProof/>
          <w:kern w:val="2"/>
        </w:rPr>
      </w:pPr>
      <w:hyperlink w:anchor="_Toc119660565" w:history="1">
        <w:r w:rsidR="00497262" w:rsidRPr="002D35B8">
          <w:rPr>
            <w:rStyle w:val="a6"/>
            <w:rFonts w:ascii="黑体" w:eastAsia="黑体" w:hAnsi="黑体"/>
            <w:noProof/>
            <w:sz w:val="24"/>
            <w:szCs w:val="24"/>
          </w:rPr>
          <w:t>（一）必要性</w:t>
        </w:r>
        <w:r w:rsidR="00497262" w:rsidRPr="002D35B8">
          <w:rPr>
            <w:noProof/>
            <w:webHidden/>
          </w:rPr>
          <w:tab/>
        </w:r>
        <w:r w:rsidRPr="002D35B8">
          <w:rPr>
            <w:noProof/>
            <w:webHidden/>
          </w:rPr>
          <w:fldChar w:fldCharType="begin"/>
        </w:r>
        <w:r w:rsidR="00497262" w:rsidRPr="002D35B8">
          <w:rPr>
            <w:noProof/>
            <w:webHidden/>
          </w:rPr>
          <w:instrText xml:space="preserve"> PAGEREF _Toc119660565 \h </w:instrText>
        </w:r>
        <w:r w:rsidRPr="002D35B8">
          <w:rPr>
            <w:noProof/>
            <w:webHidden/>
          </w:rPr>
        </w:r>
        <w:r w:rsidRPr="002D35B8">
          <w:rPr>
            <w:noProof/>
            <w:webHidden/>
          </w:rPr>
          <w:fldChar w:fldCharType="separate"/>
        </w:r>
        <w:r w:rsidR="00497262" w:rsidRPr="002D35B8">
          <w:rPr>
            <w:noProof/>
            <w:webHidden/>
          </w:rPr>
          <w:t>1</w:t>
        </w:r>
        <w:r w:rsidRPr="002D35B8">
          <w:rPr>
            <w:noProof/>
            <w:webHidden/>
          </w:rPr>
          <w:fldChar w:fldCharType="end"/>
        </w:r>
      </w:hyperlink>
    </w:p>
    <w:p w:rsidR="00497262" w:rsidRPr="002D35B8" w:rsidRDefault="00895CE7">
      <w:pPr>
        <w:pStyle w:val="20"/>
        <w:rPr>
          <w:rFonts w:cstheme="minorBidi"/>
          <w:noProof/>
          <w:kern w:val="2"/>
        </w:rPr>
      </w:pPr>
      <w:hyperlink w:anchor="_Toc119660566" w:history="1">
        <w:r w:rsidR="00497262" w:rsidRPr="002D35B8">
          <w:rPr>
            <w:rStyle w:val="a6"/>
            <w:rFonts w:ascii="黑体" w:eastAsia="黑体" w:hAnsi="黑体"/>
            <w:noProof/>
            <w:sz w:val="24"/>
            <w:szCs w:val="24"/>
          </w:rPr>
          <w:t>（二）编制原则</w:t>
        </w:r>
        <w:r w:rsidR="00497262" w:rsidRPr="002D35B8">
          <w:rPr>
            <w:noProof/>
            <w:webHidden/>
          </w:rPr>
          <w:tab/>
        </w:r>
        <w:r w:rsidRPr="002D35B8">
          <w:rPr>
            <w:noProof/>
            <w:webHidden/>
          </w:rPr>
          <w:fldChar w:fldCharType="begin"/>
        </w:r>
        <w:r w:rsidR="00497262" w:rsidRPr="002D35B8">
          <w:rPr>
            <w:noProof/>
            <w:webHidden/>
          </w:rPr>
          <w:instrText xml:space="preserve"> PAGEREF _Toc119660566 \h </w:instrText>
        </w:r>
        <w:r w:rsidRPr="002D35B8">
          <w:rPr>
            <w:noProof/>
            <w:webHidden/>
          </w:rPr>
        </w:r>
        <w:r w:rsidRPr="002D35B8">
          <w:rPr>
            <w:noProof/>
            <w:webHidden/>
          </w:rPr>
          <w:fldChar w:fldCharType="separate"/>
        </w:r>
        <w:r w:rsidR="00497262" w:rsidRPr="002D35B8">
          <w:rPr>
            <w:noProof/>
            <w:webHidden/>
          </w:rPr>
          <w:t>3</w:t>
        </w:r>
        <w:r w:rsidRPr="002D35B8">
          <w:rPr>
            <w:noProof/>
            <w:webHidden/>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67" w:history="1">
        <w:r w:rsidR="00497262" w:rsidRPr="002D35B8">
          <w:rPr>
            <w:rStyle w:val="a6"/>
            <w:rFonts w:ascii="黑体" w:eastAsia="黑体" w:hAnsi="黑体"/>
            <w:b w:val="0"/>
            <w:bCs w:val="0"/>
            <w:noProof/>
            <w:sz w:val="24"/>
            <w:szCs w:val="24"/>
          </w:rPr>
          <w:t>三、 国内外相关标准情况和编制依据</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_Toc119660567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4</w:t>
        </w:r>
        <w:r w:rsidRPr="002D35B8">
          <w:rPr>
            <w:rFonts w:ascii="黑体" w:eastAsia="黑体" w:hAnsi="黑体"/>
            <w:b w:val="0"/>
            <w:bCs w:val="0"/>
            <w:noProof/>
            <w:webHidden/>
            <w:sz w:val="24"/>
            <w:szCs w:val="24"/>
          </w:rPr>
          <w:fldChar w:fldCharType="end"/>
        </w:r>
      </w:hyperlink>
    </w:p>
    <w:p w:rsidR="00497262" w:rsidRPr="002D35B8" w:rsidRDefault="00895CE7">
      <w:pPr>
        <w:pStyle w:val="20"/>
        <w:rPr>
          <w:rFonts w:cstheme="minorBidi"/>
          <w:noProof/>
          <w:kern w:val="2"/>
        </w:rPr>
      </w:pPr>
      <w:hyperlink w:anchor="_Toc119660568" w:history="1">
        <w:r w:rsidR="00497262" w:rsidRPr="002D35B8">
          <w:rPr>
            <w:rStyle w:val="a6"/>
            <w:rFonts w:ascii="黑体" w:eastAsia="黑体" w:hAnsi="黑体"/>
            <w:noProof/>
            <w:sz w:val="24"/>
            <w:szCs w:val="24"/>
          </w:rPr>
          <w:t>（一）国外标准</w:t>
        </w:r>
        <w:r w:rsidR="00497262" w:rsidRPr="002D35B8">
          <w:rPr>
            <w:noProof/>
            <w:webHidden/>
          </w:rPr>
          <w:tab/>
        </w:r>
        <w:r w:rsidRPr="002D35B8">
          <w:rPr>
            <w:noProof/>
            <w:webHidden/>
          </w:rPr>
          <w:fldChar w:fldCharType="begin"/>
        </w:r>
        <w:r w:rsidR="00497262" w:rsidRPr="002D35B8">
          <w:rPr>
            <w:noProof/>
            <w:webHidden/>
          </w:rPr>
          <w:instrText xml:space="preserve"> PAGEREF _Toc119660568 \h </w:instrText>
        </w:r>
        <w:r w:rsidRPr="002D35B8">
          <w:rPr>
            <w:noProof/>
            <w:webHidden/>
          </w:rPr>
        </w:r>
        <w:r w:rsidRPr="002D35B8">
          <w:rPr>
            <w:noProof/>
            <w:webHidden/>
          </w:rPr>
          <w:fldChar w:fldCharType="separate"/>
        </w:r>
        <w:r w:rsidR="00497262" w:rsidRPr="002D35B8">
          <w:rPr>
            <w:noProof/>
            <w:webHidden/>
          </w:rPr>
          <w:t>4</w:t>
        </w:r>
        <w:r w:rsidRPr="002D35B8">
          <w:rPr>
            <w:noProof/>
            <w:webHidden/>
          </w:rPr>
          <w:fldChar w:fldCharType="end"/>
        </w:r>
      </w:hyperlink>
    </w:p>
    <w:p w:rsidR="00497262" w:rsidRPr="002D35B8" w:rsidRDefault="00895CE7">
      <w:pPr>
        <w:pStyle w:val="3"/>
        <w:tabs>
          <w:tab w:val="right" w:leader="dot" w:pos="8296"/>
        </w:tabs>
        <w:rPr>
          <w:rFonts w:ascii="黑体" w:eastAsia="黑体" w:hAnsi="黑体" w:cstheme="minorBidi"/>
          <w:noProof/>
          <w:kern w:val="2"/>
          <w:sz w:val="24"/>
          <w:szCs w:val="24"/>
        </w:rPr>
      </w:pPr>
      <w:hyperlink w:anchor="_Toc119660569" w:history="1">
        <w:r w:rsidR="00497262" w:rsidRPr="002D35B8">
          <w:rPr>
            <w:rStyle w:val="a6"/>
            <w:rFonts w:ascii="黑体" w:eastAsia="黑体" w:hAnsi="黑体"/>
            <w:noProof/>
            <w:sz w:val="24"/>
            <w:szCs w:val="24"/>
          </w:rPr>
          <w:t>1. 美国环保局人体健康风险评估</w:t>
        </w:r>
        <w:r w:rsidR="00497262" w:rsidRPr="002D35B8">
          <w:rPr>
            <w:rFonts w:ascii="黑体" w:eastAsia="黑体" w:hAnsi="黑体"/>
            <w:noProof/>
            <w:webHidden/>
            <w:sz w:val="24"/>
            <w:szCs w:val="24"/>
          </w:rPr>
          <w:tab/>
        </w:r>
        <w:r w:rsidRPr="002D35B8">
          <w:rPr>
            <w:rFonts w:ascii="黑体" w:eastAsia="黑体" w:hAnsi="黑体"/>
            <w:noProof/>
            <w:webHidden/>
            <w:sz w:val="24"/>
            <w:szCs w:val="24"/>
          </w:rPr>
          <w:fldChar w:fldCharType="begin"/>
        </w:r>
        <w:r w:rsidR="00497262" w:rsidRPr="002D35B8">
          <w:rPr>
            <w:rFonts w:ascii="黑体" w:eastAsia="黑体" w:hAnsi="黑体"/>
            <w:noProof/>
            <w:webHidden/>
            <w:sz w:val="24"/>
            <w:szCs w:val="24"/>
          </w:rPr>
          <w:instrText xml:space="preserve"> PAGEREF _Toc119660569 \h </w:instrText>
        </w:r>
        <w:r w:rsidRPr="002D35B8">
          <w:rPr>
            <w:rFonts w:ascii="黑体" w:eastAsia="黑体" w:hAnsi="黑体"/>
            <w:noProof/>
            <w:webHidden/>
            <w:sz w:val="24"/>
            <w:szCs w:val="24"/>
          </w:rPr>
        </w:r>
        <w:r w:rsidRPr="002D35B8">
          <w:rPr>
            <w:rFonts w:ascii="黑体" w:eastAsia="黑体" w:hAnsi="黑体"/>
            <w:noProof/>
            <w:webHidden/>
            <w:sz w:val="24"/>
            <w:szCs w:val="24"/>
          </w:rPr>
          <w:fldChar w:fldCharType="separate"/>
        </w:r>
        <w:r w:rsidR="00497262" w:rsidRPr="002D35B8">
          <w:rPr>
            <w:rFonts w:ascii="黑体" w:eastAsia="黑体" w:hAnsi="黑体"/>
            <w:noProof/>
            <w:webHidden/>
            <w:sz w:val="24"/>
            <w:szCs w:val="24"/>
          </w:rPr>
          <w:t>4</w:t>
        </w:r>
        <w:r w:rsidRPr="002D35B8">
          <w:rPr>
            <w:rFonts w:ascii="黑体" w:eastAsia="黑体" w:hAnsi="黑体"/>
            <w:noProof/>
            <w:webHidden/>
            <w:sz w:val="24"/>
            <w:szCs w:val="24"/>
          </w:rPr>
          <w:fldChar w:fldCharType="end"/>
        </w:r>
      </w:hyperlink>
    </w:p>
    <w:p w:rsidR="00497262" w:rsidRPr="002D35B8" w:rsidRDefault="00895CE7">
      <w:pPr>
        <w:pStyle w:val="3"/>
        <w:tabs>
          <w:tab w:val="right" w:leader="dot" w:pos="8296"/>
        </w:tabs>
        <w:rPr>
          <w:rFonts w:ascii="黑体" w:eastAsia="黑体" w:hAnsi="黑体" w:cstheme="minorBidi"/>
          <w:noProof/>
          <w:kern w:val="2"/>
          <w:sz w:val="24"/>
          <w:szCs w:val="24"/>
        </w:rPr>
      </w:pPr>
      <w:hyperlink w:anchor="_Toc119660570" w:history="1">
        <w:r w:rsidR="00497262" w:rsidRPr="002D35B8">
          <w:rPr>
            <w:rStyle w:val="a6"/>
            <w:rFonts w:ascii="黑体" w:eastAsia="黑体" w:hAnsi="黑体"/>
            <w:noProof/>
            <w:sz w:val="24"/>
            <w:szCs w:val="24"/>
          </w:rPr>
          <w:t>2. 欧盟风险评价体系</w:t>
        </w:r>
        <w:r w:rsidR="00497262" w:rsidRPr="002D35B8">
          <w:rPr>
            <w:rFonts w:ascii="黑体" w:eastAsia="黑体" w:hAnsi="黑体"/>
            <w:noProof/>
            <w:webHidden/>
            <w:sz w:val="24"/>
            <w:szCs w:val="24"/>
          </w:rPr>
          <w:tab/>
        </w:r>
        <w:r w:rsidRPr="002D35B8">
          <w:rPr>
            <w:rFonts w:ascii="黑体" w:eastAsia="黑体" w:hAnsi="黑体"/>
            <w:noProof/>
            <w:webHidden/>
            <w:sz w:val="24"/>
            <w:szCs w:val="24"/>
          </w:rPr>
          <w:fldChar w:fldCharType="begin"/>
        </w:r>
        <w:r w:rsidR="00497262" w:rsidRPr="002D35B8">
          <w:rPr>
            <w:rFonts w:ascii="黑体" w:eastAsia="黑体" w:hAnsi="黑体"/>
            <w:noProof/>
            <w:webHidden/>
            <w:sz w:val="24"/>
            <w:szCs w:val="24"/>
          </w:rPr>
          <w:instrText xml:space="preserve"> PAGEREF _Toc119660570 \h </w:instrText>
        </w:r>
        <w:r w:rsidRPr="002D35B8">
          <w:rPr>
            <w:rFonts w:ascii="黑体" w:eastAsia="黑体" w:hAnsi="黑体"/>
            <w:noProof/>
            <w:webHidden/>
            <w:sz w:val="24"/>
            <w:szCs w:val="24"/>
          </w:rPr>
        </w:r>
        <w:r w:rsidRPr="002D35B8">
          <w:rPr>
            <w:rFonts w:ascii="黑体" w:eastAsia="黑体" w:hAnsi="黑体"/>
            <w:noProof/>
            <w:webHidden/>
            <w:sz w:val="24"/>
            <w:szCs w:val="24"/>
          </w:rPr>
          <w:fldChar w:fldCharType="separate"/>
        </w:r>
        <w:r w:rsidR="00497262" w:rsidRPr="002D35B8">
          <w:rPr>
            <w:rFonts w:ascii="黑体" w:eastAsia="黑体" w:hAnsi="黑体"/>
            <w:noProof/>
            <w:webHidden/>
            <w:sz w:val="24"/>
            <w:szCs w:val="24"/>
          </w:rPr>
          <w:t>6</w:t>
        </w:r>
        <w:r w:rsidRPr="002D35B8">
          <w:rPr>
            <w:rFonts w:ascii="黑体" w:eastAsia="黑体" w:hAnsi="黑体"/>
            <w:noProof/>
            <w:webHidden/>
            <w:sz w:val="24"/>
            <w:szCs w:val="24"/>
          </w:rPr>
          <w:fldChar w:fldCharType="end"/>
        </w:r>
      </w:hyperlink>
    </w:p>
    <w:p w:rsidR="00497262" w:rsidRPr="002D35B8" w:rsidRDefault="00895CE7">
      <w:pPr>
        <w:pStyle w:val="3"/>
        <w:tabs>
          <w:tab w:val="right" w:leader="dot" w:pos="8296"/>
        </w:tabs>
        <w:rPr>
          <w:rFonts w:ascii="黑体" w:eastAsia="黑体" w:hAnsi="黑体" w:cstheme="minorBidi"/>
          <w:noProof/>
          <w:kern w:val="2"/>
          <w:sz w:val="24"/>
          <w:szCs w:val="24"/>
        </w:rPr>
      </w:pPr>
      <w:hyperlink w:anchor="_Toc119660571" w:history="1">
        <w:r w:rsidR="00497262" w:rsidRPr="002D35B8">
          <w:rPr>
            <w:rStyle w:val="a6"/>
            <w:rFonts w:ascii="黑体" w:eastAsia="黑体" w:hAnsi="黑体"/>
            <w:noProof/>
            <w:sz w:val="24"/>
            <w:szCs w:val="24"/>
          </w:rPr>
          <w:t>3. 联合国人体健康风险评估框架</w:t>
        </w:r>
        <w:r w:rsidR="00497262" w:rsidRPr="002D35B8">
          <w:rPr>
            <w:rFonts w:ascii="黑体" w:eastAsia="黑体" w:hAnsi="黑体"/>
            <w:noProof/>
            <w:webHidden/>
            <w:sz w:val="24"/>
            <w:szCs w:val="24"/>
          </w:rPr>
          <w:tab/>
        </w:r>
        <w:r w:rsidRPr="002D35B8">
          <w:rPr>
            <w:rFonts w:ascii="黑体" w:eastAsia="黑体" w:hAnsi="黑体"/>
            <w:noProof/>
            <w:webHidden/>
            <w:sz w:val="24"/>
            <w:szCs w:val="24"/>
          </w:rPr>
          <w:fldChar w:fldCharType="begin"/>
        </w:r>
        <w:r w:rsidR="00497262" w:rsidRPr="002D35B8">
          <w:rPr>
            <w:rFonts w:ascii="黑体" w:eastAsia="黑体" w:hAnsi="黑体"/>
            <w:noProof/>
            <w:webHidden/>
            <w:sz w:val="24"/>
            <w:szCs w:val="24"/>
          </w:rPr>
          <w:instrText xml:space="preserve"> PAGEREF _Toc119660571 \h </w:instrText>
        </w:r>
        <w:r w:rsidRPr="002D35B8">
          <w:rPr>
            <w:rFonts w:ascii="黑体" w:eastAsia="黑体" w:hAnsi="黑体"/>
            <w:noProof/>
            <w:webHidden/>
            <w:sz w:val="24"/>
            <w:szCs w:val="24"/>
          </w:rPr>
        </w:r>
        <w:r w:rsidRPr="002D35B8">
          <w:rPr>
            <w:rFonts w:ascii="黑体" w:eastAsia="黑体" w:hAnsi="黑体"/>
            <w:noProof/>
            <w:webHidden/>
            <w:sz w:val="24"/>
            <w:szCs w:val="24"/>
          </w:rPr>
          <w:fldChar w:fldCharType="separate"/>
        </w:r>
        <w:r w:rsidR="00497262" w:rsidRPr="002D35B8">
          <w:rPr>
            <w:rFonts w:ascii="黑体" w:eastAsia="黑体" w:hAnsi="黑体"/>
            <w:noProof/>
            <w:webHidden/>
            <w:sz w:val="24"/>
            <w:szCs w:val="24"/>
          </w:rPr>
          <w:t>7</w:t>
        </w:r>
        <w:r w:rsidRPr="002D35B8">
          <w:rPr>
            <w:rFonts w:ascii="黑体" w:eastAsia="黑体" w:hAnsi="黑体"/>
            <w:noProof/>
            <w:webHidden/>
            <w:sz w:val="24"/>
            <w:szCs w:val="24"/>
          </w:rPr>
          <w:fldChar w:fldCharType="end"/>
        </w:r>
      </w:hyperlink>
    </w:p>
    <w:p w:rsidR="00497262" w:rsidRPr="002D35B8" w:rsidRDefault="00895CE7">
      <w:pPr>
        <w:pStyle w:val="20"/>
        <w:rPr>
          <w:rFonts w:cstheme="minorBidi"/>
          <w:noProof/>
          <w:kern w:val="2"/>
        </w:rPr>
      </w:pPr>
      <w:hyperlink w:anchor="_Toc119660572" w:history="1">
        <w:r w:rsidR="00497262" w:rsidRPr="002D35B8">
          <w:rPr>
            <w:rStyle w:val="a6"/>
            <w:rFonts w:ascii="黑体" w:eastAsia="黑体" w:hAnsi="黑体"/>
            <w:noProof/>
            <w:sz w:val="24"/>
            <w:szCs w:val="24"/>
          </w:rPr>
          <w:t>（二）国内相关标准</w:t>
        </w:r>
        <w:r w:rsidR="00497262" w:rsidRPr="002D35B8">
          <w:rPr>
            <w:noProof/>
            <w:webHidden/>
          </w:rPr>
          <w:tab/>
        </w:r>
        <w:r w:rsidRPr="002D35B8">
          <w:rPr>
            <w:noProof/>
            <w:webHidden/>
          </w:rPr>
          <w:fldChar w:fldCharType="begin"/>
        </w:r>
        <w:r w:rsidR="00497262" w:rsidRPr="002D35B8">
          <w:rPr>
            <w:noProof/>
            <w:webHidden/>
          </w:rPr>
          <w:instrText xml:space="preserve"> PAGEREF _Toc119660572 \h </w:instrText>
        </w:r>
        <w:r w:rsidRPr="002D35B8">
          <w:rPr>
            <w:noProof/>
            <w:webHidden/>
          </w:rPr>
        </w:r>
        <w:r w:rsidRPr="002D35B8">
          <w:rPr>
            <w:noProof/>
            <w:webHidden/>
          </w:rPr>
          <w:fldChar w:fldCharType="separate"/>
        </w:r>
        <w:r w:rsidR="00497262" w:rsidRPr="002D35B8">
          <w:rPr>
            <w:noProof/>
            <w:webHidden/>
          </w:rPr>
          <w:t>8</w:t>
        </w:r>
        <w:r w:rsidRPr="002D35B8">
          <w:rPr>
            <w:noProof/>
            <w:webHidden/>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73" w:history="1">
        <w:r w:rsidR="00497262" w:rsidRPr="002D35B8">
          <w:rPr>
            <w:rStyle w:val="a6"/>
            <w:rFonts w:ascii="黑体" w:eastAsia="黑体" w:hAnsi="黑体"/>
            <w:b w:val="0"/>
            <w:bCs w:val="0"/>
            <w:noProof/>
            <w:sz w:val="24"/>
            <w:szCs w:val="24"/>
          </w:rPr>
          <w:t>四、 编制工作过程</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_Toc119660573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11</w:t>
        </w:r>
        <w:r w:rsidRPr="002D35B8">
          <w:rPr>
            <w:rFonts w:ascii="黑体" w:eastAsia="黑体" w:hAnsi="黑体"/>
            <w:b w:val="0"/>
            <w:bCs w:val="0"/>
            <w:noProof/>
            <w:webHidden/>
            <w:sz w:val="24"/>
            <w:szCs w:val="24"/>
          </w:rPr>
          <w:fldChar w:fldCharType="end"/>
        </w:r>
      </w:hyperlink>
    </w:p>
    <w:p w:rsidR="00497262" w:rsidRPr="002D35B8" w:rsidRDefault="00895CE7">
      <w:pPr>
        <w:pStyle w:val="20"/>
        <w:rPr>
          <w:rFonts w:cstheme="minorBidi"/>
          <w:noProof/>
          <w:kern w:val="2"/>
        </w:rPr>
      </w:pPr>
      <w:hyperlink w:anchor="_Toc119660574" w:history="1">
        <w:r w:rsidR="00497262" w:rsidRPr="002D35B8">
          <w:rPr>
            <w:rStyle w:val="a6"/>
            <w:rFonts w:ascii="黑体" w:eastAsia="黑体" w:hAnsi="黑体"/>
            <w:noProof/>
            <w:sz w:val="24"/>
            <w:szCs w:val="24"/>
          </w:rPr>
          <w:t>（一）工作主要时间节点</w:t>
        </w:r>
        <w:r w:rsidR="00497262" w:rsidRPr="002D35B8">
          <w:rPr>
            <w:noProof/>
            <w:webHidden/>
          </w:rPr>
          <w:tab/>
        </w:r>
        <w:r w:rsidRPr="002D35B8">
          <w:rPr>
            <w:noProof/>
            <w:webHidden/>
          </w:rPr>
          <w:fldChar w:fldCharType="begin"/>
        </w:r>
        <w:r w:rsidR="00497262" w:rsidRPr="002D35B8">
          <w:rPr>
            <w:noProof/>
            <w:webHidden/>
          </w:rPr>
          <w:instrText xml:space="preserve"> PAGEREF _Toc119660574 \h </w:instrText>
        </w:r>
        <w:r w:rsidRPr="002D35B8">
          <w:rPr>
            <w:noProof/>
            <w:webHidden/>
          </w:rPr>
        </w:r>
        <w:r w:rsidRPr="002D35B8">
          <w:rPr>
            <w:noProof/>
            <w:webHidden/>
          </w:rPr>
          <w:fldChar w:fldCharType="separate"/>
        </w:r>
        <w:r w:rsidR="00497262" w:rsidRPr="002D35B8">
          <w:rPr>
            <w:noProof/>
            <w:webHidden/>
          </w:rPr>
          <w:t>11</w:t>
        </w:r>
        <w:r w:rsidRPr="002D35B8">
          <w:rPr>
            <w:noProof/>
            <w:webHidden/>
          </w:rPr>
          <w:fldChar w:fldCharType="end"/>
        </w:r>
      </w:hyperlink>
    </w:p>
    <w:p w:rsidR="00497262" w:rsidRPr="002D35B8" w:rsidRDefault="00895CE7">
      <w:pPr>
        <w:pStyle w:val="20"/>
        <w:rPr>
          <w:rFonts w:cstheme="minorBidi"/>
          <w:noProof/>
          <w:kern w:val="2"/>
        </w:rPr>
      </w:pPr>
      <w:hyperlink w:anchor="_Toc119660575" w:history="1">
        <w:r w:rsidR="00497262" w:rsidRPr="002D35B8">
          <w:rPr>
            <w:rStyle w:val="a6"/>
            <w:rFonts w:ascii="黑体" w:eastAsia="黑体" w:hAnsi="黑体"/>
            <w:noProof/>
            <w:sz w:val="24"/>
            <w:szCs w:val="24"/>
          </w:rPr>
          <w:t>（二）编制研究过程和阶段性结果</w:t>
        </w:r>
        <w:r w:rsidR="00497262" w:rsidRPr="002D35B8">
          <w:rPr>
            <w:noProof/>
            <w:webHidden/>
          </w:rPr>
          <w:tab/>
        </w:r>
        <w:r w:rsidRPr="002D35B8">
          <w:rPr>
            <w:noProof/>
            <w:webHidden/>
          </w:rPr>
          <w:fldChar w:fldCharType="begin"/>
        </w:r>
        <w:r w:rsidR="00497262" w:rsidRPr="002D35B8">
          <w:rPr>
            <w:noProof/>
            <w:webHidden/>
          </w:rPr>
          <w:instrText xml:space="preserve"> PAGEREF _Toc119660575 \h </w:instrText>
        </w:r>
        <w:r w:rsidRPr="002D35B8">
          <w:rPr>
            <w:noProof/>
            <w:webHidden/>
          </w:rPr>
        </w:r>
        <w:r w:rsidRPr="002D35B8">
          <w:rPr>
            <w:noProof/>
            <w:webHidden/>
          </w:rPr>
          <w:fldChar w:fldCharType="separate"/>
        </w:r>
        <w:r w:rsidR="00497262" w:rsidRPr="002D35B8">
          <w:rPr>
            <w:noProof/>
            <w:webHidden/>
          </w:rPr>
          <w:t>13</w:t>
        </w:r>
        <w:r w:rsidRPr="002D35B8">
          <w:rPr>
            <w:noProof/>
            <w:webHidden/>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76" w:history="1">
        <w:r w:rsidR="00497262" w:rsidRPr="002D35B8">
          <w:rPr>
            <w:rStyle w:val="a6"/>
            <w:rFonts w:ascii="黑体" w:eastAsia="黑体" w:hAnsi="黑体"/>
            <w:b w:val="0"/>
            <w:bCs w:val="0"/>
            <w:noProof/>
            <w:sz w:val="24"/>
            <w:szCs w:val="24"/>
          </w:rPr>
          <w:t>五、 主要技术内容及说明</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_Toc119660576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16</w:t>
        </w:r>
        <w:r w:rsidRPr="002D35B8">
          <w:rPr>
            <w:rFonts w:ascii="黑体" w:eastAsia="黑体" w:hAnsi="黑体"/>
            <w:b w:val="0"/>
            <w:bCs w:val="0"/>
            <w:noProof/>
            <w:webHidden/>
            <w:sz w:val="24"/>
            <w:szCs w:val="24"/>
          </w:rPr>
          <w:fldChar w:fldCharType="end"/>
        </w:r>
      </w:hyperlink>
    </w:p>
    <w:p w:rsidR="00497262" w:rsidRPr="002D35B8" w:rsidRDefault="00895CE7">
      <w:pPr>
        <w:pStyle w:val="20"/>
        <w:rPr>
          <w:rFonts w:cstheme="minorBidi"/>
          <w:noProof/>
          <w:kern w:val="2"/>
        </w:rPr>
      </w:pPr>
      <w:hyperlink w:anchor="_Toc119660577" w:history="1">
        <w:r w:rsidR="00497262" w:rsidRPr="002D35B8">
          <w:rPr>
            <w:rStyle w:val="a6"/>
            <w:rFonts w:ascii="黑体" w:eastAsia="黑体" w:hAnsi="黑体"/>
            <w:noProof/>
            <w:sz w:val="24"/>
            <w:szCs w:val="24"/>
          </w:rPr>
          <w:t>（一）层次框架</w:t>
        </w:r>
        <w:r w:rsidR="00497262" w:rsidRPr="002D35B8">
          <w:rPr>
            <w:noProof/>
            <w:webHidden/>
          </w:rPr>
          <w:tab/>
        </w:r>
        <w:r w:rsidRPr="002D35B8">
          <w:rPr>
            <w:noProof/>
            <w:webHidden/>
          </w:rPr>
          <w:fldChar w:fldCharType="begin"/>
        </w:r>
        <w:r w:rsidR="00497262" w:rsidRPr="002D35B8">
          <w:rPr>
            <w:noProof/>
            <w:webHidden/>
          </w:rPr>
          <w:instrText xml:space="preserve"> PAGEREF _Toc119660577 \h </w:instrText>
        </w:r>
        <w:r w:rsidRPr="002D35B8">
          <w:rPr>
            <w:noProof/>
            <w:webHidden/>
          </w:rPr>
        </w:r>
        <w:r w:rsidRPr="002D35B8">
          <w:rPr>
            <w:noProof/>
            <w:webHidden/>
          </w:rPr>
          <w:fldChar w:fldCharType="separate"/>
        </w:r>
        <w:r w:rsidR="00497262" w:rsidRPr="002D35B8">
          <w:rPr>
            <w:noProof/>
            <w:webHidden/>
          </w:rPr>
          <w:t>16</w:t>
        </w:r>
        <w:r w:rsidRPr="002D35B8">
          <w:rPr>
            <w:noProof/>
            <w:webHidden/>
          </w:rPr>
          <w:fldChar w:fldCharType="end"/>
        </w:r>
      </w:hyperlink>
    </w:p>
    <w:p w:rsidR="00497262" w:rsidRPr="002D35B8" w:rsidRDefault="00895CE7">
      <w:pPr>
        <w:pStyle w:val="20"/>
        <w:rPr>
          <w:rFonts w:cstheme="minorBidi"/>
          <w:noProof/>
          <w:kern w:val="2"/>
        </w:rPr>
      </w:pPr>
      <w:hyperlink w:anchor="_Toc119660578" w:history="1">
        <w:r w:rsidR="00497262" w:rsidRPr="002D35B8">
          <w:rPr>
            <w:rStyle w:val="a6"/>
            <w:rFonts w:ascii="黑体" w:eastAsia="黑体" w:hAnsi="黑体"/>
            <w:noProof/>
            <w:sz w:val="24"/>
            <w:szCs w:val="24"/>
          </w:rPr>
          <w:t>（二）适用范围</w:t>
        </w:r>
        <w:r w:rsidR="00497262" w:rsidRPr="002D35B8">
          <w:rPr>
            <w:noProof/>
            <w:webHidden/>
          </w:rPr>
          <w:tab/>
        </w:r>
        <w:r w:rsidRPr="002D35B8">
          <w:rPr>
            <w:noProof/>
            <w:webHidden/>
          </w:rPr>
          <w:fldChar w:fldCharType="begin"/>
        </w:r>
        <w:r w:rsidR="00497262" w:rsidRPr="002D35B8">
          <w:rPr>
            <w:noProof/>
            <w:webHidden/>
          </w:rPr>
          <w:instrText xml:space="preserve"> PAGEREF _Toc119660578 \h </w:instrText>
        </w:r>
        <w:r w:rsidRPr="002D35B8">
          <w:rPr>
            <w:noProof/>
            <w:webHidden/>
          </w:rPr>
        </w:r>
        <w:r w:rsidRPr="002D35B8">
          <w:rPr>
            <w:noProof/>
            <w:webHidden/>
          </w:rPr>
          <w:fldChar w:fldCharType="separate"/>
        </w:r>
        <w:r w:rsidR="00497262" w:rsidRPr="002D35B8">
          <w:rPr>
            <w:noProof/>
            <w:webHidden/>
          </w:rPr>
          <w:t>16</w:t>
        </w:r>
        <w:r w:rsidRPr="002D35B8">
          <w:rPr>
            <w:noProof/>
            <w:webHidden/>
          </w:rPr>
          <w:fldChar w:fldCharType="end"/>
        </w:r>
      </w:hyperlink>
    </w:p>
    <w:p w:rsidR="00497262" w:rsidRPr="002D35B8" w:rsidRDefault="00895CE7">
      <w:pPr>
        <w:pStyle w:val="20"/>
        <w:rPr>
          <w:rFonts w:cstheme="minorBidi"/>
          <w:noProof/>
          <w:kern w:val="2"/>
        </w:rPr>
      </w:pPr>
      <w:hyperlink w:anchor="_Toc119660579" w:history="1">
        <w:r w:rsidR="00497262" w:rsidRPr="002D35B8">
          <w:rPr>
            <w:rStyle w:val="a6"/>
            <w:rFonts w:ascii="黑体" w:eastAsia="黑体" w:hAnsi="黑体"/>
            <w:noProof/>
            <w:sz w:val="24"/>
            <w:szCs w:val="24"/>
          </w:rPr>
          <w:t>（三）规范性引用文件</w:t>
        </w:r>
        <w:r w:rsidR="00497262" w:rsidRPr="002D35B8">
          <w:rPr>
            <w:noProof/>
            <w:webHidden/>
          </w:rPr>
          <w:tab/>
        </w:r>
        <w:r w:rsidRPr="002D35B8">
          <w:rPr>
            <w:noProof/>
            <w:webHidden/>
          </w:rPr>
          <w:fldChar w:fldCharType="begin"/>
        </w:r>
        <w:r w:rsidR="00497262" w:rsidRPr="002D35B8">
          <w:rPr>
            <w:noProof/>
            <w:webHidden/>
          </w:rPr>
          <w:instrText xml:space="preserve"> PAGEREF _Toc119660579 \h </w:instrText>
        </w:r>
        <w:r w:rsidRPr="002D35B8">
          <w:rPr>
            <w:noProof/>
            <w:webHidden/>
          </w:rPr>
        </w:r>
        <w:r w:rsidRPr="002D35B8">
          <w:rPr>
            <w:noProof/>
            <w:webHidden/>
          </w:rPr>
          <w:fldChar w:fldCharType="separate"/>
        </w:r>
        <w:r w:rsidR="00497262" w:rsidRPr="002D35B8">
          <w:rPr>
            <w:noProof/>
            <w:webHidden/>
          </w:rPr>
          <w:t>17</w:t>
        </w:r>
        <w:r w:rsidRPr="002D35B8">
          <w:rPr>
            <w:noProof/>
            <w:webHidden/>
          </w:rPr>
          <w:fldChar w:fldCharType="end"/>
        </w:r>
      </w:hyperlink>
    </w:p>
    <w:p w:rsidR="00497262" w:rsidRPr="002D35B8" w:rsidRDefault="00895CE7">
      <w:pPr>
        <w:pStyle w:val="20"/>
        <w:rPr>
          <w:rFonts w:cstheme="minorBidi"/>
          <w:noProof/>
          <w:kern w:val="2"/>
        </w:rPr>
      </w:pPr>
      <w:hyperlink w:anchor="_Toc119660580" w:history="1">
        <w:r w:rsidR="00497262" w:rsidRPr="002D35B8">
          <w:rPr>
            <w:rStyle w:val="a6"/>
            <w:rFonts w:ascii="黑体" w:eastAsia="黑体" w:hAnsi="黑体"/>
            <w:noProof/>
            <w:sz w:val="24"/>
            <w:szCs w:val="24"/>
          </w:rPr>
          <w:t>（四） 术语和定义</w:t>
        </w:r>
        <w:r w:rsidR="00497262" w:rsidRPr="002D35B8">
          <w:rPr>
            <w:noProof/>
            <w:webHidden/>
          </w:rPr>
          <w:tab/>
        </w:r>
        <w:r w:rsidRPr="002D35B8">
          <w:rPr>
            <w:noProof/>
            <w:webHidden/>
          </w:rPr>
          <w:fldChar w:fldCharType="begin"/>
        </w:r>
        <w:r w:rsidR="00497262" w:rsidRPr="002D35B8">
          <w:rPr>
            <w:noProof/>
            <w:webHidden/>
          </w:rPr>
          <w:instrText xml:space="preserve"> PAGEREF _Toc119660580 \h </w:instrText>
        </w:r>
        <w:r w:rsidRPr="002D35B8">
          <w:rPr>
            <w:noProof/>
            <w:webHidden/>
          </w:rPr>
        </w:r>
        <w:r w:rsidRPr="002D35B8">
          <w:rPr>
            <w:noProof/>
            <w:webHidden/>
          </w:rPr>
          <w:fldChar w:fldCharType="separate"/>
        </w:r>
        <w:r w:rsidR="00497262" w:rsidRPr="002D35B8">
          <w:rPr>
            <w:noProof/>
            <w:webHidden/>
          </w:rPr>
          <w:t>18</w:t>
        </w:r>
        <w:r w:rsidRPr="002D35B8">
          <w:rPr>
            <w:noProof/>
            <w:webHidden/>
          </w:rPr>
          <w:fldChar w:fldCharType="end"/>
        </w:r>
      </w:hyperlink>
    </w:p>
    <w:p w:rsidR="00497262" w:rsidRPr="002D35B8" w:rsidRDefault="00895CE7">
      <w:pPr>
        <w:pStyle w:val="20"/>
        <w:rPr>
          <w:rFonts w:cstheme="minorBidi"/>
          <w:noProof/>
          <w:kern w:val="2"/>
        </w:rPr>
      </w:pPr>
      <w:hyperlink w:anchor="_Toc119660581" w:history="1">
        <w:r w:rsidR="00497262" w:rsidRPr="002D35B8">
          <w:rPr>
            <w:rStyle w:val="a6"/>
            <w:rFonts w:ascii="黑体" w:eastAsia="黑体" w:hAnsi="黑体"/>
            <w:noProof/>
            <w:sz w:val="24"/>
            <w:szCs w:val="24"/>
          </w:rPr>
          <w:t>（五）评估原则</w:t>
        </w:r>
        <w:r w:rsidR="00497262" w:rsidRPr="002D35B8">
          <w:rPr>
            <w:noProof/>
            <w:webHidden/>
          </w:rPr>
          <w:tab/>
        </w:r>
        <w:r w:rsidRPr="002D35B8">
          <w:rPr>
            <w:noProof/>
            <w:webHidden/>
          </w:rPr>
          <w:fldChar w:fldCharType="begin"/>
        </w:r>
        <w:r w:rsidR="00497262" w:rsidRPr="002D35B8">
          <w:rPr>
            <w:noProof/>
            <w:webHidden/>
          </w:rPr>
          <w:instrText xml:space="preserve"> PAGEREF _Toc119660581 \h </w:instrText>
        </w:r>
        <w:r w:rsidRPr="002D35B8">
          <w:rPr>
            <w:noProof/>
            <w:webHidden/>
          </w:rPr>
        </w:r>
        <w:r w:rsidRPr="002D35B8">
          <w:rPr>
            <w:noProof/>
            <w:webHidden/>
          </w:rPr>
          <w:fldChar w:fldCharType="separate"/>
        </w:r>
        <w:r w:rsidR="00497262" w:rsidRPr="002D35B8">
          <w:rPr>
            <w:noProof/>
            <w:webHidden/>
          </w:rPr>
          <w:t>21</w:t>
        </w:r>
        <w:r w:rsidRPr="002D35B8">
          <w:rPr>
            <w:noProof/>
            <w:webHidden/>
          </w:rPr>
          <w:fldChar w:fldCharType="end"/>
        </w:r>
      </w:hyperlink>
    </w:p>
    <w:p w:rsidR="00497262" w:rsidRPr="002D35B8" w:rsidRDefault="00895CE7">
      <w:pPr>
        <w:pStyle w:val="20"/>
        <w:rPr>
          <w:rFonts w:cstheme="minorBidi"/>
          <w:noProof/>
          <w:kern w:val="2"/>
        </w:rPr>
      </w:pPr>
      <w:hyperlink w:anchor="_Toc119660582" w:history="1">
        <w:r w:rsidR="00497262" w:rsidRPr="002D35B8">
          <w:rPr>
            <w:rStyle w:val="a6"/>
            <w:rFonts w:ascii="黑体" w:eastAsia="黑体" w:hAnsi="黑体"/>
            <w:noProof/>
            <w:sz w:val="24"/>
            <w:szCs w:val="24"/>
          </w:rPr>
          <w:t>（六）工作流程和内容</w:t>
        </w:r>
        <w:r w:rsidR="00497262" w:rsidRPr="002D35B8">
          <w:rPr>
            <w:noProof/>
            <w:webHidden/>
          </w:rPr>
          <w:tab/>
        </w:r>
        <w:r w:rsidRPr="002D35B8">
          <w:rPr>
            <w:noProof/>
            <w:webHidden/>
          </w:rPr>
          <w:fldChar w:fldCharType="begin"/>
        </w:r>
        <w:r w:rsidR="00497262" w:rsidRPr="002D35B8">
          <w:rPr>
            <w:noProof/>
            <w:webHidden/>
          </w:rPr>
          <w:instrText xml:space="preserve"> PAGEREF _Toc119660582 \h </w:instrText>
        </w:r>
        <w:r w:rsidRPr="002D35B8">
          <w:rPr>
            <w:noProof/>
            <w:webHidden/>
          </w:rPr>
        </w:r>
        <w:r w:rsidRPr="002D35B8">
          <w:rPr>
            <w:noProof/>
            <w:webHidden/>
          </w:rPr>
          <w:fldChar w:fldCharType="separate"/>
        </w:r>
        <w:r w:rsidR="00497262" w:rsidRPr="002D35B8">
          <w:rPr>
            <w:noProof/>
            <w:webHidden/>
          </w:rPr>
          <w:t>22</w:t>
        </w:r>
        <w:r w:rsidRPr="002D35B8">
          <w:rPr>
            <w:noProof/>
            <w:webHidden/>
          </w:rPr>
          <w:fldChar w:fldCharType="end"/>
        </w:r>
      </w:hyperlink>
    </w:p>
    <w:p w:rsidR="00497262" w:rsidRPr="002D35B8" w:rsidRDefault="00895CE7">
      <w:pPr>
        <w:pStyle w:val="20"/>
        <w:rPr>
          <w:rFonts w:cstheme="minorBidi"/>
          <w:noProof/>
          <w:kern w:val="2"/>
        </w:rPr>
      </w:pPr>
      <w:hyperlink w:anchor="_Toc119660583" w:history="1">
        <w:r w:rsidR="00497262" w:rsidRPr="002D35B8">
          <w:rPr>
            <w:rStyle w:val="a6"/>
            <w:rFonts w:ascii="黑体" w:eastAsia="黑体" w:hAnsi="黑体"/>
            <w:noProof/>
            <w:sz w:val="24"/>
            <w:szCs w:val="24"/>
          </w:rPr>
          <w:t>（七）方案制定</w:t>
        </w:r>
        <w:r w:rsidR="00497262" w:rsidRPr="002D35B8">
          <w:rPr>
            <w:noProof/>
            <w:webHidden/>
          </w:rPr>
          <w:tab/>
        </w:r>
        <w:r w:rsidRPr="002D35B8">
          <w:rPr>
            <w:noProof/>
            <w:webHidden/>
          </w:rPr>
          <w:fldChar w:fldCharType="begin"/>
        </w:r>
        <w:r w:rsidR="00497262" w:rsidRPr="002D35B8">
          <w:rPr>
            <w:noProof/>
            <w:webHidden/>
          </w:rPr>
          <w:instrText xml:space="preserve"> PAGEREF _Toc119660583 \h </w:instrText>
        </w:r>
        <w:r w:rsidRPr="002D35B8">
          <w:rPr>
            <w:noProof/>
            <w:webHidden/>
          </w:rPr>
        </w:r>
        <w:r w:rsidRPr="002D35B8">
          <w:rPr>
            <w:noProof/>
            <w:webHidden/>
          </w:rPr>
          <w:fldChar w:fldCharType="separate"/>
        </w:r>
        <w:r w:rsidR="00497262" w:rsidRPr="002D35B8">
          <w:rPr>
            <w:noProof/>
            <w:webHidden/>
          </w:rPr>
          <w:t>22</w:t>
        </w:r>
        <w:r w:rsidRPr="002D35B8">
          <w:rPr>
            <w:noProof/>
            <w:webHidden/>
          </w:rPr>
          <w:fldChar w:fldCharType="end"/>
        </w:r>
      </w:hyperlink>
    </w:p>
    <w:p w:rsidR="00497262" w:rsidRPr="002D35B8" w:rsidRDefault="00895CE7">
      <w:pPr>
        <w:pStyle w:val="20"/>
        <w:rPr>
          <w:rFonts w:cstheme="minorBidi"/>
          <w:noProof/>
          <w:kern w:val="2"/>
        </w:rPr>
      </w:pPr>
      <w:hyperlink w:anchor="_Toc119660584" w:history="1">
        <w:r w:rsidR="00497262" w:rsidRPr="002D35B8">
          <w:rPr>
            <w:rStyle w:val="a6"/>
            <w:rFonts w:ascii="黑体" w:eastAsia="黑体" w:hAnsi="黑体"/>
            <w:noProof/>
            <w:sz w:val="24"/>
            <w:szCs w:val="24"/>
          </w:rPr>
          <w:t>（八）数据收集与危害识别技术要求</w:t>
        </w:r>
        <w:r w:rsidR="00497262" w:rsidRPr="002D35B8">
          <w:rPr>
            <w:noProof/>
            <w:webHidden/>
          </w:rPr>
          <w:tab/>
        </w:r>
        <w:r w:rsidRPr="002D35B8">
          <w:rPr>
            <w:noProof/>
            <w:webHidden/>
          </w:rPr>
          <w:fldChar w:fldCharType="begin"/>
        </w:r>
        <w:r w:rsidR="00497262" w:rsidRPr="002D35B8">
          <w:rPr>
            <w:noProof/>
            <w:webHidden/>
          </w:rPr>
          <w:instrText xml:space="preserve"> PAGEREF _Toc119660584 \h </w:instrText>
        </w:r>
        <w:r w:rsidRPr="002D35B8">
          <w:rPr>
            <w:noProof/>
            <w:webHidden/>
          </w:rPr>
        </w:r>
        <w:r w:rsidRPr="002D35B8">
          <w:rPr>
            <w:noProof/>
            <w:webHidden/>
          </w:rPr>
          <w:fldChar w:fldCharType="separate"/>
        </w:r>
        <w:r w:rsidR="00497262" w:rsidRPr="002D35B8">
          <w:rPr>
            <w:noProof/>
            <w:webHidden/>
          </w:rPr>
          <w:t>24</w:t>
        </w:r>
        <w:r w:rsidRPr="002D35B8">
          <w:rPr>
            <w:noProof/>
            <w:webHidden/>
          </w:rPr>
          <w:fldChar w:fldCharType="end"/>
        </w:r>
      </w:hyperlink>
    </w:p>
    <w:p w:rsidR="00497262" w:rsidRPr="002D35B8" w:rsidRDefault="00895CE7">
      <w:pPr>
        <w:pStyle w:val="20"/>
        <w:rPr>
          <w:rFonts w:cstheme="minorBidi"/>
          <w:noProof/>
          <w:kern w:val="2"/>
        </w:rPr>
      </w:pPr>
      <w:hyperlink w:anchor="_Toc119660585" w:history="1">
        <w:r w:rsidR="00497262" w:rsidRPr="002D35B8">
          <w:rPr>
            <w:rStyle w:val="a6"/>
            <w:rFonts w:ascii="黑体" w:eastAsia="黑体" w:hAnsi="黑体"/>
            <w:noProof/>
            <w:sz w:val="24"/>
            <w:szCs w:val="24"/>
          </w:rPr>
          <w:t>（九）毒性评估技术要求</w:t>
        </w:r>
        <w:r w:rsidR="00497262" w:rsidRPr="002D35B8">
          <w:rPr>
            <w:noProof/>
            <w:webHidden/>
          </w:rPr>
          <w:tab/>
        </w:r>
        <w:r w:rsidRPr="002D35B8">
          <w:rPr>
            <w:noProof/>
            <w:webHidden/>
          </w:rPr>
          <w:fldChar w:fldCharType="begin"/>
        </w:r>
        <w:r w:rsidR="00497262" w:rsidRPr="002D35B8">
          <w:rPr>
            <w:noProof/>
            <w:webHidden/>
          </w:rPr>
          <w:instrText xml:space="preserve"> PAGEREF _Toc119660585 \h </w:instrText>
        </w:r>
        <w:r w:rsidRPr="002D35B8">
          <w:rPr>
            <w:noProof/>
            <w:webHidden/>
          </w:rPr>
        </w:r>
        <w:r w:rsidRPr="002D35B8">
          <w:rPr>
            <w:noProof/>
            <w:webHidden/>
          </w:rPr>
          <w:fldChar w:fldCharType="separate"/>
        </w:r>
        <w:r w:rsidR="00497262" w:rsidRPr="002D35B8">
          <w:rPr>
            <w:noProof/>
            <w:webHidden/>
          </w:rPr>
          <w:t>26</w:t>
        </w:r>
        <w:r w:rsidRPr="002D35B8">
          <w:rPr>
            <w:noProof/>
            <w:webHidden/>
          </w:rPr>
          <w:fldChar w:fldCharType="end"/>
        </w:r>
      </w:hyperlink>
    </w:p>
    <w:p w:rsidR="00497262" w:rsidRPr="002D35B8" w:rsidRDefault="00895CE7">
      <w:pPr>
        <w:pStyle w:val="20"/>
        <w:rPr>
          <w:rFonts w:cstheme="minorBidi"/>
          <w:noProof/>
          <w:kern w:val="2"/>
        </w:rPr>
      </w:pPr>
      <w:hyperlink w:anchor="_Toc119660586" w:history="1">
        <w:r w:rsidR="00497262" w:rsidRPr="002D35B8">
          <w:rPr>
            <w:rStyle w:val="a6"/>
            <w:rFonts w:ascii="黑体" w:eastAsia="黑体" w:hAnsi="黑体"/>
            <w:noProof/>
            <w:sz w:val="24"/>
            <w:szCs w:val="24"/>
          </w:rPr>
          <w:t>（十）暴露评估的技术要求</w:t>
        </w:r>
        <w:r w:rsidR="00497262" w:rsidRPr="002D35B8">
          <w:rPr>
            <w:noProof/>
            <w:webHidden/>
          </w:rPr>
          <w:tab/>
        </w:r>
        <w:r w:rsidRPr="002D35B8">
          <w:rPr>
            <w:noProof/>
            <w:webHidden/>
          </w:rPr>
          <w:fldChar w:fldCharType="begin"/>
        </w:r>
        <w:r w:rsidR="00497262" w:rsidRPr="002D35B8">
          <w:rPr>
            <w:noProof/>
            <w:webHidden/>
          </w:rPr>
          <w:instrText xml:space="preserve"> PAGEREF _Toc119660586 \h </w:instrText>
        </w:r>
        <w:r w:rsidRPr="002D35B8">
          <w:rPr>
            <w:noProof/>
            <w:webHidden/>
          </w:rPr>
        </w:r>
        <w:r w:rsidRPr="002D35B8">
          <w:rPr>
            <w:noProof/>
            <w:webHidden/>
          </w:rPr>
          <w:fldChar w:fldCharType="separate"/>
        </w:r>
        <w:r w:rsidR="00497262" w:rsidRPr="002D35B8">
          <w:rPr>
            <w:noProof/>
            <w:webHidden/>
          </w:rPr>
          <w:t>29</w:t>
        </w:r>
        <w:r w:rsidRPr="002D35B8">
          <w:rPr>
            <w:noProof/>
            <w:webHidden/>
          </w:rPr>
          <w:fldChar w:fldCharType="end"/>
        </w:r>
      </w:hyperlink>
    </w:p>
    <w:p w:rsidR="00497262" w:rsidRPr="002D35B8" w:rsidRDefault="00895CE7">
      <w:pPr>
        <w:pStyle w:val="20"/>
        <w:rPr>
          <w:rFonts w:cstheme="minorBidi"/>
          <w:noProof/>
          <w:kern w:val="2"/>
        </w:rPr>
      </w:pPr>
      <w:hyperlink w:anchor="_Toc119660587" w:history="1">
        <w:r w:rsidR="00497262" w:rsidRPr="002D35B8">
          <w:rPr>
            <w:rStyle w:val="a6"/>
            <w:rFonts w:ascii="黑体" w:eastAsia="黑体" w:hAnsi="黑体"/>
            <w:noProof/>
            <w:sz w:val="24"/>
            <w:szCs w:val="24"/>
          </w:rPr>
          <w:t>（十一）风险表征的技术要求</w:t>
        </w:r>
        <w:r w:rsidR="00497262" w:rsidRPr="002D35B8">
          <w:rPr>
            <w:noProof/>
            <w:webHidden/>
          </w:rPr>
          <w:tab/>
        </w:r>
        <w:r w:rsidRPr="002D35B8">
          <w:rPr>
            <w:noProof/>
            <w:webHidden/>
          </w:rPr>
          <w:fldChar w:fldCharType="begin"/>
        </w:r>
        <w:r w:rsidR="00497262" w:rsidRPr="002D35B8">
          <w:rPr>
            <w:noProof/>
            <w:webHidden/>
          </w:rPr>
          <w:instrText xml:space="preserve"> PAGEREF _Toc119660587 \h </w:instrText>
        </w:r>
        <w:r w:rsidRPr="002D35B8">
          <w:rPr>
            <w:noProof/>
            <w:webHidden/>
          </w:rPr>
        </w:r>
        <w:r w:rsidRPr="002D35B8">
          <w:rPr>
            <w:noProof/>
            <w:webHidden/>
          </w:rPr>
          <w:fldChar w:fldCharType="separate"/>
        </w:r>
        <w:r w:rsidR="00497262" w:rsidRPr="002D35B8">
          <w:rPr>
            <w:noProof/>
            <w:webHidden/>
          </w:rPr>
          <w:t>31</w:t>
        </w:r>
        <w:r w:rsidRPr="002D35B8">
          <w:rPr>
            <w:noProof/>
            <w:webHidden/>
          </w:rPr>
          <w:fldChar w:fldCharType="end"/>
        </w:r>
      </w:hyperlink>
    </w:p>
    <w:p w:rsidR="00497262" w:rsidRPr="002D35B8" w:rsidRDefault="00895CE7">
      <w:pPr>
        <w:pStyle w:val="20"/>
        <w:rPr>
          <w:rFonts w:cstheme="minorBidi"/>
          <w:noProof/>
          <w:kern w:val="2"/>
        </w:rPr>
      </w:pPr>
      <w:hyperlink w:anchor="_Toc119660588" w:history="1">
        <w:r w:rsidR="00497262" w:rsidRPr="002D35B8">
          <w:rPr>
            <w:rStyle w:val="a6"/>
            <w:rFonts w:ascii="黑体" w:eastAsia="黑体" w:hAnsi="黑体"/>
            <w:noProof/>
            <w:sz w:val="24"/>
            <w:szCs w:val="24"/>
          </w:rPr>
          <w:t>（十二）风险评估报告编制的要求</w:t>
        </w:r>
        <w:r w:rsidR="00497262" w:rsidRPr="002D35B8">
          <w:rPr>
            <w:noProof/>
            <w:webHidden/>
          </w:rPr>
          <w:tab/>
        </w:r>
        <w:r w:rsidRPr="002D35B8">
          <w:rPr>
            <w:noProof/>
            <w:webHidden/>
          </w:rPr>
          <w:fldChar w:fldCharType="begin"/>
        </w:r>
        <w:r w:rsidR="00497262" w:rsidRPr="002D35B8">
          <w:rPr>
            <w:noProof/>
            <w:webHidden/>
          </w:rPr>
          <w:instrText xml:space="preserve"> PAGEREF _Toc119660588 \h </w:instrText>
        </w:r>
        <w:r w:rsidRPr="002D35B8">
          <w:rPr>
            <w:noProof/>
            <w:webHidden/>
          </w:rPr>
        </w:r>
        <w:r w:rsidRPr="002D35B8">
          <w:rPr>
            <w:noProof/>
            <w:webHidden/>
          </w:rPr>
          <w:fldChar w:fldCharType="separate"/>
        </w:r>
        <w:r w:rsidR="00497262" w:rsidRPr="002D35B8">
          <w:rPr>
            <w:noProof/>
            <w:webHidden/>
          </w:rPr>
          <w:t>33</w:t>
        </w:r>
        <w:r w:rsidRPr="002D35B8">
          <w:rPr>
            <w:noProof/>
            <w:webHidden/>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89" w:history="1">
        <w:r w:rsidR="00497262" w:rsidRPr="002D35B8">
          <w:rPr>
            <w:rStyle w:val="a6"/>
            <w:rFonts w:ascii="黑体" w:eastAsia="黑体" w:hAnsi="黑体"/>
            <w:b w:val="0"/>
            <w:bCs w:val="0"/>
            <w:noProof/>
            <w:sz w:val="24"/>
            <w:szCs w:val="24"/>
          </w:rPr>
          <w:t>六、 标准实施的环境效益与经济技术分析</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_Toc119660589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33</w:t>
        </w:r>
        <w:r w:rsidRPr="002D35B8">
          <w:rPr>
            <w:rFonts w:ascii="黑体" w:eastAsia="黑体" w:hAnsi="黑体"/>
            <w:b w:val="0"/>
            <w:bCs w:val="0"/>
            <w:noProof/>
            <w:webHidden/>
            <w:sz w:val="24"/>
            <w:szCs w:val="24"/>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90" w:history="1">
        <w:r w:rsidR="00497262" w:rsidRPr="002D35B8">
          <w:rPr>
            <w:rStyle w:val="a6"/>
            <w:rFonts w:ascii="黑体" w:eastAsia="黑体" w:hAnsi="黑体"/>
            <w:b w:val="0"/>
            <w:bCs w:val="0"/>
            <w:noProof/>
            <w:sz w:val="24"/>
            <w:szCs w:val="24"/>
          </w:rPr>
          <w:t>七、 标准实施建议</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_Toc119660590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34</w:t>
        </w:r>
        <w:r w:rsidRPr="002D35B8">
          <w:rPr>
            <w:rFonts w:ascii="黑体" w:eastAsia="黑体" w:hAnsi="黑体"/>
            <w:b w:val="0"/>
            <w:bCs w:val="0"/>
            <w:noProof/>
            <w:webHidden/>
            <w:sz w:val="24"/>
            <w:szCs w:val="24"/>
          </w:rPr>
          <w:fldChar w:fldCharType="end"/>
        </w:r>
      </w:hyperlink>
    </w:p>
    <w:p w:rsidR="00497262" w:rsidRPr="002D35B8" w:rsidRDefault="00895CE7">
      <w:pPr>
        <w:pStyle w:val="10"/>
        <w:tabs>
          <w:tab w:val="right" w:leader="dot" w:pos="8296"/>
        </w:tabs>
        <w:rPr>
          <w:rFonts w:ascii="黑体" w:eastAsia="黑体" w:hAnsi="黑体" w:cstheme="minorBidi"/>
          <w:b w:val="0"/>
          <w:bCs w:val="0"/>
          <w:caps w:val="0"/>
          <w:noProof/>
          <w:sz w:val="24"/>
          <w:szCs w:val="24"/>
        </w:rPr>
      </w:pPr>
      <w:hyperlink w:anchor="_Toc119660591" w:history="1">
        <w:r w:rsidR="00497262" w:rsidRPr="002D35B8">
          <w:rPr>
            <w:rStyle w:val="a6"/>
            <w:rFonts w:ascii="黑体" w:eastAsia="黑体" w:hAnsi="黑体"/>
            <w:b w:val="0"/>
            <w:bCs w:val="0"/>
            <w:noProof/>
            <w:sz w:val="24"/>
            <w:szCs w:val="24"/>
          </w:rPr>
          <w:t>八、 征求意见处理情况说明（送审稿）</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_Toc119660591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35</w:t>
        </w:r>
        <w:r w:rsidRPr="002D35B8">
          <w:rPr>
            <w:rFonts w:ascii="黑体" w:eastAsia="黑体" w:hAnsi="黑体"/>
            <w:b w:val="0"/>
            <w:bCs w:val="0"/>
            <w:noProof/>
            <w:webHidden/>
            <w:sz w:val="24"/>
            <w:szCs w:val="24"/>
          </w:rPr>
          <w:fldChar w:fldCharType="end"/>
        </w:r>
      </w:hyperlink>
    </w:p>
    <w:p w:rsidR="00497262" w:rsidRPr="005233CA" w:rsidRDefault="00895CE7">
      <w:pPr>
        <w:pStyle w:val="10"/>
        <w:tabs>
          <w:tab w:val="right" w:leader="dot" w:pos="8296"/>
        </w:tabs>
        <w:rPr>
          <w:rFonts w:ascii="宋体" w:hAnsi="宋体" w:cstheme="minorBidi"/>
          <w:b w:val="0"/>
          <w:bCs w:val="0"/>
          <w:caps w:val="0"/>
          <w:noProof/>
          <w:sz w:val="24"/>
          <w:szCs w:val="24"/>
        </w:rPr>
      </w:pPr>
      <w:hyperlink w:anchor="_Toc119660592" w:history="1">
        <w:r w:rsidR="00497262" w:rsidRPr="002D35B8">
          <w:rPr>
            <w:rStyle w:val="a6"/>
            <w:rFonts w:ascii="黑体" w:eastAsia="黑体" w:hAnsi="黑体"/>
            <w:b w:val="0"/>
            <w:bCs w:val="0"/>
            <w:noProof/>
            <w:sz w:val="24"/>
            <w:szCs w:val="24"/>
          </w:rPr>
          <w:t>九、 技术审查工作情况说明（报批稿）</w:t>
        </w:r>
        <w:r w:rsidR="00497262" w:rsidRPr="002D35B8">
          <w:rPr>
            <w:rFonts w:ascii="黑体" w:eastAsia="黑体" w:hAnsi="黑体"/>
            <w:b w:val="0"/>
            <w:bCs w:val="0"/>
            <w:noProof/>
            <w:webHidden/>
            <w:sz w:val="24"/>
            <w:szCs w:val="24"/>
          </w:rPr>
          <w:tab/>
        </w:r>
        <w:r w:rsidRPr="002D35B8">
          <w:rPr>
            <w:rFonts w:ascii="黑体" w:eastAsia="黑体" w:hAnsi="黑体"/>
            <w:b w:val="0"/>
            <w:bCs w:val="0"/>
            <w:noProof/>
            <w:webHidden/>
            <w:sz w:val="24"/>
            <w:szCs w:val="24"/>
          </w:rPr>
          <w:fldChar w:fldCharType="begin"/>
        </w:r>
        <w:r w:rsidR="00497262" w:rsidRPr="002D35B8">
          <w:rPr>
            <w:rFonts w:ascii="黑体" w:eastAsia="黑体" w:hAnsi="黑体"/>
            <w:b w:val="0"/>
            <w:bCs w:val="0"/>
            <w:noProof/>
            <w:webHidden/>
            <w:sz w:val="24"/>
            <w:szCs w:val="24"/>
          </w:rPr>
          <w:instrText xml:space="preserve"> PAGEREF _Toc119660592 \h </w:instrText>
        </w:r>
        <w:r w:rsidRPr="002D35B8">
          <w:rPr>
            <w:rFonts w:ascii="黑体" w:eastAsia="黑体" w:hAnsi="黑体"/>
            <w:b w:val="0"/>
            <w:bCs w:val="0"/>
            <w:noProof/>
            <w:webHidden/>
            <w:sz w:val="24"/>
            <w:szCs w:val="24"/>
          </w:rPr>
        </w:r>
        <w:r w:rsidRPr="002D35B8">
          <w:rPr>
            <w:rFonts w:ascii="黑体" w:eastAsia="黑体" w:hAnsi="黑体"/>
            <w:b w:val="0"/>
            <w:bCs w:val="0"/>
            <w:noProof/>
            <w:webHidden/>
            <w:sz w:val="24"/>
            <w:szCs w:val="24"/>
          </w:rPr>
          <w:fldChar w:fldCharType="separate"/>
        </w:r>
        <w:r w:rsidR="00497262" w:rsidRPr="002D35B8">
          <w:rPr>
            <w:rFonts w:ascii="黑体" w:eastAsia="黑体" w:hAnsi="黑体"/>
            <w:b w:val="0"/>
            <w:bCs w:val="0"/>
            <w:noProof/>
            <w:webHidden/>
            <w:sz w:val="24"/>
            <w:szCs w:val="24"/>
          </w:rPr>
          <w:t>35</w:t>
        </w:r>
        <w:r w:rsidRPr="002D35B8">
          <w:rPr>
            <w:rFonts w:ascii="黑体" w:eastAsia="黑体" w:hAnsi="黑体"/>
            <w:b w:val="0"/>
            <w:bCs w:val="0"/>
            <w:noProof/>
            <w:webHidden/>
            <w:sz w:val="24"/>
            <w:szCs w:val="24"/>
          </w:rPr>
          <w:fldChar w:fldCharType="end"/>
        </w:r>
      </w:hyperlink>
    </w:p>
    <w:p w:rsidR="00DC0239" w:rsidRPr="008D7553" w:rsidRDefault="00895CE7">
      <w:pPr>
        <w:pStyle w:val="10"/>
        <w:sectPr w:rsidR="00DC0239" w:rsidRPr="008D7553">
          <w:footerReference w:type="default" r:id="rId9"/>
          <w:pgSz w:w="11906" w:h="16838"/>
          <w:pgMar w:top="1440" w:right="1800" w:bottom="1440" w:left="1800" w:header="851" w:footer="992" w:gutter="0"/>
          <w:cols w:space="425"/>
          <w:docGrid w:type="lines" w:linePitch="312"/>
        </w:sectPr>
      </w:pPr>
      <w:r w:rsidRPr="008D7553">
        <w:fldChar w:fldCharType="end"/>
      </w:r>
    </w:p>
    <w:p w:rsidR="0041655E" w:rsidRPr="008D7553" w:rsidRDefault="000B72D8" w:rsidP="007C3779">
      <w:pPr>
        <w:autoSpaceDE w:val="0"/>
        <w:autoSpaceDN w:val="0"/>
        <w:spacing w:beforeLines="100" w:afterLines="100" w:line="360" w:lineRule="auto"/>
        <w:jc w:val="center"/>
        <w:rPr>
          <w:rFonts w:eastAsia="仿宋_GB2312"/>
          <w:b/>
          <w:sz w:val="36"/>
          <w:szCs w:val="28"/>
          <w:lang w:val="zh-CN"/>
        </w:rPr>
        <w:pPrChange w:id="0" w:author="abc" w:date="2022-11-25T16:51:00Z">
          <w:pPr>
            <w:autoSpaceDE w:val="0"/>
            <w:autoSpaceDN w:val="0"/>
            <w:spacing w:beforeLines="100" w:afterLines="100" w:line="360" w:lineRule="auto"/>
            <w:jc w:val="center"/>
          </w:pPr>
        </w:pPrChange>
      </w:pPr>
      <w:r w:rsidRPr="008D7553">
        <w:rPr>
          <w:rFonts w:eastAsia="仿宋_GB2312"/>
          <w:b/>
          <w:sz w:val="36"/>
          <w:szCs w:val="28"/>
          <w:lang w:val="zh-CN"/>
        </w:rPr>
        <w:lastRenderedPageBreak/>
        <w:t>《</w:t>
      </w:r>
      <w:r w:rsidR="00567601" w:rsidRPr="00567601">
        <w:rPr>
          <w:rFonts w:eastAsia="仿宋_GB2312" w:hint="eastAsia"/>
          <w:b/>
          <w:sz w:val="36"/>
          <w:szCs w:val="28"/>
          <w:lang w:val="zh-CN"/>
        </w:rPr>
        <w:t>村镇社区污染风险评估技术规范</w:t>
      </w:r>
      <w:r w:rsidRPr="008D7553">
        <w:rPr>
          <w:rFonts w:eastAsia="仿宋_GB2312"/>
          <w:b/>
          <w:sz w:val="36"/>
          <w:szCs w:val="28"/>
          <w:lang w:val="zh-CN"/>
        </w:rPr>
        <w:t>》编制说明</w:t>
      </w:r>
    </w:p>
    <w:p w:rsidR="0041655E" w:rsidRPr="008D7553" w:rsidRDefault="000B72D8" w:rsidP="00C25AE7">
      <w:pPr>
        <w:numPr>
          <w:ilvl w:val="0"/>
          <w:numId w:val="1"/>
        </w:numPr>
        <w:spacing w:line="360" w:lineRule="auto"/>
        <w:ind w:left="0" w:firstLineChars="200" w:firstLine="602"/>
        <w:outlineLvl w:val="0"/>
        <w:rPr>
          <w:rFonts w:eastAsia="黑体"/>
          <w:b/>
          <w:bCs/>
          <w:sz w:val="30"/>
          <w:szCs w:val="30"/>
        </w:rPr>
      </w:pPr>
      <w:bookmarkStart w:id="1" w:name="_Toc321381672"/>
      <w:bookmarkStart w:id="2" w:name="_Toc119660563"/>
      <w:r w:rsidRPr="008D7553">
        <w:rPr>
          <w:rFonts w:eastAsia="黑体"/>
          <w:b/>
          <w:bCs/>
          <w:sz w:val="30"/>
          <w:szCs w:val="30"/>
        </w:rPr>
        <w:t>任务来源</w:t>
      </w:r>
      <w:bookmarkEnd w:id="1"/>
      <w:bookmarkEnd w:id="2"/>
    </w:p>
    <w:p w:rsidR="0041655E" w:rsidRPr="002D35B8" w:rsidRDefault="007E6974" w:rsidP="002D35B8">
      <w:pPr>
        <w:pStyle w:val="ac"/>
        <w:spacing w:line="360" w:lineRule="auto"/>
        <w:ind w:firstLineChars="200" w:firstLine="560"/>
        <w:rPr>
          <w:rFonts w:ascii="Times New Roman" w:eastAsiaTheme="minorEastAsia" w:hAnsi="Times New Roman"/>
          <w:kern w:val="2"/>
          <w:sz w:val="28"/>
          <w:szCs w:val="28"/>
        </w:rPr>
      </w:pPr>
      <w:bookmarkStart w:id="3" w:name="_Toc321381927"/>
      <w:bookmarkStart w:id="4" w:name="_Toc321381673"/>
      <w:bookmarkStart w:id="5" w:name="_Toc321381844"/>
      <w:r w:rsidRPr="00721B78">
        <w:rPr>
          <w:rFonts w:ascii="Times New Roman" w:eastAsiaTheme="minorEastAsia" w:hAnsi="Times New Roman"/>
          <w:kern w:val="2"/>
          <w:sz w:val="28"/>
          <w:szCs w:val="28"/>
        </w:rPr>
        <w:t>2019</w:t>
      </w:r>
      <w:r w:rsidRPr="00721B78">
        <w:rPr>
          <w:rFonts w:ascii="Times New Roman" w:eastAsiaTheme="minorEastAsia" w:hAnsi="Times New Roman"/>
          <w:kern w:val="2"/>
          <w:sz w:val="28"/>
          <w:szCs w:val="28"/>
        </w:rPr>
        <w:t>年，科技部下达了</w:t>
      </w:r>
      <w:r w:rsidR="008273A3" w:rsidRPr="00721B78">
        <w:rPr>
          <w:rFonts w:ascii="Times New Roman" w:eastAsiaTheme="minorEastAsia" w:hAnsi="Times New Roman"/>
          <w:kern w:val="2"/>
          <w:sz w:val="28"/>
          <w:szCs w:val="28"/>
        </w:rPr>
        <w:t>国家重点研发计划</w:t>
      </w:r>
      <w:r w:rsidR="00EB496C">
        <w:rPr>
          <w:rFonts w:ascii="Times New Roman" w:eastAsiaTheme="minorEastAsia" w:hAnsi="Times New Roman" w:hint="eastAsia"/>
          <w:kern w:val="2"/>
          <w:sz w:val="28"/>
          <w:szCs w:val="28"/>
        </w:rPr>
        <w:t>“</w:t>
      </w:r>
      <w:r w:rsidR="00EB496C" w:rsidRPr="00721B78">
        <w:rPr>
          <w:rFonts w:ascii="Times New Roman" w:eastAsiaTheme="minorEastAsia" w:hAnsi="Times New Roman"/>
          <w:kern w:val="2"/>
          <w:sz w:val="28"/>
          <w:szCs w:val="28"/>
        </w:rPr>
        <w:t>绿色宜居村镇技术创新专项</w:t>
      </w:r>
      <w:r w:rsidR="00EB496C">
        <w:rPr>
          <w:rFonts w:ascii="Times New Roman" w:eastAsiaTheme="minorEastAsia" w:hAnsi="Times New Roman" w:hint="eastAsia"/>
          <w:kern w:val="2"/>
          <w:sz w:val="28"/>
          <w:szCs w:val="28"/>
        </w:rPr>
        <w:t>”</w:t>
      </w:r>
      <w:r w:rsidR="007D5BA9">
        <w:rPr>
          <w:rFonts w:ascii="Times New Roman" w:eastAsiaTheme="minorEastAsia" w:hAnsi="Times New Roman" w:hint="eastAsia"/>
          <w:kern w:val="2"/>
          <w:sz w:val="28"/>
          <w:szCs w:val="28"/>
        </w:rPr>
        <w:t>《</w:t>
      </w:r>
      <w:r w:rsidR="007D5BA9" w:rsidRPr="00095B8D">
        <w:rPr>
          <w:rFonts w:ascii="Times New Roman" w:eastAsiaTheme="minorEastAsia" w:hAnsi="Times New Roman" w:hint="eastAsia"/>
          <w:kern w:val="2"/>
          <w:sz w:val="28"/>
          <w:szCs w:val="28"/>
        </w:rPr>
        <w:t>村镇社区环境监测及修复关键技术</w:t>
      </w:r>
      <w:r w:rsidR="00EB496C">
        <w:rPr>
          <w:rFonts w:ascii="Times New Roman" w:eastAsiaTheme="minorEastAsia" w:hAnsi="Times New Roman" w:hint="eastAsia"/>
          <w:kern w:val="2"/>
          <w:sz w:val="28"/>
          <w:szCs w:val="28"/>
        </w:rPr>
        <w:t>研究</w:t>
      </w:r>
      <w:r w:rsidR="007D5BA9">
        <w:rPr>
          <w:rFonts w:ascii="Times New Roman" w:eastAsiaTheme="minorEastAsia" w:hAnsi="Times New Roman" w:hint="eastAsia"/>
          <w:kern w:val="2"/>
          <w:sz w:val="28"/>
          <w:szCs w:val="28"/>
        </w:rPr>
        <w:t>》</w:t>
      </w:r>
      <w:r w:rsidR="00095B8D">
        <w:rPr>
          <w:rFonts w:ascii="Times New Roman" w:eastAsiaTheme="minorEastAsia" w:hAnsi="Times New Roman" w:hint="eastAsia"/>
          <w:kern w:val="2"/>
          <w:sz w:val="28"/>
          <w:szCs w:val="28"/>
        </w:rPr>
        <w:t>项目</w:t>
      </w:r>
      <w:r w:rsidR="00EB496C">
        <w:rPr>
          <w:rFonts w:ascii="Times New Roman" w:eastAsiaTheme="minorEastAsia" w:hAnsi="Times New Roman" w:hint="eastAsia"/>
          <w:kern w:val="2"/>
          <w:sz w:val="28"/>
          <w:szCs w:val="28"/>
        </w:rPr>
        <w:t>下属课题</w:t>
      </w:r>
      <w:r w:rsidR="00095B8D">
        <w:rPr>
          <w:rFonts w:ascii="Times New Roman" w:eastAsiaTheme="minorEastAsia" w:hAnsi="Times New Roman" w:hint="eastAsia"/>
          <w:kern w:val="2"/>
          <w:sz w:val="28"/>
          <w:szCs w:val="28"/>
        </w:rPr>
        <w:t>“</w:t>
      </w:r>
      <w:r w:rsidR="00095B8D" w:rsidRPr="00095B8D">
        <w:rPr>
          <w:rFonts w:ascii="Times New Roman" w:eastAsiaTheme="minorEastAsia" w:hAnsi="Times New Roman" w:hint="eastAsia"/>
          <w:kern w:val="2"/>
          <w:sz w:val="28"/>
          <w:szCs w:val="28"/>
        </w:rPr>
        <w:t>村镇社区环境污染分类和风险评估技术及方法研究</w:t>
      </w:r>
      <w:r w:rsidR="00095B8D">
        <w:rPr>
          <w:rFonts w:ascii="Times New Roman" w:eastAsiaTheme="minorEastAsia" w:hAnsi="Times New Roman" w:hint="eastAsia"/>
          <w:kern w:val="2"/>
          <w:sz w:val="28"/>
          <w:szCs w:val="28"/>
        </w:rPr>
        <w:t>”</w:t>
      </w:r>
      <w:r w:rsidRPr="00721B78">
        <w:rPr>
          <w:rFonts w:ascii="Times New Roman" w:eastAsiaTheme="minorEastAsia" w:hAnsi="Times New Roman"/>
          <w:kern w:val="2"/>
          <w:sz w:val="28"/>
          <w:szCs w:val="28"/>
        </w:rPr>
        <w:t>（</w:t>
      </w:r>
      <w:r w:rsidR="008273A3" w:rsidRPr="00721B78">
        <w:rPr>
          <w:rFonts w:ascii="Times New Roman" w:eastAsiaTheme="minorEastAsia" w:hAnsi="Times New Roman"/>
          <w:kern w:val="2"/>
          <w:sz w:val="28"/>
          <w:szCs w:val="28"/>
        </w:rPr>
        <w:t>2019YFD1100501</w:t>
      </w:r>
      <w:r w:rsidRPr="00721B78">
        <w:rPr>
          <w:rFonts w:ascii="Times New Roman" w:eastAsiaTheme="minorEastAsia" w:hAnsi="Times New Roman"/>
          <w:kern w:val="2"/>
          <w:sz w:val="28"/>
          <w:szCs w:val="28"/>
        </w:rPr>
        <w:t>）</w:t>
      </w:r>
      <w:r w:rsidR="00EB496C">
        <w:rPr>
          <w:rFonts w:ascii="Times New Roman" w:eastAsiaTheme="minorEastAsia" w:hAnsi="Times New Roman" w:hint="eastAsia"/>
          <w:kern w:val="2"/>
          <w:sz w:val="28"/>
          <w:szCs w:val="28"/>
        </w:rPr>
        <w:t>的任务书</w:t>
      </w:r>
      <w:r w:rsidRPr="00721B78">
        <w:rPr>
          <w:rFonts w:ascii="Times New Roman" w:eastAsiaTheme="minorEastAsia" w:hAnsi="Times New Roman"/>
          <w:kern w:val="2"/>
          <w:sz w:val="28"/>
          <w:szCs w:val="28"/>
        </w:rPr>
        <w:t>，提出了制定《</w:t>
      </w:r>
      <w:r w:rsidR="00A44784" w:rsidRPr="00721B78">
        <w:rPr>
          <w:rFonts w:ascii="Times New Roman" w:eastAsiaTheme="minorEastAsia" w:hAnsi="Times New Roman"/>
          <w:kern w:val="2"/>
          <w:sz w:val="28"/>
          <w:szCs w:val="28"/>
        </w:rPr>
        <w:t>村镇社区污染</w:t>
      </w:r>
      <w:r w:rsidR="009521E8" w:rsidRPr="00721B78">
        <w:rPr>
          <w:rFonts w:ascii="Times New Roman" w:eastAsiaTheme="minorEastAsia" w:hAnsi="Times New Roman"/>
          <w:kern w:val="2"/>
          <w:sz w:val="28"/>
          <w:szCs w:val="28"/>
        </w:rPr>
        <w:t>风险评估技术规范</w:t>
      </w:r>
      <w:r w:rsidRPr="00721B78">
        <w:rPr>
          <w:rFonts w:ascii="Times New Roman" w:eastAsiaTheme="minorEastAsia" w:hAnsi="Times New Roman"/>
          <w:kern w:val="2"/>
          <w:sz w:val="28"/>
          <w:szCs w:val="28"/>
        </w:rPr>
        <w:t>》标准</w:t>
      </w:r>
      <w:r w:rsidR="00FD484D">
        <w:rPr>
          <w:rFonts w:ascii="Times New Roman" w:eastAsiaTheme="minorEastAsia" w:hAnsi="Times New Roman" w:hint="eastAsia"/>
          <w:kern w:val="2"/>
          <w:sz w:val="28"/>
          <w:szCs w:val="28"/>
        </w:rPr>
        <w:t>。</w:t>
      </w:r>
      <w:r w:rsidR="002F306A" w:rsidRPr="00721B78">
        <w:rPr>
          <w:rFonts w:ascii="Times New Roman" w:eastAsiaTheme="minorEastAsia" w:hAnsi="Times New Roman"/>
          <w:kern w:val="2"/>
          <w:sz w:val="28"/>
          <w:szCs w:val="28"/>
        </w:rPr>
        <w:t>编制任务由</w:t>
      </w:r>
      <w:r w:rsidR="00E05A84" w:rsidRPr="00721B78">
        <w:rPr>
          <w:rFonts w:ascii="Times New Roman" w:eastAsiaTheme="minorEastAsia" w:hAnsi="Times New Roman"/>
          <w:kern w:val="2"/>
          <w:sz w:val="28"/>
          <w:szCs w:val="28"/>
        </w:rPr>
        <w:t>重庆大学</w:t>
      </w:r>
      <w:r w:rsidRPr="00721B78">
        <w:rPr>
          <w:rFonts w:ascii="Times New Roman" w:eastAsiaTheme="minorEastAsia" w:hAnsi="Times New Roman"/>
          <w:kern w:val="2"/>
          <w:sz w:val="28"/>
          <w:szCs w:val="28"/>
        </w:rPr>
        <w:t>单位承担</w:t>
      </w:r>
      <w:r w:rsidR="002F306A"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参编单位</w:t>
      </w:r>
      <w:r w:rsidR="002F306A" w:rsidRPr="00721B78">
        <w:rPr>
          <w:rFonts w:ascii="Times New Roman" w:eastAsiaTheme="minorEastAsia" w:hAnsi="Times New Roman"/>
          <w:kern w:val="2"/>
          <w:sz w:val="28"/>
          <w:szCs w:val="28"/>
        </w:rPr>
        <w:t>包括</w:t>
      </w:r>
      <w:r w:rsidR="00E05A84" w:rsidRPr="00721B78">
        <w:rPr>
          <w:rFonts w:ascii="Times New Roman" w:eastAsiaTheme="minorEastAsia" w:hAnsi="Times New Roman"/>
          <w:kern w:val="2"/>
          <w:sz w:val="28"/>
          <w:szCs w:val="28"/>
        </w:rPr>
        <w:t>农业农村部规划设计研究院</w:t>
      </w:r>
      <w:r w:rsidRPr="00721B78">
        <w:rPr>
          <w:rFonts w:ascii="Times New Roman" w:eastAsiaTheme="minorEastAsia" w:hAnsi="Times New Roman"/>
          <w:kern w:val="2"/>
          <w:sz w:val="28"/>
          <w:szCs w:val="28"/>
        </w:rPr>
        <w:t>、中国农业科学院农业环境与可持续发展研究所。</w:t>
      </w:r>
      <w:bookmarkEnd w:id="3"/>
      <w:bookmarkEnd w:id="4"/>
      <w:bookmarkEnd w:id="5"/>
    </w:p>
    <w:p w:rsidR="0041655E" w:rsidRPr="008D7553" w:rsidRDefault="000B72D8" w:rsidP="00C25AE7">
      <w:pPr>
        <w:numPr>
          <w:ilvl w:val="0"/>
          <w:numId w:val="1"/>
        </w:numPr>
        <w:spacing w:line="360" w:lineRule="auto"/>
        <w:ind w:left="0" w:firstLineChars="200" w:firstLine="602"/>
        <w:outlineLvl w:val="0"/>
        <w:rPr>
          <w:rFonts w:eastAsia="黑体"/>
          <w:b/>
          <w:bCs/>
          <w:sz w:val="30"/>
          <w:szCs w:val="30"/>
        </w:rPr>
      </w:pPr>
      <w:bookmarkStart w:id="6" w:name="_Toc119660564"/>
      <w:r w:rsidRPr="008D7553">
        <w:rPr>
          <w:rFonts w:eastAsia="黑体"/>
          <w:b/>
          <w:bCs/>
          <w:sz w:val="30"/>
          <w:szCs w:val="30"/>
        </w:rPr>
        <w:t>标准制定</w:t>
      </w:r>
      <w:r w:rsidR="00341E7D" w:rsidRPr="008D7553">
        <w:rPr>
          <w:rFonts w:eastAsia="黑体"/>
          <w:b/>
          <w:bCs/>
          <w:sz w:val="30"/>
          <w:szCs w:val="30"/>
        </w:rPr>
        <w:t>的</w:t>
      </w:r>
      <w:r w:rsidRPr="008D7553">
        <w:rPr>
          <w:rFonts w:eastAsia="黑体"/>
          <w:b/>
          <w:bCs/>
          <w:sz w:val="30"/>
          <w:szCs w:val="30"/>
        </w:rPr>
        <w:t>必要性、编制原则</w:t>
      </w:r>
      <w:bookmarkEnd w:id="6"/>
    </w:p>
    <w:p w:rsidR="00F66B36"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7" w:name="_Toc119660565"/>
      <w:r w:rsidRPr="002D35B8">
        <w:rPr>
          <w:rFonts w:hint="eastAsia"/>
          <w:b/>
          <w:kern w:val="2"/>
          <w:sz w:val="28"/>
          <w:szCs w:val="28"/>
        </w:rPr>
        <w:t>（一）</w:t>
      </w:r>
      <w:r w:rsidR="00F66B36" w:rsidRPr="002D35B8">
        <w:rPr>
          <w:rFonts w:hint="eastAsia"/>
          <w:b/>
          <w:kern w:val="2"/>
          <w:sz w:val="28"/>
          <w:szCs w:val="28"/>
        </w:rPr>
        <w:t>必要性</w:t>
      </w:r>
      <w:bookmarkEnd w:id="7"/>
    </w:p>
    <w:p w:rsidR="00994AFB" w:rsidRPr="00721B78" w:rsidRDefault="00994AFB"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村镇生态环境的改善和居民身体健康的保障，是实施乡村振兴战略和建设美丽中国、健康中国的重要组成部分，直接关系到农民生活质量的提高。</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十三五</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时期，农村人居环境明显改善，农村改革向纵深推进，农村社会保持和谐稳定。</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十四五</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时期，习近平总书记指出，要把保障人民健康放在优先发展的战略位置。在新发展阶段，巩固健康扶贫成效，推动健康乡村建设，既是把高质量发展同满足人民美好生活需要紧密结合起来的民生关切，又是健康中国、乡村振兴等战略之间的有机融合。</w:t>
      </w:r>
    </w:p>
    <w:p w:rsidR="005D5BDF" w:rsidRPr="00721B78" w:rsidRDefault="00994AFB"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lastRenderedPageBreak/>
        <w:t>近年来，农村人居环境整治加快推进，农村生产生活方式绿色转型取得积极进展，农村生态环境得到明显改善。然而，随着我国农村经济社会的快速发展，生产生活过程中</w:t>
      </w:r>
      <w:r w:rsidR="00F83029" w:rsidRPr="00721B78">
        <w:rPr>
          <w:rFonts w:ascii="Times New Roman" w:eastAsiaTheme="minorEastAsia" w:hAnsi="Times New Roman"/>
          <w:kern w:val="2"/>
          <w:sz w:val="28"/>
          <w:szCs w:val="28"/>
        </w:rPr>
        <w:t>污染物</w:t>
      </w:r>
      <w:r w:rsidRPr="00721B78">
        <w:rPr>
          <w:rFonts w:ascii="Times New Roman" w:eastAsiaTheme="minorEastAsia" w:hAnsi="Times New Roman"/>
          <w:kern w:val="2"/>
          <w:sz w:val="28"/>
          <w:szCs w:val="28"/>
        </w:rPr>
        <w:t>产生量</w:t>
      </w:r>
      <w:r w:rsidR="00AB024F" w:rsidRPr="00721B78">
        <w:rPr>
          <w:rFonts w:ascii="Times New Roman" w:eastAsiaTheme="minorEastAsia" w:hAnsi="Times New Roman"/>
          <w:kern w:val="2"/>
          <w:sz w:val="28"/>
          <w:szCs w:val="28"/>
        </w:rPr>
        <w:t>不断</w:t>
      </w:r>
      <w:r w:rsidRPr="00721B78">
        <w:rPr>
          <w:rFonts w:ascii="Times New Roman" w:eastAsiaTheme="minorEastAsia" w:hAnsi="Times New Roman"/>
          <w:kern w:val="2"/>
          <w:sz w:val="28"/>
          <w:szCs w:val="28"/>
        </w:rPr>
        <w:t>增加，</w:t>
      </w:r>
      <w:r w:rsidR="006925DC" w:rsidRPr="00721B78">
        <w:rPr>
          <w:rFonts w:ascii="Times New Roman" w:eastAsiaTheme="minorEastAsia" w:hAnsi="Times New Roman"/>
          <w:kern w:val="2"/>
          <w:sz w:val="28"/>
          <w:szCs w:val="28"/>
        </w:rPr>
        <w:t>污染处置和治理需求日益增长。</w:t>
      </w:r>
      <w:r w:rsidR="005D5BDF" w:rsidRPr="00721B78">
        <w:rPr>
          <w:rFonts w:ascii="Times New Roman" w:eastAsiaTheme="minorEastAsia" w:hAnsi="Times New Roman"/>
          <w:kern w:val="2"/>
          <w:sz w:val="28"/>
          <w:szCs w:val="28"/>
        </w:rPr>
        <w:t>农村地区</w:t>
      </w:r>
      <w:r w:rsidR="006925DC" w:rsidRPr="00721B78">
        <w:rPr>
          <w:rFonts w:ascii="Times New Roman" w:eastAsiaTheme="minorEastAsia" w:hAnsi="Times New Roman"/>
          <w:kern w:val="2"/>
          <w:sz w:val="28"/>
          <w:szCs w:val="28"/>
        </w:rPr>
        <w:t>农药重金属等</w:t>
      </w:r>
      <w:r w:rsidR="005D5BDF" w:rsidRPr="00721B78">
        <w:rPr>
          <w:rFonts w:ascii="Times New Roman" w:eastAsiaTheme="minorEastAsia" w:hAnsi="Times New Roman"/>
          <w:kern w:val="2"/>
          <w:sz w:val="28"/>
          <w:szCs w:val="28"/>
        </w:rPr>
        <w:t>历史</w:t>
      </w:r>
      <w:r w:rsidR="00902142" w:rsidRPr="00721B78">
        <w:rPr>
          <w:rFonts w:ascii="Times New Roman" w:eastAsiaTheme="minorEastAsia" w:hAnsi="Times New Roman"/>
          <w:kern w:val="2"/>
          <w:sz w:val="28"/>
          <w:szCs w:val="28"/>
        </w:rPr>
        <w:t>污染问题仍然较多，</w:t>
      </w:r>
      <w:r w:rsidR="005D5BDF" w:rsidRPr="00721B78">
        <w:rPr>
          <w:rFonts w:ascii="Times New Roman" w:eastAsiaTheme="minorEastAsia" w:hAnsi="Times New Roman"/>
          <w:kern w:val="2"/>
          <w:sz w:val="28"/>
          <w:szCs w:val="28"/>
        </w:rPr>
        <w:t>同时随着产业消费的升级带来了新的污染问题</w:t>
      </w:r>
      <w:r w:rsidR="00563996" w:rsidRPr="00721B78">
        <w:rPr>
          <w:rFonts w:ascii="Times New Roman" w:eastAsiaTheme="minorEastAsia" w:hAnsi="Times New Roman"/>
          <w:kern w:val="2"/>
          <w:sz w:val="28"/>
          <w:szCs w:val="28"/>
        </w:rPr>
        <w:t>。</w:t>
      </w:r>
      <w:r w:rsidR="0048416A" w:rsidRPr="00721B78">
        <w:rPr>
          <w:rFonts w:ascii="Times New Roman" w:eastAsiaTheme="minorEastAsia" w:hAnsi="Times New Roman"/>
          <w:kern w:val="2"/>
          <w:sz w:val="28"/>
          <w:szCs w:val="28"/>
        </w:rPr>
        <w:t>环境中化学性危害通常普遍存在且难以彻底消除，村镇地区污染管治的关键在于环境污染暴露对村镇居民健康造成不良影响的可能性和强度，即污染风险的高低</w:t>
      </w:r>
      <w:r w:rsidR="00DE5D65" w:rsidRPr="00721B78">
        <w:rPr>
          <w:rFonts w:ascii="Times New Roman" w:eastAsiaTheme="minorEastAsia" w:hAnsi="Times New Roman"/>
          <w:kern w:val="2"/>
          <w:sz w:val="28"/>
          <w:szCs w:val="28"/>
        </w:rPr>
        <w:t>。</w:t>
      </w:r>
      <w:r w:rsidR="00562A04" w:rsidRPr="00721B78">
        <w:rPr>
          <w:rFonts w:ascii="Times New Roman" w:eastAsiaTheme="minorEastAsia" w:hAnsi="Times New Roman"/>
          <w:kern w:val="2"/>
          <w:sz w:val="28"/>
          <w:szCs w:val="28"/>
        </w:rPr>
        <w:t>因此，</w:t>
      </w:r>
      <w:r w:rsidR="006A6B56" w:rsidRPr="00721B78">
        <w:rPr>
          <w:rFonts w:ascii="Times New Roman" w:eastAsiaTheme="minorEastAsia" w:hAnsi="Times New Roman"/>
          <w:kern w:val="2"/>
          <w:sz w:val="28"/>
          <w:szCs w:val="28"/>
        </w:rPr>
        <w:t>村镇污染治理从</w:t>
      </w:r>
      <w:r w:rsidR="00562A04" w:rsidRPr="00721B78">
        <w:rPr>
          <w:rFonts w:ascii="Times New Roman" w:eastAsiaTheme="minorEastAsia" w:hAnsi="Times New Roman"/>
          <w:kern w:val="2"/>
          <w:sz w:val="28"/>
          <w:szCs w:val="28"/>
        </w:rPr>
        <w:t>末端管控</w:t>
      </w:r>
      <w:r w:rsidR="006A6B56" w:rsidRPr="00721B78">
        <w:rPr>
          <w:rFonts w:ascii="Times New Roman" w:eastAsiaTheme="minorEastAsia" w:hAnsi="Times New Roman"/>
          <w:kern w:val="2"/>
          <w:sz w:val="28"/>
          <w:szCs w:val="28"/>
        </w:rPr>
        <w:t>逐步转变为</w:t>
      </w:r>
      <w:r w:rsidR="00562A04" w:rsidRPr="00721B78">
        <w:rPr>
          <w:rFonts w:ascii="Times New Roman" w:eastAsiaTheme="minorEastAsia" w:hAnsi="Times New Roman"/>
          <w:kern w:val="2"/>
          <w:sz w:val="28"/>
          <w:szCs w:val="28"/>
        </w:rPr>
        <w:t>风险管控，对于提高村镇环境管理水平，实现村镇环境和人居健康的协同提升具有重要现实意义。</w:t>
      </w:r>
    </w:p>
    <w:p w:rsidR="008E177B" w:rsidRPr="00721B78" w:rsidRDefault="0045210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《环境保护法》、《大气污染防治法》、《水污染防治法》、《土壤污染防治法》、《</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健康中国</w:t>
      </w:r>
      <w:r w:rsidRPr="00721B78">
        <w:rPr>
          <w:rFonts w:ascii="Times New Roman" w:eastAsiaTheme="minorEastAsia" w:hAnsi="Times New Roman"/>
          <w:kern w:val="2"/>
          <w:sz w:val="28"/>
          <w:szCs w:val="28"/>
        </w:rPr>
        <w:t xml:space="preserve"> 2030”</w:t>
      </w:r>
      <w:r w:rsidRPr="00721B78">
        <w:rPr>
          <w:rFonts w:ascii="Times New Roman" w:eastAsiaTheme="minorEastAsia" w:hAnsi="Times New Roman"/>
          <w:kern w:val="2"/>
          <w:sz w:val="28"/>
          <w:szCs w:val="28"/>
        </w:rPr>
        <w:t>规划纲要》、《生态环境保护规划》、《关于贯彻实施国家主体功能区环境政策的若干意见》等法律和政策文件多处涉及环境健康风险评估。《国家环境保护</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十三五</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环境与健康工作规划》和《国家环境保护标准</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十三五</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发展规划》部署发布涵盖调查、暴露评估、风险评估领域等一系列技术规定。目前，已发布涉及环境与健康调查、环境污染物暴露评估等一系列标准，但</w:t>
      </w:r>
      <w:r w:rsidR="00686BF4" w:rsidRPr="00721B78">
        <w:rPr>
          <w:rFonts w:ascii="Times New Roman" w:eastAsiaTheme="minorEastAsia" w:hAnsi="Times New Roman"/>
          <w:kern w:val="2"/>
          <w:sz w:val="28"/>
          <w:szCs w:val="28"/>
        </w:rPr>
        <w:t>对村镇地区环境污染带来的健康风险评估的技术要点和实际应用场景仍然缺乏针对性的规范和要求。我国幅员辽阔，各地经济社会发展水平、自然地理条件和人们生活习惯均存在明显差异</w:t>
      </w:r>
      <w:r w:rsidR="00640401" w:rsidRPr="00721B78">
        <w:rPr>
          <w:rFonts w:ascii="Times New Roman" w:eastAsiaTheme="minorEastAsia" w:hAnsi="Times New Roman"/>
          <w:kern w:val="2"/>
          <w:sz w:val="28"/>
          <w:szCs w:val="28"/>
        </w:rPr>
        <w:t>，污染状况和人群暴露情况各地区存在明显不同。同时，</w:t>
      </w:r>
      <w:r w:rsidR="00994AFB" w:rsidRPr="00721B78">
        <w:rPr>
          <w:rFonts w:ascii="Times New Roman" w:eastAsiaTheme="minorEastAsia" w:hAnsi="Times New Roman"/>
          <w:kern w:val="2"/>
          <w:sz w:val="28"/>
          <w:szCs w:val="28"/>
        </w:rPr>
        <w:t>农村农产品自产自用现象普遍存在，且缺乏环境污染物监测与监管，</w:t>
      </w:r>
      <w:r w:rsidR="00640401" w:rsidRPr="00721B78">
        <w:rPr>
          <w:rFonts w:ascii="Times New Roman" w:eastAsiaTheme="minorEastAsia" w:hAnsi="Times New Roman"/>
          <w:kern w:val="2"/>
          <w:sz w:val="28"/>
          <w:szCs w:val="28"/>
        </w:rPr>
        <w:t>村镇居民</w:t>
      </w:r>
      <w:r w:rsidR="00994AFB" w:rsidRPr="00721B78">
        <w:rPr>
          <w:rFonts w:ascii="Times New Roman" w:eastAsiaTheme="minorEastAsia" w:hAnsi="Times New Roman"/>
          <w:kern w:val="2"/>
          <w:sz w:val="28"/>
          <w:szCs w:val="28"/>
        </w:rPr>
        <w:t>的健康风险意识不高，目前对</w:t>
      </w:r>
      <w:r w:rsidR="00994AFB" w:rsidRPr="00721B78">
        <w:rPr>
          <w:rFonts w:ascii="Times New Roman" w:eastAsiaTheme="minorEastAsia" w:hAnsi="Times New Roman"/>
          <w:kern w:val="2"/>
          <w:sz w:val="28"/>
          <w:szCs w:val="28"/>
        </w:rPr>
        <w:lastRenderedPageBreak/>
        <w:t>村镇社区环境污染带来的风险缺乏定量的了解。</w:t>
      </w:r>
      <w:r w:rsidR="00640401" w:rsidRPr="00721B78">
        <w:rPr>
          <w:rFonts w:ascii="Times New Roman" w:eastAsiaTheme="minorEastAsia" w:hAnsi="Times New Roman"/>
          <w:kern w:val="2"/>
          <w:sz w:val="28"/>
          <w:szCs w:val="28"/>
        </w:rPr>
        <w:t>因此，研究村镇社区环境污染对居民造成的健康风险，开展相关规范的制定工作，规定村镇污染风险评估的程序、内容、方法和技术要求，对提高我国村镇环境管理标准化、规范化和精细化水平具有重要的意义。</w:t>
      </w:r>
    </w:p>
    <w:p w:rsidR="00F66B36"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8" w:name="_Toc119660566"/>
      <w:r w:rsidRPr="002D35B8">
        <w:rPr>
          <w:rFonts w:hint="eastAsia"/>
          <w:b/>
          <w:kern w:val="2"/>
          <w:sz w:val="28"/>
          <w:szCs w:val="28"/>
        </w:rPr>
        <w:t>（二）</w:t>
      </w:r>
      <w:r w:rsidR="00F66B36" w:rsidRPr="002D35B8">
        <w:rPr>
          <w:rFonts w:hint="eastAsia"/>
          <w:b/>
          <w:kern w:val="2"/>
          <w:sz w:val="28"/>
          <w:szCs w:val="28"/>
        </w:rPr>
        <w:t>编制原则</w:t>
      </w:r>
      <w:bookmarkEnd w:id="8"/>
    </w:p>
    <w:p w:rsidR="00F66B36" w:rsidRPr="00721B78" w:rsidRDefault="00F66B36"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本标准的编制严格遵照国家标准</w:t>
      </w:r>
      <w:r w:rsidRPr="00721B78">
        <w:rPr>
          <w:rFonts w:ascii="Times New Roman" w:eastAsiaTheme="minorEastAsia" w:hAnsi="Times New Roman"/>
          <w:kern w:val="2"/>
          <w:sz w:val="28"/>
          <w:szCs w:val="28"/>
        </w:rPr>
        <w:t>GB/T 1.1</w:t>
      </w:r>
      <w:r w:rsidRPr="00721B78">
        <w:rPr>
          <w:rFonts w:ascii="Times New Roman" w:eastAsiaTheme="minorEastAsia" w:hAnsi="Times New Roman"/>
          <w:kern w:val="2"/>
          <w:sz w:val="28"/>
          <w:szCs w:val="28"/>
        </w:rPr>
        <w:t>《标准化工作导则》的规定，</w:t>
      </w:r>
      <w:r w:rsidR="00DC74AB" w:rsidRPr="00721B78">
        <w:rPr>
          <w:rFonts w:ascii="Times New Roman" w:eastAsiaTheme="minorEastAsia" w:hAnsi="Times New Roman"/>
          <w:kern w:val="2"/>
          <w:sz w:val="28"/>
          <w:szCs w:val="28"/>
        </w:rPr>
        <w:t>基于《环境健康风险评估技术指南总纲》等相关标准的要求，</w:t>
      </w:r>
      <w:r w:rsidRPr="00721B78">
        <w:rPr>
          <w:rFonts w:ascii="Times New Roman" w:eastAsiaTheme="minorEastAsia" w:hAnsi="Times New Roman"/>
          <w:kern w:val="2"/>
          <w:sz w:val="28"/>
          <w:szCs w:val="28"/>
        </w:rPr>
        <w:t>针对目前国内</w:t>
      </w:r>
      <w:r w:rsidR="00C52346" w:rsidRPr="00721B78">
        <w:rPr>
          <w:rFonts w:ascii="Times New Roman" w:eastAsiaTheme="minorEastAsia" w:hAnsi="Times New Roman"/>
          <w:kern w:val="2"/>
          <w:sz w:val="28"/>
          <w:szCs w:val="28"/>
        </w:rPr>
        <w:t>村镇社区污染</w:t>
      </w:r>
      <w:r w:rsidR="005926D6" w:rsidRPr="00721B78">
        <w:rPr>
          <w:rFonts w:ascii="Times New Roman" w:eastAsiaTheme="minorEastAsia" w:hAnsi="Times New Roman"/>
          <w:kern w:val="2"/>
          <w:sz w:val="28"/>
          <w:szCs w:val="28"/>
        </w:rPr>
        <w:t>风险评估</w:t>
      </w:r>
      <w:r w:rsidRPr="00721B78">
        <w:rPr>
          <w:rFonts w:ascii="Times New Roman" w:eastAsiaTheme="minorEastAsia" w:hAnsi="Times New Roman"/>
          <w:kern w:val="2"/>
          <w:sz w:val="28"/>
          <w:szCs w:val="28"/>
        </w:rPr>
        <w:t>的发展状况，确定了以下编制原则：</w:t>
      </w:r>
    </w:p>
    <w:p w:rsidR="00E806BE" w:rsidRPr="00721B78" w:rsidRDefault="00E806BE"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1.</w:t>
      </w:r>
      <w:r w:rsidRPr="00721B78">
        <w:rPr>
          <w:rFonts w:ascii="Times New Roman" w:eastAsiaTheme="minorEastAsia" w:hAnsi="Times New Roman"/>
          <w:kern w:val="2"/>
          <w:sz w:val="28"/>
          <w:szCs w:val="28"/>
        </w:rPr>
        <w:t>科学性原则。充分收集已有数据和信息，基于最新科学证据，根据村镇社区环境管理关于公众健康保护的需求和目标，科学合理的确定调查和评估方案，确保村镇社区环境污染状况调查和风险评估过程和评估结果的系统性、完整性和客观性。</w:t>
      </w:r>
    </w:p>
    <w:p w:rsidR="00DC74AB" w:rsidRPr="00721B78" w:rsidRDefault="00DC74AB"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w:t>
      </w:r>
      <w:r w:rsidRPr="00721B78">
        <w:rPr>
          <w:rFonts w:ascii="Times New Roman" w:eastAsiaTheme="minorEastAsia" w:hAnsi="Times New Roman"/>
          <w:kern w:val="2"/>
          <w:sz w:val="28"/>
          <w:szCs w:val="28"/>
        </w:rPr>
        <w:t>系统性原则。村镇污染风险评估是基于保护村镇居民健康为目的实现环境管理的一整套系统技术方法，涉及到多个技术环节，并涵盖多个学科领域，在制定过程中应当充分考虑村镇社区环境下的所有关键环节和过程，做好技术体系方法的总体设计。</w:t>
      </w:r>
    </w:p>
    <w:p w:rsidR="00063A4D" w:rsidRPr="00721B78" w:rsidRDefault="00063A4D"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3.</w:t>
      </w:r>
      <w:r w:rsidRPr="00721B78">
        <w:rPr>
          <w:rFonts w:ascii="Times New Roman" w:eastAsiaTheme="minorEastAsia" w:hAnsi="Times New Roman"/>
          <w:kern w:val="2"/>
          <w:sz w:val="28"/>
          <w:szCs w:val="28"/>
        </w:rPr>
        <w:t>实用性原则。村镇地区环境监管治理工作条件相对有限，在构建村镇污染风险评估的技术规范上应当充分考虑村镇地区的特殊性，针对实际应用场景和业务需求，提出可实施、可推广、可行性强的技术要求。</w:t>
      </w:r>
    </w:p>
    <w:p w:rsidR="00DC74AB" w:rsidRPr="008D7553" w:rsidRDefault="00063A4D" w:rsidP="00721B78">
      <w:pPr>
        <w:pStyle w:val="ac"/>
        <w:spacing w:before="0" w:beforeAutospacing="0" w:after="0" w:afterAutospacing="0" w:line="360" w:lineRule="auto"/>
        <w:ind w:firstLineChars="200" w:firstLine="560"/>
        <w:jc w:val="both"/>
        <w:rPr>
          <w:rFonts w:ascii="Times New Roman" w:eastAsia="仿宋_GB2312" w:hAnsi="Times New Roman"/>
          <w:kern w:val="2"/>
          <w:sz w:val="30"/>
          <w:szCs w:val="30"/>
        </w:rPr>
      </w:pPr>
      <w:r w:rsidRPr="00721B78">
        <w:rPr>
          <w:rFonts w:ascii="Times New Roman" w:eastAsiaTheme="minorEastAsia" w:hAnsi="Times New Roman"/>
          <w:kern w:val="2"/>
          <w:sz w:val="28"/>
          <w:szCs w:val="28"/>
        </w:rPr>
        <w:lastRenderedPageBreak/>
        <w:t>4</w:t>
      </w:r>
      <w:r w:rsidR="00743C82" w:rsidRPr="00721B78">
        <w:rPr>
          <w:rFonts w:ascii="Times New Roman" w:eastAsiaTheme="minorEastAsia" w:hAnsi="Times New Roman"/>
          <w:kern w:val="2"/>
          <w:sz w:val="28"/>
          <w:szCs w:val="28"/>
        </w:rPr>
        <w:t>.</w:t>
      </w:r>
      <w:r w:rsidR="00743C82" w:rsidRPr="00721B78">
        <w:rPr>
          <w:rFonts w:ascii="Times New Roman" w:eastAsiaTheme="minorEastAsia" w:hAnsi="Times New Roman"/>
          <w:kern w:val="2"/>
          <w:sz w:val="28"/>
          <w:szCs w:val="28"/>
        </w:rPr>
        <w:t>针对性原则。</w:t>
      </w:r>
      <w:r w:rsidRPr="00721B78">
        <w:rPr>
          <w:rFonts w:ascii="Times New Roman" w:eastAsiaTheme="minorEastAsia" w:hAnsi="Times New Roman"/>
          <w:kern w:val="2"/>
          <w:sz w:val="28"/>
          <w:szCs w:val="28"/>
        </w:rPr>
        <w:t>我国幅员辽阔，不同地区村镇居民的生活生产方式以及生态环境背景条件存在显著差异，因此规范编制中应当</w:t>
      </w:r>
      <w:r w:rsidR="00743C82" w:rsidRPr="00721B78">
        <w:rPr>
          <w:rFonts w:ascii="Times New Roman" w:eastAsiaTheme="minorEastAsia" w:hAnsi="Times New Roman"/>
          <w:kern w:val="2"/>
          <w:sz w:val="28"/>
          <w:szCs w:val="28"/>
        </w:rPr>
        <w:t>针对村镇社区水土关系</w:t>
      </w:r>
      <w:r w:rsidR="00FD3580" w:rsidRPr="00721B78">
        <w:rPr>
          <w:rFonts w:ascii="Times New Roman" w:eastAsiaTheme="minorEastAsia" w:hAnsi="Times New Roman"/>
          <w:kern w:val="2"/>
          <w:sz w:val="28"/>
          <w:szCs w:val="28"/>
        </w:rPr>
        <w:t>、</w:t>
      </w:r>
      <w:r w:rsidR="00743C82" w:rsidRPr="00721B78">
        <w:rPr>
          <w:rFonts w:ascii="Times New Roman" w:eastAsiaTheme="minorEastAsia" w:hAnsi="Times New Roman"/>
          <w:kern w:val="2"/>
          <w:sz w:val="28"/>
          <w:szCs w:val="28"/>
        </w:rPr>
        <w:t>污染因子</w:t>
      </w:r>
      <w:r w:rsidR="00FD3580" w:rsidRPr="00721B78">
        <w:rPr>
          <w:rFonts w:ascii="Times New Roman" w:eastAsiaTheme="minorEastAsia" w:hAnsi="Times New Roman"/>
          <w:kern w:val="2"/>
          <w:sz w:val="28"/>
          <w:szCs w:val="28"/>
        </w:rPr>
        <w:t>、人群特征、膳食习惯</w:t>
      </w:r>
      <w:r w:rsidR="00743C82" w:rsidRPr="00721B78">
        <w:rPr>
          <w:rFonts w:ascii="Times New Roman" w:eastAsiaTheme="minorEastAsia" w:hAnsi="Times New Roman"/>
          <w:kern w:val="2"/>
          <w:sz w:val="28"/>
          <w:szCs w:val="28"/>
        </w:rPr>
        <w:t>等因素，充分考虑不同地区村镇环境特征的差异性，</w:t>
      </w:r>
      <w:r w:rsidRPr="00721B78">
        <w:rPr>
          <w:rFonts w:ascii="Times New Roman" w:eastAsiaTheme="minorEastAsia" w:hAnsi="Times New Roman"/>
          <w:kern w:val="2"/>
          <w:sz w:val="28"/>
          <w:szCs w:val="28"/>
        </w:rPr>
        <w:t>兼顾技术要求的普适性和技术内容的针对性</w:t>
      </w:r>
      <w:r w:rsidR="00743C82" w:rsidRPr="00721B78">
        <w:rPr>
          <w:rFonts w:ascii="Times New Roman" w:eastAsiaTheme="minorEastAsia" w:hAnsi="Times New Roman"/>
          <w:kern w:val="2"/>
          <w:sz w:val="28"/>
          <w:szCs w:val="28"/>
        </w:rPr>
        <w:t>。</w:t>
      </w:r>
    </w:p>
    <w:p w:rsidR="0041655E" w:rsidRPr="008D7553" w:rsidRDefault="00895CE7" w:rsidP="00502C30">
      <w:pPr>
        <w:numPr>
          <w:ilvl w:val="0"/>
          <w:numId w:val="1"/>
        </w:numPr>
        <w:spacing w:line="360" w:lineRule="auto"/>
        <w:ind w:left="0" w:firstLineChars="200" w:firstLine="420"/>
        <w:outlineLvl w:val="0"/>
        <w:rPr>
          <w:rFonts w:eastAsia="黑体"/>
          <w:b/>
          <w:bCs/>
          <w:sz w:val="30"/>
          <w:szCs w:val="30"/>
        </w:rPr>
      </w:pPr>
      <w:hyperlink w:anchor="_Toc234978610" w:history="1">
        <w:bookmarkStart w:id="9" w:name="_Toc119660567"/>
        <w:r w:rsidR="000B72D8" w:rsidRPr="008D7553">
          <w:rPr>
            <w:rFonts w:eastAsia="黑体"/>
            <w:b/>
            <w:bCs/>
            <w:sz w:val="30"/>
            <w:szCs w:val="30"/>
          </w:rPr>
          <w:t>国内外相关标准</w:t>
        </w:r>
        <w:r w:rsidR="00CE721E" w:rsidRPr="008D7553">
          <w:rPr>
            <w:rFonts w:eastAsia="黑体"/>
            <w:b/>
            <w:bCs/>
            <w:sz w:val="30"/>
            <w:szCs w:val="30"/>
          </w:rPr>
          <w:t>情况</w:t>
        </w:r>
      </w:hyperlink>
      <w:r w:rsidR="00341E7D" w:rsidRPr="008D7553">
        <w:rPr>
          <w:rFonts w:eastAsia="黑体"/>
          <w:b/>
          <w:bCs/>
          <w:sz w:val="30"/>
          <w:szCs w:val="30"/>
        </w:rPr>
        <w:t>和编制依据</w:t>
      </w:r>
      <w:bookmarkEnd w:id="9"/>
    </w:p>
    <w:p w:rsidR="00C33764"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10" w:name="_Toc119660568"/>
      <w:r w:rsidRPr="002D35B8">
        <w:rPr>
          <w:rFonts w:hint="eastAsia"/>
          <w:b/>
          <w:kern w:val="2"/>
          <w:sz w:val="28"/>
          <w:szCs w:val="28"/>
        </w:rPr>
        <w:t>（一）</w:t>
      </w:r>
      <w:r w:rsidR="00C33764" w:rsidRPr="002D35B8">
        <w:rPr>
          <w:rFonts w:hint="eastAsia"/>
          <w:b/>
          <w:kern w:val="2"/>
          <w:sz w:val="28"/>
          <w:szCs w:val="28"/>
        </w:rPr>
        <w:t>国外标准</w:t>
      </w:r>
      <w:bookmarkEnd w:id="10"/>
    </w:p>
    <w:p w:rsidR="00B31418" w:rsidRPr="002D35B8" w:rsidRDefault="0044664C" w:rsidP="00CA1BE4">
      <w:pPr>
        <w:pStyle w:val="ac"/>
        <w:spacing w:before="0" w:beforeAutospacing="0" w:after="0" w:afterAutospacing="0" w:line="360" w:lineRule="auto"/>
        <w:ind w:firstLineChars="200" w:firstLine="562"/>
        <w:jc w:val="both"/>
        <w:outlineLvl w:val="2"/>
        <w:rPr>
          <w:b/>
          <w:bCs/>
          <w:kern w:val="2"/>
          <w:sz w:val="28"/>
          <w:szCs w:val="28"/>
        </w:rPr>
      </w:pPr>
      <w:bookmarkStart w:id="11" w:name="_Toc119660569"/>
      <w:r w:rsidRPr="002D35B8">
        <w:rPr>
          <w:b/>
          <w:bCs/>
          <w:kern w:val="2"/>
          <w:sz w:val="28"/>
          <w:szCs w:val="28"/>
        </w:rPr>
        <w:t>1.</w:t>
      </w:r>
      <w:r w:rsidR="00B31418" w:rsidRPr="002D35B8">
        <w:rPr>
          <w:rFonts w:hint="eastAsia"/>
          <w:b/>
          <w:bCs/>
          <w:kern w:val="2"/>
          <w:sz w:val="28"/>
          <w:szCs w:val="28"/>
        </w:rPr>
        <w:t>美国环保局人体健康风险评估</w:t>
      </w:r>
      <w:bookmarkEnd w:id="11"/>
    </w:p>
    <w:p w:rsidR="004D2F94" w:rsidRPr="00721B78" w:rsidRDefault="005F1D42"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美国国家环境保护总局（</w:t>
      </w:r>
      <w:r w:rsidRPr="00721B78">
        <w:rPr>
          <w:rFonts w:ascii="Times New Roman" w:eastAsiaTheme="minorEastAsia" w:hAnsi="Times New Roman"/>
          <w:kern w:val="2"/>
          <w:sz w:val="28"/>
          <w:szCs w:val="28"/>
        </w:rPr>
        <w:t>EPA</w:t>
      </w:r>
      <w:r w:rsidRPr="00721B78">
        <w:rPr>
          <w:rFonts w:ascii="Times New Roman" w:eastAsiaTheme="minorEastAsia" w:hAnsi="Times New Roman"/>
          <w:kern w:val="2"/>
          <w:sz w:val="28"/>
          <w:szCs w:val="28"/>
        </w:rPr>
        <w:t>以下简称</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美国环保局</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），自</w:t>
      </w:r>
      <w:r w:rsidRPr="00721B78">
        <w:rPr>
          <w:rFonts w:ascii="Times New Roman" w:eastAsiaTheme="minorEastAsia" w:hAnsi="Times New Roman"/>
          <w:kern w:val="2"/>
          <w:sz w:val="28"/>
          <w:szCs w:val="28"/>
        </w:rPr>
        <w:t>1975</w:t>
      </w:r>
      <w:r w:rsidRPr="00721B78">
        <w:rPr>
          <w:rFonts w:ascii="Times New Roman" w:eastAsiaTheme="minorEastAsia" w:hAnsi="Times New Roman"/>
          <w:kern w:val="2"/>
          <w:sz w:val="28"/>
          <w:szCs w:val="28"/>
        </w:rPr>
        <w:t>年起开展环境污染物风险评估工作并完成第一份风险评估文件，并于</w:t>
      </w:r>
      <w:r w:rsidRPr="00721B78">
        <w:rPr>
          <w:rFonts w:ascii="Times New Roman" w:eastAsiaTheme="minorEastAsia" w:hAnsi="Times New Roman"/>
          <w:kern w:val="2"/>
          <w:sz w:val="28"/>
          <w:szCs w:val="28"/>
        </w:rPr>
        <w:t>1976</w:t>
      </w:r>
      <w:r w:rsidRPr="00721B78">
        <w:rPr>
          <w:rFonts w:ascii="Times New Roman" w:eastAsiaTheme="minorEastAsia" w:hAnsi="Times New Roman"/>
          <w:kern w:val="2"/>
          <w:sz w:val="28"/>
          <w:szCs w:val="28"/>
        </w:rPr>
        <w:t>年通过了《可疑致癌物等健康风险和经济影响评价临时程序与原则》文件，形成了致癌物风险评估的一般性框架</w:t>
      </w:r>
      <w:r w:rsidR="00B05B97" w:rsidRPr="00721B78">
        <w:rPr>
          <w:rFonts w:ascii="Times New Roman" w:eastAsiaTheme="minorEastAsia" w:hAnsi="Times New Roman"/>
          <w:kern w:val="2"/>
          <w:sz w:val="28"/>
          <w:szCs w:val="28"/>
        </w:rPr>
        <w:t>。随后，</w:t>
      </w:r>
      <w:r w:rsidR="00B05B97" w:rsidRPr="00721B78">
        <w:rPr>
          <w:rFonts w:ascii="Times New Roman" w:eastAsiaTheme="minorEastAsia" w:hAnsi="Times New Roman"/>
          <w:kern w:val="2"/>
          <w:sz w:val="28"/>
          <w:szCs w:val="28"/>
        </w:rPr>
        <w:t>1983</w:t>
      </w:r>
      <w:r w:rsidR="00B05B97" w:rsidRPr="00721B78">
        <w:rPr>
          <w:rFonts w:ascii="Times New Roman" w:eastAsiaTheme="minorEastAsia" w:hAnsi="Times New Roman"/>
          <w:kern w:val="2"/>
          <w:sz w:val="28"/>
          <w:szCs w:val="28"/>
        </w:rPr>
        <w:t>年美国国家科学院发布了《联邦政府的风险评估：管理过程》</w:t>
      </w:r>
      <w:r w:rsidR="007C77A5" w:rsidRPr="00721B78">
        <w:rPr>
          <w:rFonts w:ascii="Times New Roman" w:eastAsiaTheme="minorEastAsia" w:hAnsi="Times New Roman"/>
          <w:kern w:val="2"/>
          <w:sz w:val="28"/>
          <w:szCs w:val="28"/>
        </w:rPr>
        <w:t>（</w:t>
      </w:r>
      <w:r w:rsidR="007C77A5" w:rsidRPr="00721B78">
        <w:rPr>
          <w:rFonts w:ascii="Times New Roman" w:eastAsiaTheme="minorEastAsia" w:hAnsi="Times New Roman"/>
          <w:kern w:val="2"/>
          <w:sz w:val="28"/>
          <w:szCs w:val="28"/>
        </w:rPr>
        <w:t>“</w:t>
      </w:r>
      <w:r w:rsidR="007C77A5" w:rsidRPr="00721B78">
        <w:rPr>
          <w:rFonts w:ascii="Times New Roman" w:eastAsiaTheme="minorEastAsia" w:hAnsi="Times New Roman"/>
          <w:kern w:val="2"/>
          <w:sz w:val="28"/>
          <w:szCs w:val="28"/>
        </w:rPr>
        <w:t>红皮书</w:t>
      </w:r>
      <w:r w:rsidR="007C77A5" w:rsidRPr="00721B78">
        <w:rPr>
          <w:rFonts w:ascii="Times New Roman" w:eastAsiaTheme="minorEastAsia" w:hAnsi="Times New Roman"/>
          <w:kern w:val="2"/>
          <w:sz w:val="28"/>
          <w:szCs w:val="28"/>
        </w:rPr>
        <w:t>”</w:t>
      </w:r>
      <w:r w:rsidR="007C77A5" w:rsidRPr="00721B78">
        <w:rPr>
          <w:rFonts w:ascii="Times New Roman" w:eastAsiaTheme="minorEastAsia" w:hAnsi="Times New Roman"/>
          <w:kern w:val="2"/>
          <w:sz w:val="28"/>
          <w:szCs w:val="28"/>
        </w:rPr>
        <w:t>），该文件提出的风险评估原则一直沿用至今，而美国环保局随后发布的《风险评估与管理：决策框架》，系统分析了评估过程的优缺点，并在风险评估中提出了合理的透明化替代方案。</w:t>
      </w:r>
      <w:r w:rsidR="004D2F94" w:rsidRPr="00721B78">
        <w:rPr>
          <w:rFonts w:ascii="Times New Roman" w:eastAsiaTheme="minorEastAsia" w:hAnsi="Times New Roman"/>
          <w:kern w:val="2"/>
          <w:sz w:val="28"/>
          <w:szCs w:val="28"/>
        </w:rPr>
        <w:t>同时期，美国环保局发布了综合风险信息系统，建立了环境中各种物质可能导致的人体健康效应的在线数据库。</w:t>
      </w:r>
      <w:r w:rsidR="00CB1702" w:rsidRPr="00721B78">
        <w:rPr>
          <w:rFonts w:ascii="Times New Roman" w:eastAsiaTheme="minorEastAsia" w:hAnsi="Times New Roman"/>
          <w:kern w:val="2"/>
          <w:sz w:val="28"/>
          <w:szCs w:val="28"/>
        </w:rPr>
        <w:t>在实践的基础上，</w:t>
      </w:r>
      <w:r w:rsidR="00CB1702" w:rsidRPr="00721B78">
        <w:rPr>
          <w:rFonts w:ascii="Times New Roman" w:eastAsiaTheme="minorEastAsia" w:hAnsi="Times New Roman"/>
          <w:kern w:val="2"/>
          <w:sz w:val="28"/>
          <w:szCs w:val="28"/>
        </w:rPr>
        <w:t>1995</w:t>
      </w:r>
      <w:r w:rsidR="00CB1702" w:rsidRPr="00721B78">
        <w:rPr>
          <w:rFonts w:ascii="Times New Roman" w:eastAsiaTheme="minorEastAsia" w:hAnsi="Times New Roman"/>
          <w:kern w:val="2"/>
          <w:sz w:val="28"/>
          <w:szCs w:val="28"/>
        </w:rPr>
        <w:t>年美国环保局更新并发布了</w:t>
      </w:r>
      <w:r w:rsidR="0057423A" w:rsidRPr="00721B78">
        <w:rPr>
          <w:rFonts w:ascii="Times New Roman" w:eastAsiaTheme="minorEastAsia" w:hAnsi="Times New Roman"/>
          <w:kern w:val="2"/>
          <w:sz w:val="28"/>
          <w:szCs w:val="28"/>
        </w:rPr>
        <w:t>《风险表征手册》</w:t>
      </w:r>
      <w:r w:rsidR="00CB1702" w:rsidRPr="00721B78">
        <w:rPr>
          <w:rFonts w:ascii="Times New Roman" w:eastAsiaTheme="minorEastAsia" w:hAnsi="Times New Roman"/>
          <w:kern w:val="2"/>
          <w:sz w:val="28"/>
          <w:szCs w:val="28"/>
        </w:rPr>
        <w:t>，</w:t>
      </w:r>
      <w:r w:rsidR="0057423A" w:rsidRPr="00721B78">
        <w:rPr>
          <w:rFonts w:ascii="Times New Roman" w:eastAsiaTheme="minorEastAsia" w:hAnsi="Times New Roman"/>
          <w:kern w:val="2"/>
          <w:sz w:val="28"/>
          <w:szCs w:val="28"/>
        </w:rPr>
        <w:t>将风险评估过程的透明和风险评估结果的清晰、一致和合理来实现有效的风险表征等内容纳入到了风险评估的全过程中。</w:t>
      </w:r>
      <w:r w:rsidR="0057423A" w:rsidRPr="00721B78">
        <w:rPr>
          <w:rFonts w:ascii="Times New Roman" w:eastAsiaTheme="minorEastAsia" w:hAnsi="Times New Roman"/>
          <w:kern w:val="2"/>
          <w:sz w:val="28"/>
          <w:szCs w:val="28"/>
        </w:rPr>
        <w:t>21</w:t>
      </w:r>
      <w:r w:rsidR="0057423A" w:rsidRPr="00721B78">
        <w:rPr>
          <w:rFonts w:ascii="Times New Roman" w:eastAsiaTheme="minorEastAsia" w:hAnsi="Times New Roman"/>
          <w:kern w:val="2"/>
          <w:sz w:val="28"/>
          <w:szCs w:val="28"/>
        </w:rPr>
        <w:t>世纪初期，美国环保局在进一步研究和实践基础上，发布了系列风险评估导则和政策文件，包括《风险表征政策》、《累积风</w:t>
      </w:r>
      <w:r w:rsidR="0057423A" w:rsidRPr="00721B78">
        <w:rPr>
          <w:rFonts w:ascii="Times New Roman" w:eastAsiaTheme="minorEastAsia" w:hAnsi="Times New Roman"/>
          <w:kern w:val="2"/>
          <w:sz w:val="28"/>
          <w:szCs w:val="28"/>
        </w:rPr>
        <w:lastRenderedPageBreak/>
        <w:t>险评估指南第一部分规划和范围》、《超级基金风险评估指南》、《美国环保局信息质量导则》、《评估科学和技术信息质量的一般评估因素摘要》等，并通过成立包括美国科学院、国会风险评估与风险管理委员会等组织形式，推动了环境风险评估在美国的全面落地实施。</w:t>
      </w:r>
      <w:r w:rsidR="00D23012" w:rsidRPr="00721B78">
        <w:rPr>
          <w:rFonts w:ascii="Times New Roman" w:eastAsiaTheme="minorEastAsia" w:hAnsi="Times New Roman"/>
          <w:kern w:val="2"/>
          <w:sz w:val="28"/>
          <w:szCs w:val="28"/>
        </w:rPr>
        <w:t>2009</w:t>
      </w:r>
      <w:r w:rsidR="00D23012" w:rsidRPr="00721B78">
        <w:rPr>
          <w:rFonts w:ascii="Times New Roman" w:eastAsiaTheme="minorEastAsia" w:hAnsi="Times New Roman"/>
          <w:kern w:val="2"/>
          <w:sz w:val="28"/>
          <w:szCs w:val="28"/>
        </w:rPr>
        <w:t>年《科学与决策：推进风险评估》（</w:t>
      </w:r>
      <w:r w:rsidR="00D23012" w:rsidRPr="00721B78">
        <w:rPr>
          <w:rFonts w:ascii="Times New Roman" w:eastAsiaTheme="minorEastAsia" w:hAnsi="Times New Roman"/>
          <w:kern w:val="2"/>
          <w:sz w:val="28"/>
          <w:szCs w:val="28"/>
        </w:rPr>
        <w:t>“</w:t>
      </w:r>
      <w:r w:rsidR="00D23012" w:rsidRPr="00721B78">
        <w:rPr>
          <w:rFonts w:ascii="Times New Roman" w:eastAsiaTheme="minorEastAsia" w:hAnsi="Times New Roman"/>
          <w:kern w:val="2"/>
          <w:sz w:val="28"/>
          <w:szCs w:val="28"/>
        </w:rPr>
        <w:t>银皮书</w:t>
      </w:r>
      <w:r w:rsidR="00D23012" w:rsidRPr="00721B78">
        <w:rPr>
          <w:rFonts w:ascii="Times New Roman" w:eastAsiaTheme="minorEastAsia" w:hAnsi="Times New Roman"/>
          <w:kern w:val="2"/>
          <w:sz w:val="28"/>
          <w:szCs w:val="28"/>
        </w:rPr>
        <w:t>”</w:t>
      </w:r>
      <w:r w:rsidR="00D23012" w:rsidRPr="00721B78">
        <w:rPr>
          <w:rFonts w:ascii="Times New Roman" w:eastAsiaTheme="minorEastAsia" w:hAnsi="Times New Roman"/>
          <w:kern w:val="2"/>
          <w:sz w:val="28"/>
          <w:szCs w:val="28"/>
        </w:rPr>
        <w:t>）更新了没搞过科学院的建议，改进了在决策过程中技术分析和风险评估技术的应用，并将风险评估视为评估各种管理方案的相对有点的方法，而不是最终目的本身这一概念纳入到了风险决策中。</w:t>
      </w:r>
      <w:r w:rsidR="00842673" w:rsidRPr="00721B78">
        <w:rPr>
          <w:rFonts w:ascii="Times New Roman" w:eastAsiaTheme="minorEastAsia" w:hAnsi="Times New Roman"/>
          <w:kern w:val="2"/>
          <w:sz w:val="28"/>
          <w:szCs w:val="28"/>
        </w:rPr>
        <w:t>美国环保总局随后吸纳了《银皮书》中的相关建议，制定了《人体健康风险评估框架》，并指导开展环境污染导致的人群健康风险评估工作。</w:t>
      </w:r>
    </w:p>
    <w:p w:rsidR="00903861" w:rsidRPr="00721B78" w:rsidRDefault="00606F58"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w:t>
      </w:r>
      <w:r w:rsidRPr="00721B78">
        <w:rPr>
          <w:rFonts w:ascii="Times New Roman" w:eastAsiaTheme="minorEastAsia" w:hAnsi="Times New Roman"/>
          <w:kern w:val="2"/>
          <w:sz w:val="28"/>
          <w:szCs w:val="28"/>
        </w:rPr>
        <w:t>40</w:t>
      </w:r>
      <w:r w:rsidRPr="00721B78">
        <w:rPr>
          <w:rFonts w:ascii="Times New Roman" w:eastAsiaTheme="minorEastAsia" w:hAnsi="Times New Roman"/>
          <w:kern w:val="2"/>
          <w:sz w:val="28"/>
          <w:szCs w:val="28"/>
        </w:rPr>
        <w:t>多年的实践过程中，美国环保局逐步建立了系统完善的人体健康风险评估技术体系，将其作为重要的环境管理决策工具，其主要由评估框架、专项技术导则或指南、基础技术方法和应用领域专门技术导则等</w:t>
      </w:r>
      <w:r w:rsidRPr="00721B78">
        <w:rPr>
          <w:rFonts w:ascii="Times New Roman" w:eastAsiaTheme="minorEastAsia" w:hAnsi="Times New Roman"/>
          <w:kern w:val="2"/>
          <w:sz w:val="28"/>
          <w:szCs w:val="28"/>
        </w:rPr>
        <w:t>4</w:t>
      </w:r>
      <w:r w:rsidRPr="00721B78">
        <w:rPr>
          <w:rFonts w:ascii="Times New Roman" w:eastAsiaTheme="minorEastAsia" w:hAnsi="Times New Roman"/>
          <w:kern w:val="2"/>
          <w:sz w:val="28"/>
          <w:szCs w:val="28"/>
        </w:rPr>
        <w:t>类文件构成。</w:t>
      </w:r>
    </w:p>
    <w:p w:rsidR="00E7589D" w:rsidRPr="00721B78" w:rsidRDefault="003C1A9F"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整个美国环保局风险评估体系中，最为主要的内容包括：以基本框架要求的支撑决策的风险评估关键过程，以及风险评估主要过程的技术指南和导则。第一部分内容强调了在风险评估过程中制定计划、确定范围、制定问题等前期工作的重要性，要求形成对最终目标有支撑作用的风险评估方案，明确风险评估涉及的人员、范围、相关技术、预期产出等。风险评估部分主要包括了暴露和效应评估、风险表征三大核心部分内容。</w:t>
      </w:r>
      <w:r w:rsidR="004424B9" w:rsidRPr="00721B78">
        <w:rPr>
          <w:rFonts w:ascii="Times New Roman" w:eastAsiaTheme="minorEastAsia" w:hAnsi="Times New Roman"/>
          <w:kern w:val="2"/>
          <w:sz w:val="28"/>
          <w:szCs w:val="28"/>
        </w:rPr>
        <w:t>风险评估框架中明确规范了污染风险评估的程序和内容，将风险评估过程划分为制定方案和确定范围、形成问题、暴露</w:t>
      </w:r>
      <w:r w:rsidR="004424B9" w:rsidRPr="00721B78">
        <w:rPr>
          <w:rFonts w:ascii="Times New Roman" w:eastAsiaTheme="minorEastAsia" w:hAnsi="Times New Roman"/>
          <w:kern w:val="2"/>
          <w:sz w:val="28"/>
          <w:szCs w:val="28"/>
        </w:rPr>
        <w:lastRenderedPageBreak/>
        <w:t>评估、效应评估、风险表征等部分，系统性地整合了各个专项技术导则。在风险评估基本框架的总体要求下，专项技术导则包括发育毒性健康风险评估导则》、《生殖毒性风险评估导则》、《神经毒性风险评估导则》、《致癌物风险评估导则》、《致突变性风险评估导则》、《暴露评估指南》、《儿童环境暴露健康风险评估框架》等分别对剂量</w:t>
      </w:r>
      <w:r w:rsidR="004424B9" w:rsidRPr="00721B78">
        <w:rPr>
          <w:rFonts w:ascii="Times New Roman" w:eastAsiaTheme="minorEastAsia" w:hAnsi="Times New Roman"/>
          <w:kern w:val="2"/>
          <w:sz w:val="28"/>
          <w:szCs w:val="28"/>
        </w:rPr>
        <w:t>-</w:t>
      </w:r>
      <w:r w:rsidR="004424B9" w:rsidRPr="00721B78">
        <w:rPr>
          <w:rFonts w:ascii="Times New Roman" w:eastAsiaTheme="minorEastAsia" w:hAnsi="Times New Roman"/>
          <w:kern w:val="2"/>
          <w:sz w:val="28"/>
          <w:szCs w:val="28"/>
        </w:rPr>
        <w:t>效应评估、暴露评估和风险表征等具体方面进行了进一步的细致化规范。</w:t>
      </w:r>
      <w:r w:rsidR="00693975" w:rsidRPr="00721B78">
        <w:rPr>
          <w:rFonts w:ascii="Times New Roman" w:eastAsiaTheme="minorEastAsia" w:hAnsi="Times New Roman"/>
          <w:kern w:val="2"/>
          <w:sz w:val="28"/>
          <w:szCs w:val="28"/>
        </w:rPr>
        <w:t>针对风险评估过程中应用的各类技术方法、参数指标等，</w:t>
      </w:r>
      <w:r w:rsidR="00392C33" w:rsidRPr="00721B78">
        <w:rPr>
          <w:rFonts w:ascii="Times New Roman" w:eastAsiaTheme="minorEastAsia" w:hAnsi="Times New Roman"/>
          <w:kern w:val="2"/>
          <w:sz w:val="28"/>
          <w:szCs w:val="28"/>
        </w:rPr>
        <w:t>美国环保局发布了一系列基础技术方法标准文件，包括《暴露参数手册》、《蒙特卡洛分析指导性原则》、《暴露评估中的不确定性表征和交流指南》、《参考剂量和参考浓度审查程序》、《基准剂量技术指南》、《风险评估中的概率分析》等。同时，为确保风险评估在具体业务领域的应用，美国环保局针对具体风险管理措施制定了专门的应用型指南，指导如何使用风险评估工具形成管理和决策性标准文件。具体的应用指南性文件包括</w:t>
      </w:r>
      <w:r w:rsidR="00E91F3A" w:rsidRPr="00721B78">
        <w:rPr>
          <w:rFonts w:ascii="Times New Roman" w:eastAsiaTheme="minorEastAsia" w:hAnsi="Times New Roman"/>
          <w:kern w:val="2"/>
          <w:sz w:val="28"/>
          <w:szCs w:val="28"/>
        </w:rPr>
        <w:t>推导保护人体健康水质基准方法学技术支持文件第</w:t>
      </w:r>
      <w:r w:rsidR="00E91F3A" w:rsidRPr="00721B78">
        <w:rPr>
          <w:rFonts w:ascii="Times New Roman" w:eastAsiaTheme="minorEastAsia" w:hAnsi="Times New Roman"/>
          <w:kern w:val="2"/>
          <w:sz w:val="28"/>
          <w:szCs w:val="28"/>
        </w:rPr>
        <w:t xml:space="preserve"> 1 </w:t>
      </w:r>
      <w:r w:rsidR="00E91F3A" w:rsidRPr="00721B78">
        <w:rPr>
          <w:rFonts w:ascii="Times New Roman" w:eastAsiaTheme="minorEastAsia" w:hAnsi="Times New Roman"/>
          <w:kern w:val="2"/>
          <w:sz w:val="28"/>
          <w:szCs w:val="28"/>
        </w:rPr>
        <w:t>卷：风险评价》、《推导保护人体健康水质基准方法学技术支持文件第</w:t>
      </w:r>
      <w:r w:rsidR="00E91F3A" w:rsidRPr="00721B78">
        <w:rPr>
          <w:rFonts w:ascii="Times New Roman" w:eastAsiaTheme="minorEastAsia" w:hAnsi="Times New Roman"/>
          <w:kern w:val="2"/>
          <w:sz w:val="28"/>
          <w:szCs w:val="28"/>
        </w:rPr>
        <w:t xml:space="preserve"> 2 </w:t>
      </w:r>
      <w:r w:rsidR="00E91F3A" w:rsidRPr="00721B78">
        <w:rPr>
          <w:rFonts w:ascii="Times New Roman" w:eastAsiaTheme="minorEastAsia" w:hAnsi="Times New Roman"/>
          <w:kern w:val="2"/>
          <w:sz w:val="28"/>
          <w:szCs w:val="28"/>
        </w:rPr>
        <w:t>卷：国家生物累积系数的推导》、《化学残留试验指南》、《健康效应试验指南》、《职业和居民暴露测试指南》、《生化试验指南》、《微生物农药试验指南》、《内分泌干扰物筛选程序测试指南》等</w:t>
      </w:r>
      <w:r w:rsidR="00F91F66" w:rsidRPr="00721B78">
        <w:rPr>
          <w:rFonts w:ascii="Times New Roman" w:eastAsiaTheme="minorEastAsia" w:hAnsi="Times New Roman"/>
          <w:kern w:val="2"/>
          <w:sz w:val="28"/>
          <w:szCs w:val="28"/>
        </w:rPr>
        <w:t>，对将风险评估方法实际应用到各行业中起到了重要推动作用。</w:t>
      </w:r>
    </w:p>
    <w:p w:rsidR="00E7589D" w:rsidRPr="002D35B8" w:rsidRDefault="0044664C" w:rsidP="00080BD7">
      <w:pPr>
        <w:pStyle w:val="ac"/>
        <w:spacing w:before="0" w:beforeAutospacing="0" w:after="0" w:afterAutospacing="0" w:line="360" w:lineRule="auto"/>
        <w:ind w:firstLineChars="200" w:firstLine="562"/>
        <w:jc w:val="both"/>
        <w:outlineLvl w:val="2"/>
        <w:rPr>
          <w:b/>
          <w:bCs/>
          <w:kern w:val="2"/>
          <w:sz w:val="28"/>
          <w:szCs w:val="28"/>
        </w:rPr>
      </w:pPr>
      <w:bookmarkStart w:id="12" w:name="_Toc119660570"/>
      <w:r w:rsidRPr="002D35B8">
        <w:rPr>
          <w:b/>
          <w:bCs/>
          <w:kern w:val="2"/>
          <w:sz w:val="28"/>
          <w:szCs w:val="28"/>
        </w:rPr>
        <w:t>2.</w:t>
      </w:r>
      <w:r w:rsidR="00F94947" w:rsidRPr="002D35B8">
        <w:rPr>
          <w:rFonts w:hint="eastAsia"/>
          <w:b/>
          <w:bCs/>
          <w:kern w:val="2"/>
          <w:sz w:val="28"/>
          <w:szCs w:val="28"/>
        </w:rPr>
        <w:t>欧盟风险评价体系</w:t>
      </w:r>
      <w:bookmarkEnd w:id="12"/>
    </w:p>
    <w:p w:rsidR="00F94947" w:rsidRPr="00721B78" w:rsidRDefault="009B0502"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欧盟风险评价体系（</w:t>
      </w:r>
      <w:r w:rsidRPr="00721B78">
        <w:rPr>
          <w:rFonts w:ascii="Times New Roman" w:eastAsiaTheme="minorEastAsia" w:hAnsi="Times New Roman"/>
          <w:kern w:val="2"/>
          <w:sz w:val="28"/>
          <w:szCs w:val="28"/>
        </w:rPr>
        <w:t>European Union System for the Evaluation of Substance</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EUSES</w:t>
      </w:r>
      <w:r w:rsidRPr="00721B78">
        <w:rPr>
          <w:rFonts w:ascii="Times New Roman" w:eastAsiaTheme="minorEastAsia" w:hAnsi="Times New Roman"/>
          <w:kern w:val="2"/>
          <w:sz w:val="28"/>
          <w:szCs w:val="28"/>
        </w:rPr>
        <w:t>）中，</w:t>
      </w:r>
      <w:r w:rsidR="009556A0" w:rsidRPr="00721B78">
        <w:rPr>
          <w:rFonts w:ascii="Times New Roman" w:eastAsiaTheme="minorEastAsia" w:hAnsi="Times New Roman"/>
          <w:kern w:val="2"/>
          <w:sz w:val="28"/>
          <w:szCs w:val="28"/>
        </w:rPr>
        <w:t>将风险评估对象主要</w:t>
      </w:r>
      <w:r w:rsidRPr="00721B78">
        <w:rPr>
          <w:rFonts w:ascii="Times New Roman" w:eastAsiaTheme="minorEastAsia" w:hAnsi="Times New Roman"/>
          <w:kern w:val="2"/>
          <w:sz w:val="28"/>
          <w:szCs w:val="28"/>
        </w:rPr>
        <w:t>分为人类健康和生态环</w:t>
      </w:r>
      <w:r w:rsidRPr="00721B78">
        <w:rPr>
          <w:rFonts w:ascii="Times New Roman" w:eastAsiaTheme="minorEastAsia" w:hAnsi="Times New Roman"/>
          <w:kern w:val="2"/>
          <w:sz w:val="28"/>
          <w:szCs w:val="28"/>
        </w:rPr>
        <w:lastRenderedPageBreak/>
        <w:t>境。</w:t>
      </w:r>
      <w:r w:rsidR="009556A0" w:rsidRPr="00721B78">
        <w:rPr>
          <w:rFonts w:ascii="Times New Roman" w:eastAsiaTheme="minorEastAsia" w:hAnsi="Times New Roman"/>
          <w:kern w:val="2"/>
          <w:sz w:val="28"/>
          <w:szCs w:val="28"/>
        </w:rPr>
        <w:t>体系中包括了</w:t>
      </w:r>
      <w:r w:rsidRPr="00721B78">
        <w:rPr>
          <w:rFonts w:ascii="Times New Roman" w:eastAsiaTheme="minorEastAsia" w:hAnsi="Times New Roman"/>
          <w:kern w:val="2"/>
          <w:sz w:val="28"/>
          <w:szCs w:val="28"/>
        </w:rPr>
        <w:t>通过化学物质的物理化学性质和危害性数据进行风险</w:t>
      </w:r>
      <w:r w:rsidR="009556A0" w:rsidRPr="00721B78">
        <w:rPr>
          <w:rFonts w:ascii="Times New Roman" w:eastAsiaTheme="minorEastAsia" w:hAnsi="Times New Roman"/>
          <w:kern w:val="2"/>
          <w:sz w:val="28"/>
          <w:szCs w:val="28"/>
        </w:rPr>
        <w:t>评估，基于物质的生命周期过程推算</w:t>
      </w:r>
      <w:r w:rsidRPr="00721B78">
        <w:rPr>
          <w:rFonts w:ascii="Times New Roman" w:eastAsiaTheme="minorEastAsia" w:hAnsi="Times New Roman"/>
          <w:kern w:val="2"/>
          <w:sz w:val="28"/>
          <w:szCs w:val="28"/>
        </w:rPr>
        <w:t>化学物质的排放</w:t>
      </w:r>
      <w:r w:rsidR="009556A0" w:rsidRPr="00721B78">
        <w:rPr>
          <w:rFonts w:ascii="Times New Roman" w:eastAsiaTheme="minorEastAsia" w:hAnsi="Times New Roman"/>
          <w:kern w:val="2"/>
          <w:sz w:val="28"/>
          <w:szCs w:val="28"/>
        </w:rPr>
        <w:t>，通过</w:t>
      </w:r>
      <w:r w:rsidRPr="00721B78">
        <w:rPr>
          <w:rFonts w:ascii="Times New Roman" w:eastAsiaTheme="minorEastAsia" w:hAnsi="Times New Roman"/>
          <w:kern w:val="2"/>
          <w:sz w:val="28"/>
          <w:szCs w:val="28"/>
        </w:rPr>
        <w:t>职业暴露估算、消费者暴露估算、间接人类暴露量估算和经由食物链</w:t>
      </w:r>
      <w:r w:rsidR="009556A0" w:rsidRPr="00721B78">
        <w:rPr>
          <w:rFonts w:ascii="Times New Roman" w:eastAsiaTheme="minorEastAsia" w:hAnsi="Times New Roman"/>
          <w:kern w:val="2"/>
          <w:sz w:val="28"/>
          <w:szCs w:val="28"/>
        </w:rPr>
        <w:t>进行</w:t>
      </w:r>
      <w:r w:rsidRPr="00721B78">
        <w:rPr>
          <w:rFonts w:ascii="Times New Roman" w:eastAsiaTheme="minorEastAsia" w:hAnsi="Times New Roman"/>
          <w:kern w:val="2"/>
          <w:sz w:val="28"/>
          <w:szCs w:val="28"/>
        </w:rPr>
        <w:t>健康风险评价</w:t>
      </w:r>
      <w:r w:rsidR="009556A0" w:rsidRPr="00721B78">
        <w:rPr>
          <w:rFonts w:ascii="Times New Roman" w:eastAsiaTheme="minorEastAsia" w:hAnsi="Times New Roman"/>
          <w:kern w:val="2"/>
          <w:sz w:val="28"/>
          <w:szCs w:val="28"/>
        </w:rPr>
        <w:t>等相关内容</w:t>
      </w:r>
      <w:r w:rsidRPr="00721B78">
        <w:rPr>
          <w:rFonts w:ascii="Times New Roman" w:eastAsiaTheme="minorEastAsia" w:hAnsi="Times New Roman"/>
          <w:kern w:val="2"/>
          <w:sz w:val="28"/>
          <w:szCs w:val="28"/>
        </w:rPr>
        <w:t>。</w:t>
      </w:r>
      <w:r w:rsidR="009556A0" w:rsidRPr="00721B78">
        <w:rPr>
          <w:rFonts w:ascii="Times New Roman" w:eastAsiaTheme="minorEastAsia" w:hAnsi="Times New Roman"/>
          <w:kern w:val="2"/>
          <w:sz w:val="28"/>
          <w:szCs w:val="28"/>
        </w:rPr>
        <w:t>其主要文件包括</w:t>
      </w:r>
      <w:r w:rsidRPr="00721B78">
        <w:rPr>
          <w:rFonts w:ascii="Times New Roman" w:eastAsiaTheme="minorEastAsia" w:hAnsi="Times New Roman"/>
          <w:kern w:val="2"/>
          <w:sz w:val="28"/>
          <w:szCs w:val="28"/>
        </w:rPr>
        <w:t>《欧盟</w:t>
      </w:r>
      <w:r w:rsidRPr="00721B78">
        <w:rPr>
          <w:rFonts w:ascii="Times New Roman" w:eastAsiaTheme="minorEastAsia" w:hAnsi="Times New Roman"/>
          <w:kern w:val="2"/>
          <w:sz w:val="28"/>
          <w:szCs w:val="28"/>
        </w:rPr>
        <w:t xml:space="preserve"> REACH </w:t>
      </w:r>
      <w:r w:rsidRPr="00721B78">
        <w:rPr>
          <w:rFonts w:ascii="Times New Roman" w:eastAsiaTheme="minorEastAsia" w:hAnsi="Times New Roman"/>
          <w:kern w:val="2"/>
          <w:sz w:val="28"/>
          <w:szCs w:val="28"/>
        </w:rPr>
        <w:t>法规实施指南》</w:t>
      </w:r>
      <w:r w:rsidR="009556A0" w:rsidRPr="00721B78">
        <w:rPr>
          <w:rFonts w:ascii="Times New Roman" w:eastAsiaTheme="minorEastAsia" w:hAnsi="Times New Roman"/>
          <w:kern w:val="2"/>
          <w:sz w:val="28"/>
          <w:szCs w:val="28"/>
        </w:rPr>
        <w:t>中</w:t>
      </w:r>
      <w:r w:rsidRPr="00721B78">
        <w:rPr>
          <w:rFonts w:ascii="Times New Roman" w:eastAsiaTheme="minorEastAsia" w:hAnsi="Times New Roman"/>
          <w:kern w:val="2"/>
          <w:sz w:val="28"/>
          <w:szCs w:val="28"/>
        </w:rPr>
        <w:t>《信息要求与化学安全评估指南》</w:t>
      </w:r>
      <w:r w:rsidR="009556A0" w:rsidRPr="00721B78">
        <w:rPr>
          <w:rFonts w:ascii="Times New Roman" w:eastAsiaTheme="minorEastAsia" w:hAnsi="Times New Roman"/>
          <w:kern w:val="2"/>
          <w:sz w:val="28"/>
          <w:szCs w:val="28"/>
        </w:rPr>
        <w:t>的相关内容</w:t>
      </w:r>
      <w:r w:rsidRPr="00721B78">
        <w:rPr>
          <w:rFonts w:ascii="Times New Roman" w:eastAsiaTheme="minorEastAsia" w:hAnsi="Times New Roman"/>
          <w:kern w:val="2"/>
          <w:sz w:val="28"/>
          <w:szCs w:val="28"/>
        </w:rPr>
        <w:t>，该技术指南仅</w:t>
      </w:r>
      <w:r w:rsidR="009556A0" w:rsidRPr="00721B78">
        <w:rPr>
          <w:rFonts w:ascii="Times New Roman" w:eastAsiaTheme="minorEastAsia" w:hAnsi="Times New Roman"/>
          <w:kern w:val="2"/>
          <w:sz w:val="28"/>
          <w:szCs w:val="28"/>
        </w:rPr>
        <w:t>规范了</w:t>
      </w:r>
      <w:r w:rsidRPr="00721B78">
        <w:rPr>
          <w:rFonts w:ascii="Times New Roman" w:eastAsiaTheme="minorEastAsia" w:hAnsi="Times New Roman"/>
          <w:kern w:val="2"/>
          <w:sz w:val="28"/>
          <w:szCs w:val="28"/>
        </w:rPr>
        <w:t>化学物质的风险管理。总体而言，欧盟的风险评价主要从化学物质的</w:t>
      </w:r>
      <w:r w:rsidR="00846EDE" w:rsidRPr="00721B78">
        <w:rPr>
          <w:rFonts w:ascii="Times New Roman" w:eastAsiaTheme="minorEastAsia" w:hAnsi="Times New Roman"/>
          <w:kern w:val="2"/>
          <w:sz w:val="28"/>
          <w:szCs w:val="28"/>
        </w:rPr>
        <w:t>全生命周期管理出发，强调了在其生产、使用和处置过程中的评估</w:t>
      </w:r>
      <w:r w:rsidRPr="00721B78">
        <w:rPr>
          <w:rFonts w:ascii="Times New Roman" w:eastAsiaTheme="minorEastAsia" w:hAnsi="Times New Roman"/>
          <w:kern w:val="2"/>
          <w:sz w:val="28"/>
          <w:szCs w:val="28"/>
        </w:rPr>
        <w:t>。</w:t>
      </w:r>
    </w:p>
    <w:p w:rsidR="00F94947" w:rsidRPr="002D35B8" w:rsidRDefault="00F94947" w:rsidP="00080BD7">
      <w:pPr>
        <w:pStyle w:val="ac"/>
        <w:spacing w:before="0" w:beforeAutospacing="0" w:after="0" w:afterAutospacing="0" w:line="360" w:lineRule="auto"/>
        <w:ind w:firstLineChars="200" w:firstLine="562"/>
        <w:jc w:val="both"/>
        <w:outlineLvl w:val="2"/>
        <w:rPr>
          <w:b/>
          <w:bCs/>
          <w:kern w:val="2"/>
          <w:sz w:val="28"/>
          <w:szCs w:val="28"/>
        </w:rPr>
      </w:pPr>
      <w:bookmarkStart w:id="13" w:name="_Toc119660571"/>
      <w:r w:rsidRPr="002D35B8">
        <w:rPr>
          <w:b/>
          <w:bCs/>
          <w:kern w:val="2"/>
          <w:sz w:val="28"/>
          <w:szCs w:val="28"/>
        </w:rPr>
        <w:t>3</w:t>
      </w:r>
      <w:r w:rsidR="0044664C" w:rsidRPr="002D35B8">
        <w:rPr>
          <w:b/>
          <w:bCs/>
          <w:kern w:val="2"/>
          <w:sz w:val="28"/>
          <w:szCs w:val="28"/>
        </w:rPr>
        <w:t>.</w:t>
      </w:r>
      <w:r w:rsidRPr="002D35B8">
        <w:rPr>
          <w:rFonts w:hint="eastAsia"/>
          <w:b/>
          <w:bCs/>
          <w:kern w:val="2"/>
          <w:sz w:val="28"/>
          <w:szCs w:val="28"/>
        </w:rPr>
        <w:t>联合国人体健康风险评估框架</w:t>
      </w:r>
      <w:bookmarkEnd w:id="13"/>
    </w:p>
    <w:p w:rsidR="004A7106" w:rsidRPr="00721B78" w:rsidRDefault="00B84048"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世界卫生组织（</w:t>
      </w:r>
      <w:r w:rsidRPr="00721B78">
        <w:rPr>
          <w:rFonts w:ascii="Times New Roman" w:eastAsiaTheme="minorEastAsia" w:hAnsi="Times New Roman"/>
          <w:kern w:val="2"/>
          <w:sz w:val="28"/>
          <w:szCs w:val="28"/>
        </w:rPr>
        <w:t>World Health Organization</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WHO</w:t>
      </w:r>
      <w:r w:rsidRPr="00721B78">
        <w:rPr>
          <w:rFonts w:ascii="Times New Roman" w:eastAsiaTheme="minorEastAsia" w:hAnsi="Times New Roman"/>
          <w:kern w:val="2"/>
          <w:sz w:val="28"/>
          <w:szCs w:val="28"/>
        </w:rPr>
        <w:t>）的国际化学品安全规划署（</w:t>
      </w:r>
      <w:r w:rsidRPr="00721B78">
        <w:rPr>
          <w:rFonts w:ascii="Times New Roman" w:eastAsiaTheme="minorEastAsia" w:hAnsi="Times New Roman"/>
          <w:kern w:val="2"/>
          <w:sz w:val="28"/>
          <w:szCs w:val="28"/>
        </w:rPr>
        <w:t>International Programme on Chemical Safety</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IPCS</w:t>
      </w:r>
      <w:r w:rsidRPr="00721B78">
        <w:rPr>
          <w:rFonts w:ascii="Times New Roman" w:eastAsiaTheme="minorEastAsia" w:hAnsi="Times New Roman"/>
          <w:kern w:val="2"/>
          <w:sz w:val="28"/>
          <w:szCs w:val="28"/>
        </w:rPr>
        <w:t>）在风险评价领域开展了大量的工作，形成了一系列与风险评估相关</w:t>
      </w:r>
      <w:r w:rsidR="00E84151" w:rsidRPr="00721B78">
        <w:rPr>
          <w:rFonts w:ascii="Times New Roman" w:eastAsiaTheme="minorEastAsia" w:hAnsi="Times New Roman"/>
          <w:kern w:val="2"/>
          <w:sz w:val="28"/>
          <w:szCs w:val="28"/>
        </w:rPr>
        <w:t>的框架体系和技术文件，主要针对了化学性物质和食品安全管理两个领域。</w:t>
      </w:r>
      <w:r w:rsidR="004A7106" w:rsidRPr="00721B78">
        <w:rPr>
          <w:rFonts w:ascii="Times New Roman" w:eastAsiaTheme="minorEastAsia" w:hAnsi="Times New Roman"/>
          <w:kern w:val="2"/>
          <w:sz w:val="28"/>
          <w:szCs w:val="28"/>
        </w:rPr>
        <w:t>世界卫生组织的风险评估体系中主要包含了</w:t>
      </w:r>
      <w:r w:rsidR="00B42660" w:rsidRPr="00721B78">
        <w:rPr>
          <w:rFonts w:ascii="Times New Roman" w:eastAsiaTheme="minorEastAsia" w:hAnsi="Times New Roman"/>
          <w:kern w:val="2"/>
          <w:sz w:val="28"/>
          <w:szCs w:val="28"/>
        </w:rPr>
        <w:t>框架性文件、</w:t>
      </w:r>
      <w:r w:rsidR="00FA0FE2" w:rsidRPr="00721B78">
        <w:rPr>
          <w:rFonts w:ascii="Times New Roman" w:eastAsiaTheme="minorEastAsia" w:hAnsi="Times New Roman"/>
          <w:kern w:val="2"/>
          <w:sz w:val="28"/>
          <w:szCs w:val="28"/>
        </w:rPr>
        <w:t>术语和定义性文件以及专项技术文件。框架性文件主要为</w:t>
      </w:r>
      <w:r w:rsidR="00FA0FE2" w:rsidRPr="00721B78">
        <w:rPr>
          <w:rFonts w:ascii="Times New Roman" w:eastAsiaTheme="minorEastAsia" w:hAnsi="Times New Roman"/>
          <w:kern w:val="2"/>
          <w:sz w:val="28"/>
          <w:szCs w:val="28"/>
        </w:rPr>
        <w:t>1999</w:t>
      </w:r>
      <w:r w:rsidR="00FA0FE2" w:rsidRPr="00721B78">
        <w:rPr>
          <w:rFonts w:ascii="Times New Roman" w:eastAsiaTheme="minorEastAsia" w:hAnsi="Times New Roman"/>
          <w:kern w:val="2"/>
          <w:sz w:val="28"/>
          <w:szCs w:val="28"/>
        </w:rPr>
        <w:t>年发布的《化学物质暴露致人体健康风险评估原则》，该文件规定了化学物质健康风险评估的框架、评估内容、方法和要求。术语和定义性文件包括《化学物质危害</w:t>
      </w:r>
      <w:r w:rsidR="00FA0FE2" w:rsidRPr="00721B78">
        <w:rPr>
          <w:rFonts w:ascii="Times New Roman" w:eastAsiaTheme="minorEastAsia" w:hAnsi="Times New Roman"/>
          <w:kern w:val="2"/>
          <w:sz w:val="28"/>
          <w:szCs w:val="28"/>
        </w:rPr>
        <w:t>/</w:t>
      </w:r>
      <w:r w:rsidR="00FA0FE2" w:rsidRPr="00721B78">
        <w:rPr>
          <w:rFonts w:ascii="Times New Roman" w:eastAsiaTheme="minorEastAsia" w:hAnsi="Times New Roman"/>
          <w:kern w:val="2"/>
          <w:sz w:val="28"/>
          <w:szCs w:val="28"/>
        </w:rPr>
        <w:t>风险评估通用术语》和《暴露评估关键术语表》，其统一了风险评估项目中风险评估和暴露评估的术语及其定义。</w:t>
      </w:r>
      <w:r w:rsidR="00E93ED4" w:rsidRPr="00721B78">
        <w:rPr>
          <w:rFonts w:ascii="Times New Roman" w:eastAsiaTheme="minorEastAsia" w:hAnsi="Times New Roman"/>
          <w:kern w:val="2"/>
          <w:sz w:val="28"/>
          <w:szCs w:val="28"/>
        </w:rPr>
        <w:t>专项技术指南主要包括危害评估和暴露评估两个方面所涉及的一系列技术文件，包括</w:t>
      </w:r>
      <w:r w:rsidR="00CD2DE1" w:rsidRPr="00721B78">
        <w:rPr>
          <w:rFonts w:ascii="Times New Roman" w:eastAsiaTheme="minorEastAsia" w:hAnsi="Times New Roman"/>
          <w:kern w:val="2"/>
          <w:sz w:val="28"/>
          <w:szCs w:val="28"/>
        </w:rPr>
        <w:t>《化学物质毒性评估的原则和方法》、《化学物质暴露相关的过敏性超敏反应的评估原则和方法》、《化学物质神经毒性综合评估方法》、</w:t>
      </w:r>
      <w:r w:rsidR="00CD2DE1" w:rsidRPr="00721B78">
        <w:rPr>
          <w:rFonts w:ascii="Times New Roman" w:eastAsiaTheme="minorEastAsia" w:hAnsi="Times New Roman"/>
          <w:kern w:val="2"/>
          <w:sz w:val="28"/>
          <w:szCs w:val="28"/>
        </w:rPr>
        <w:lastRenderedPageBreak/>
        <w:t>《化学物质暴露相关的生殖健康风险的评估原则》、</w:t>
      </w:r>
      <w:r w:rsidR="00980678" w:rsidRPr="00721B78">
        <w:rPr>
          <w:rFonts w:ascii="Times New Roman" w:eastAsiaTheme="minorEastAsia" w:hAnsi="Times New Roman"/>
          <w:kern w:val="2"/>
          <w:sz w:val="28"/>
          <w:szCs w:val="28"/>
        </w:rPr>
        <w:t>《化学物质暴露相关的自身免疫的评估原则》、《表征和应用人体暴露模型的原则》、《人体暴露评估》等。</w:t>
      </w:r>
      <w:r w:rsidR="00DD3F22" w:rsidRPr="00721B78">
        <w:rPr>
          <w:rFonts w:ascii="Times New Roman" w:eastAsiaTheme="minorEastAsia" w:hAnsi="Times New Roman"/>
          <w:kern w:val="2"/>
          <w:sz w:val="28"/>
          <w:szCs w:val="28"/>
        </w:rPr>
        <w:t>危害评估文件主要论述了化学物质暴露致人体神经毒性、肾毒性、直接免疫毒性、过敏性超敏反应、生殖毒性、自身免疫毒性、免疫毒性、皮肤过敏等评估原则和方法。暴露评估文件主要规定了暴露评估的原则、方法、数据、模型、不确定性分析等等相关内容。此外，整个体系中还补充了在具体应用方面的应用性指南，包括食品中食品添加剂和污染物安全评估原则》、《食品中农药残留毒理学评估原则》、《重要微量元素的风险评估原则和方法》、《食品中化学品风险评估的原则和方法》等技术文件。</w:t>
      </w:r>
    </w:p>
    <w:p w:rsidR="00F94947"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14" w:name="_Toc119660572"/>
      <w:r w:rsidRPr="002D35B8">
        <w:rPr>
          <w:rFonts w:hint="eastAsia"/>
          <w:b/>
          <w:kern w:val="2"/>
          <w:sz w:val="28"/>
          <w:szCs w:val="28"/>
        </w:rPr>
        <w:t>（二）</w:t>
      </w:r>
      <w:r w:rsidR="00B3074D" w:rsidRPr="002D35B8">
        <w:rPr>
          <w:rFonts w:hint="eastAsia"/>
          <w:b/>
          <w:kern w:val="2"/>
          <w:sz w:val="28"/>
          <w:szCs w:val="28"/>
        </w:rPr>
        <w:t>国内相关标准</w:t>
      </w:r>
      <w:bookmarkEnd w:id="14"/>
    </w:p>
    <w:p w:rsidR="00B3294D" w:rsidRPr="00721B78" w:rsidRDefault="00B3294D"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我国已经发布的人体健康风险评估相关标准</w:t>
      </w:r>
      <w:r w:rsidR="000135D6" w:rsidRPr="00721B78">
        <w:rPr>
          <w:rFonts w:ascii="Times New Roman" w:eastAsiaTheme="minorEastAsia" w:hAnsi="Times New Roman"/>
          <w:kern w:val="2"/>
          <w:sz w:val="28"/>
          <w:szCs w:val="28"/>
        </w:rPr>
        <w:t>如表</w:t>
      </w:r>
      <w:r w:rsidR="000135D6" w:rsidRPr="00721B78">
        <w:rPr>
          <w:rFonts w:ascii="Times New Roman" w:eastAsiaTheme="minorEastAsia" w:hAnsi="Times New Roman"/>
          <w:kern w:val="2"/>
          <w:sz w:val="28"/>
          <w:szCs w:val="28"/>
        </w:rPr>
        <w:t>3</w:t>
      </w:r>
      <w:r w:rsidRPr="00721B78">
        <w:rPr>
          <w:rFonts w:ascii="Times New Roman" w:eastAsiaTheme="minorEastAsia" w:hAnsi="Times New Roman"/>
          <w:kern w:val="2"/>
          <w:sz w:val="28"/>
          <w:szCs w:val="28"/>
        </w:rPr>
        <w:t>-1</w:t>
      </w:r>
      <w:r w:rsidR="009F2218" w:rsidRPr="00721B78">
        <w:rPr>
          <w:rFonts w:ascii="Times New Roman" w:eastAsiaTheme="minorEastAsia" w:hAnsi="Times New Roman"/>
          <w:kern w:val="2"/>
          <w:sz w:val="28"/>
          <w:szCs w:val="28"/>
        </w:rPr>
        <w:t>所示</w:t>
      </w:r>
      <w:r w:rsidRPr="00721B78">
        <w:rPr>
          <w:rFonts w:ascii="Times New Roman" w:eastAsiaTheme="minorEastAsia" w:hAnsi="Times New Roman"/>
          <w:kern w:val="2"/>
          <w:sz w:val="28"/>
          <w:szCs w:val="28"/>
        </w:rPr>
        <w:t>，</w:t>
      </w:r>
      <w:r w:rsidR="009F2218" w:rsidRPr="00721B78">
        <w:rPr>
          <w:rFonts w:ascii="Times New Roman" w:eastAsiaTheme="minorEastAsia" w:hAnsi="Times New Roman"/>
          <w:kern w:val="2"/>
          <w:sz w:val="28"/>
          <w:szCs w:val="28"/>
        </w:rPr>
        <w:t>主要</w:t>
      </w:r>
      <w:r w:rsidRPr="00721B78">
        <w:rPr>
          <w:rFonts w:ascii="Times New Roman" w:eastAsiaTheme="minorEastAsia" w:hAnsi="Times New Roman"/>
          <w:kern w:val="2"/>
          <w:sz w:val="28"/>
          <w:szCs w:val="28"/>
        </w:rPr>
        <w:t>归口单位</w:t>
      </w:r>
      <w:r w:rsidR="009F2218" w:rsidRPr="00721B78">
        <w:rPr>
          <w:rFonts w:ascii="Times New Roman" w:eastAsiaTheme="minorEastAsia" w:hAnsi="Times New Roman"/>
          <w:kern w:val="2"/>
          <w:sz w:val="28"/>
          <w:szCs w:val="28"/>
        </w:rPr>
        <w:t>包括</w:t>
      </w:r>
      <w:r w:rsidRPr="00721B78">
        <w:rPr>
          <w:rFonts w:ascii="Times New Roman" w:eastAsiaTheme="minorEastAsia" w:hAnsi="Times New Roman"/>
          <w:kern w:val="2"/>
          <w:sz w:val="28"/>
          <w:szCs w:val="28"/>
        </w:rPr>
        <w:t>卫生计生、农业、食品药品监管和环保</w:t>
      </w:r>
      <w:r w:rsidR="009F2218" w:rsidRPr="00721B78">
        <w:rPr>
          <w:rFonts w:ascii="Times New Roman" w:eastAsiaTheme="minorEastAsia" w:hAnsi="Times New Roman"/>
          <w:kern w:val="2"/>
          <w:sz w:val="28"/>
          <w:szCs w:val="28"/>
        </w:rPr>
        <w:t>等</w:t>
      </w:r>
      <w:r w:rsidRPr="00721B78">
        <w:rPr>
          <w:rFonts w:ascii="Times New Roman" w:eastAsiaTheme="minorEastAsia" w:hAnsi="Times New Roman"/>
          <w:kern w:val="2"/>
          <w:sz w:val="28"/>
          <w:szCs w:val="28"/>
        </w:rPr>
        <w:t>部门。</w:t>
      </w:r>
    </w:p>
    <w:p w:rsidR="00B3074D" w:rsidRPr="00721B78" w:rsidRDefault="00B3294D"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环保部门发布的相关文件包括</w:t>
      </w:r>
      <w:r w:rsidR="003E234B" w:rsidRPr="00721B78">
        <w:rPr>
          <w:rFonts w:ascii="Times New Roman" w:eastAsiaTheme="minorEastAsia" w:hAnsi="Times New Roman"/>
          <w:kern w:val="2"/>
          <w:sz w:val="28"/>
          <w:szCs w:val="28"/>
        </w:rPr>
        <w:t>《</w:t>
      </w:r>
      <w:r w:rsidR="00A31F8D" w:rsidRPr="00721B78">
        <w:rPr>
          <w:rFonts w:ascii="Times New Roman" w:eastAsiaTheme="minorEastAsia" w:hAnsi="Times New Roman"/>
          <w:kern w:val="2"/>
          <w:sz w:val="28"/>
          <w:szCs w:val="28"/>
        </w:rPr>
        <w:t>生态环境健康风险评估技术指南总纲</w:t>
      </w:r>
      <w:r w:rsidR="003E234B"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人体健康水质基准制订技术指南》、《建设项目环境风险评价技术导则》、《污染场地风险评估技术导则》、《暴露参数调查技术规范》、《儿童土壤摄入量调查技术规范示踪元素法》、《环境污染物人群暴露评估技术指南》、《新化学物质危害评估导则》</w:t>
      </w:r>
      <w:r w:rsidR="00AE73A3" w:rsidRPr="00721B78">
        <w:rPr>
          <w:rFonts w:ascii="Times New Roman" w:eastAsiaTheme="minorEastAsia" w:hAnsi="Times New Roman"/>
          <w:kern w:val="2"/>
          <w:sz w:val="28"/>
          <w:szCs w:val="28"/>
        </w:rPr>
        <w:t>等</w:t>
      </w:r>
      <w:r w:rsidRPr="00721B78">
        <w:rPr>
          <w:rFonts w:ascii="Times New Roman" w:eastAsiaTheme="minorEastAsia" w:hAnsi="Times New Roman"/>
          <w:kern w:val="2"/>
          <w:sz w:val="28"/>
          <w:szCs w:val="28"/>
        </w:rPr>
        <w:t>。</w:t>
      </w:r>
      <w:r w:rsidR="00440B73" w:rsidRPr="00721B78">
        <w:rPr>
          <w:rFonts w:ascii="Times New Roman" w:eastAsiaTheme="minorEastAsia" w:hAnsi="Times New Roman"/>
          <w:kern w:val="2"/>
          <w:sz w:val="28"/>
          <w:szCs w:val="28"/>
        </w:rPr>
        <w:t>2020</w:t>
      </w:r>
      <w:r w:rsidR="00440B73" w:rsidRPr="00721B78">
        <w:rPr>
          <w:rFonts w:ascii="Times New Roman" w:eastAsiaTheme="minorEastAsia" w:hAnsi="Times New Roman"/>
          <w:kern w:val="2"/>
          <w:sz w:val="28"/>
          <w:szCs w:val="28"/>
        </w:rPr>
        <w:t>年《生态环境健康风险评估技术指南总纲》（以下简称</w:t>
      </w:r>
      <w:r w:rsidR="00440B73" w:rsidRPr="00721B78">
        <w:rPr>
          <w:rFonts w:ascii="Times New Roman" w:eastAsiaTheme="minorEastAsia" w:hAnsi="Times New Roman"/>
          <w:kern w:val="2"/>
          <w:sz w:val="28"/>
          <w:szCs w:val="28"/>
        </w:rPr>
        <w:t>“</w:t>
      </w:r>
      <w:r w:rsidR="00440B73" w:rsidRPr="00721B78">
        <w:rPr>
          <w:rFonts w:ascii="Times New Roman" w:eastAsiaTheme="minorEastAsia" w:hAnsi="Times New Roman"/>
          <w:kern w:val="2"/>
          <w:sz w:val="28"/>
          <w:szCs w:val="28"/>
        </w:rPr>
        <w:t>总纲</w:t>
      </w:r>
      <w:r w:rsidR="00440B73" w:rsidRPr="00721B78">
        <w:rPr>
          <w:rFonts w:ascii="Times New Roman" w:eastAsiaTheme="minorEastAsia" w:hAnsi="Times New Roman"/>
          <w:kern w:val="2"/>
          <w:sz w:val="28"/>
          <w:szCs w:val="28"/>
        </w:rPr>
        <w:t>”</w:t>
      </w:r>
      <w:r w:rsidR="00440B73" w:rsidRPr="00721B78">
        <w:rPr>
          <w:rFonts w:ascii="Times New Roman" w:eastAsiaTheme="minorEastAsia" w:hAnsi="Times New Roman"/>
          <w:kern w:val="2"/>
          <w:sz w:val="28"/>
          <w:szCs w:val="28"/>
        </w:rPr>
        <w:t>）正式发布，《总纲》在已有相关技术标准的基础上进行了整理和总结了，形成了对生态环境健康风险评估的框架</w:t>
      </w:r>
      <w:r w:rsidR="007155BB" w:rsidRPr="00721B78">
        <w:rPr>
          <w:rFonts w:ascii="Times New Roman" w:eastAsiaTheme="minorEastAsia" w:hAnsi="Times New Roman"/>
          <w:kern w:val="2"/>
          <w:sz w:val="28"/>
          <w:szCs w:val="28"/>
        </w:rPr>
        <w:t>性</w:t>
      </w:r>
      <w:r w:rsidR="00440B73" w:rsidRPr="00721B78">
        <w:rPr>
          <w:rFonts w:ascii="Times New Roman" w:eastAsiaTheme="minorEastAsia" w:hAnsi="Times New Roman"/>
          <w:kern w:val="2"/>
          <w:sz w:val="28"/>
          <w:szCs w:val="28"/>
        </w:rPr>
        <w:t>文件，规定了环境健康风险评估的一般性原则、评估程序、评估内容、方法和要求，适用于指导人群暴露于环境</w:t>
      </w:r>
      <w:r w:rsidR="00440B73" w:rsidRPr="00721B78">
        <w:rPr>
          <w:rFonts w:ascii="Times New Roman" w:eastAsiaTheme="minorEastAsia" w:hAnsi="Times New Roman"/>
          <w:kern w:val="2"/>
          <w:sz w:val="28"/>
          <w:szCs w:val="28"/>
        </w:rPr>
        <w:lastRenderedPageBreak/>
        <w:t>中化学性因素的健康风险评估。</w:t>
      </w:r>
      <w:r w:rsidR="00883D8D" w:rsidRPr="00721B78">
        <w:rPr>
          <w:rFonts w:ascii="Times New Roman" w:eastAsiaTheme="minorEastAsia" w:hAnsi="Times New Roman"/>
          <w:kern w:val="2"/>
          <w:sz w:val="28"/>
          <w:szCs w:val="28"/>
        </w:rPr>
        <w:t>环境健康风险评估技术方法已经成为我国环境管理中不可或缺的部分之一，特别是发布的</w:t>
      </w:r>
      <w:r w:rsidR="000F0B7D" w:rsidRPr="00721B78">
        <w:rPr>
          <w:rFonts w:ascii="Times New Roman" w:eastAsiaTheme="minorEastAsia" w:hAnsi="Times New Roman"/>
          <w:kern w:val="2"/>
          <w:sz w:val="28"/>
          <w:szCs w:val="28"/>
        </w:rPr>
        <w:t>《建设项目环境风险评价技术导则》、《工业场所化学有害因素职业健康风险评估技术导则》、</w:t>
      </w:r>
      <w:r w:rsidR="00883D8D" w:rsidRPr="00721B78">
        <w:rPr>
          <w:rFonts w:ascii="Times New Roman" w:eastAsiaTheme="minorEastAsia" w:hAnsi="Times New Roman"/>
          <w:kern w:val="2"/>
          <w:sz w:val="28"/>
          <w:szCs w:val="28"/>
        </w:rPr>
        <w:t>《污染场地风险评估技术导则》</w:t>
      </w:r>
      <w:r w:rsidR="000F0B7D" w:rsidRPr="00721B78">
        <w:rPr>
          <w:rFonts w:ascii="Times New Roman" w:eastAsiaTheme="minorEastAsia" w:hAnsi="Times New Roman"/>
          <w:kern w:val="2"/>
          <w:sz w:val="28"/>
          <w:szCs w:val="28"/>
        </w:rPr>
        <w:t>等</w:t>
      </w:r>
      <w:r w:rsidR="00883D8D" w:rsidRPr="00721B78">
        <w:rPr>
          <w:rFonts w:ascii="Times New Roman" w:eastAsiaTheme="minorEastAsia" w:hAnsi="Times New Roman"/>
          <w:kern w:val="2"/>
          <w:sz w:val="28"/>
          <w:szCs w:val="28"/>
        </w:rPr>
        <w:t>推动了我国环境健康风险评估技术方法的应用进程。</w:t>
      </w:r>
      <w:r w:rsidR="00321494" w:rsidRPr="00721B78">
        <w:rPr>
          <w:rFonts w:ascii="Times New Roman" w:eastAsiaTheme="minorEastAsia" w:hAnsi="Times New Roman"/>
          <w:kern w:val="2"/>
          <w:sz w:val="28"/>
          <w:szCs w:val="28"/>
        </w:rPr>
        <w:t>经过十几年的发展，我国现有的健康风险评估标准文件已经形成了总体性框架、技术指南、应用技术指南等构成的标准化体系，但相比于美国和世界卫生组织的人体健康风险评估体系整体而言标准体系仍然不够完善，特别是针对部分专项技术和实际应用场景的针对性导则和规范仍然较为缺乏。</w:t>
      </w:r>
    </w:p>
    <w:p w:rsidR="00B3074D" w:rsidRPr="008D7553" w:rsidRDefault="00321494" w:rsidP="00321494">
      <w:pPr>
        <w:pStyle w:val="a7"/>
        <w:spacing w:line="360" w:lineRule="auto"/>
        <w:ind w:left="420" w:firstLineChars="0" w:firstLine="0"/>
        <w:jc w:val="center"/>
        <w:rPr>
          <w:b/>
          <w:bCs/>
          <w:sz w:val="24"/>
          <w:szCs w:val="32"/>
        </w:rPr>
      </w:pPr>
      <w:r w:rsidRPr="008D7553">
        <w:rPr>
          <w:b/>
          <w:bCs/>
          <w:sz w:val="24"/>
          <w:szCs w:val="32"/>
        </w:rPr>
        <w:t>表</w:t>
      </w:r>
      <w:r w:rsidRPr="008D7553">
        <w:rPr>
          <w:b/>
          <w:bCs/>
          <w:sz w:val="24"/>
          <w:szCs w:val="32"/>
        </w:rPr>
        <w:t xml:space="preserve">3-1 </w:t>
      </w:r>
      <w:r w:rsidRPr="008D7553">
        <w:rPr>
          <w:b/>
          <w:bCs/>
          <w:sz w:val="24"/>
          <w:szCs w:val="32"/>
        </w:rPr>
        <w:t>国内风险评估相关标准文件</w:t>
      </w:r>
    </w:p>
    <w:tbl>
      <w:tblPr>
        <w:tblW w:w="501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455"/>
        <w:gridCol w:w="944"/>
        <w:gridCol w:w="1330"/>
        <w:gridCol w:w="799"/>
        <w:gridCol w:w="4818"/>
      </w:tblGrid>
      <w:tr w:rsidR="00E8004B" w:rsidRPr="00724E13" w:rsidTr="00724E13">
        <w:trPr>
          <w:trHeight w:val="540"/>
        </w:trPr>
        <w:tc>
          <w:tcPr>
            <w:tcW w:w="311" w:type="pct"/>
            <w:tcBorders>
              <w:top w:val="single" w:sz="8" w:space="0" w:color="000000"/>
              <w:left w:val="single" w:sz="8" w:space="0" w:color="000000"/>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序号</w:t>
            </w:r>
          </w:p>
        </w:tc>
        <w:tc>
          <w:tcPr>
            <w:tcW w:w="604" w:type="pct"/>
            <w:tcBorders>
              <w:top w:val="single" w:sz="8"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标准名称</w:t>
            </w:r>
          </w:p>
        </w:tc>
        <w:tc>
          <w:tcPr>
            <w:tcW w:w="644" w:type="pct"/>
            <w:tcBorders>
              <w:top w:val="single" w:sz="8"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标准编号</w:t>
            </w:r>
          </w:p>
        </w:tc>
        <w:tc>
          <w:tcPr>
            <w:tcW w:w="517" w:type="pct"/>
            <w:tcBorders>
              <w:top w:val="single" w:sz="8"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标准性质</w:t>
            </w:r>
          </w:p>
        </w:tc>
        <w:tc>
          <w:tcPr>
            <w:tcW w:w="2924" w:type="pct"/>
            <w:tcBorders>
              <w:top w:val="single" w:sz="8" w:space="0" w:color="000000"/>
              <w:left w:val="nil"/>
              <w:bottom w:val="single" w:sz="4" w:space="0" w:color="000000"/>
              <w:right w:val="single" w:sz="8"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适用范围</w:t>
            </w:r>
          </w:p>
        </w:tc>
      </w:tr>
      <w:tr w:rsidR="00E8004B" w:rsidRPr="00724E13" w:rsidTr="00724E13">
        <w:trPr>
          <w:trHeight w:val="540"/>
        </w:trPr>
        <w:tc>
          <w:tcPr>
            <w:tcW w:w="311" w:type="pct"/>
            <w:tcBorders>
              <w:top w:val="nil"/>
              <w:left w:val="single" w:sz="8" w:space="0" w:color="000000"/>
              <w:bottom w:val="nil"/>
              <w:right w:val="single" w:sz="4" w:space="0" w:color="000000"/>
            </w:tcBorders>
            <w:vAlign w:val="center"/>
          </w:tcPr>
          <w:p w:rsidR="00E8004B" w:rsidRPr="00724E13" w:rsidRDefault="00E8004B" w:rsidP="00FD3269">
            <w:pPr>
              <w:autoSpaceDE w:val="0"/>
              <w:autoSpaceDN w:val="0"/>
              <w:jc w:val="center"/>
              <w:rPr>
                <w:kern w:val="0"/>
                <w:sz w:val="24"/>
              </w:rPr>
            </w:pPr>
            <w:r w:rsidRPr="00724E13">
              <w:rPr>
                <w:sz w:val="24"/>
              </w:rPr>
              <w:t>1</w:t>
            </w:r>
          </w:p>
        </w:tc>
        <w:tc>
          <w:tcPr>
            <w:tcW w:w="604" w:type="pct"/>
            <w:tcBorders>
              <w:top w:val="nil"/>
              <w:left w:val="nil"/>
              <w:bottom w:val="nil"/>
              <w:right w:val="single" w:sz="4" w:space="0" w:color="000000"/>
            </w:tcBorders>
            <w:vAlign w:val="center"/>
          </w:tcPr>
          <w:p w:rsidR="00E8004B" w:rsidRPr="00724E13" w:rsidRDefault="00E8004B" w:rsidP="00FD3269">
            <w:pPr>
              <w:pStyle w:val="TableParagraph"/>
              <w:jc w:val="center"/>
              <w:rPr>
                <w:sz w:val="24"/>
                <w:szCs w:val="24"/>
              </w:rPr>
            </w:pPr>
            <w:r w:rsidRPr="00724E13">
              <w:rPr>
                <w:sz w:val="24"/>
                <w:szCs w:val="24"/>
              </w:rPr>
              <w:t>风险管理风险评估</w:t>
            </w:r>
          </w:p>
          <w:p w:rsidR="00E8004B" w:rsidRPr="00724E13" w:rsidRDefault="00E8004B" w:rsidP="00FD3269">
            <w:pPr>
              <w:autoSpaceDE w:val="0"/>
              <w:autoSpaceDN w:val="0"/>
              <w:jc w:val="center"/>
              <w:rPr>
                <w:kern w:val="0"/>
                <w:sz w:val="24"/>
              </w:rPr>
            </w:pPr>
            <w:r w:rsidRPr="00724E13">
              <w:rPr>
                <w:sz w:val="24"/>
              </w:rPr>
              <w:t>技术</w:t>
            </w:r>
          </w:p>
        </w:tc>
        <w:tc>
          <w:tcPr>
            <w:tcW w:w="644" w:type="pct"/>
            <w:tcBorders>
              <w:top w:val="nil"/>
              <w:left w:val="nil"/>
              <w:bottom w:val="nil"/>
              <w:right w:val="single" w:sz="4" w:space="0" w:color="000000"/>
            </w:tcBorders>
            <w:vAlign w:val="center"/>
          </w:tcPr>
          <w:p w:rsidR="00E8004B" w:rsidRPr="00724E13" w:rsidRDefault="00E8004B" w:rsidP="00FD3269">
            <w:pPr>
              <w:pStyle w:val="TableParagraph"/>
              <w:jc w:val="center"/>
              <w:rPr>
                <w:sz w:val="24"/>
                <w:szCs w:val="24"/>
              </w:rPr>
            </w:pPr>
            <w:r w:rsidRPr="00724E13">
              <w:rPr>
                <w:sz w:val="24"/>
                <w:szCs w:val="24"/>
              </w:rPr>
              <w:t>GB/T 27921—2011</w:t>
            </w:r>
          </w:p>
        </w:tc>
        <w:tc>
          <w:tcPr>
            <w:tcW w:w="517" w:type="pct"/>
            <w:tcBorders>
              <w:top w:val="nil"/>
              <w:left w:val="nil"/>
              <w:bottom w:val="nil"/>
              <w:right w:val="single" w:sz="4" w:space="0" w:color="000000"/>
            </w:tcBorders>
            <w:vAlign w:val="center"/>
          </w:tcPr>
          <w:p w:rsidR="00E8004B" w:rsidRPr="00724E13" w:rsidRDefault="00E8004B" w:rsidP="00FD3269">
            <w:pPr>
              <w:autoSpaceDE w:val="0"/>
              <w:autoSpaceDN w:val="0"/>
              <w:jc w:val="center"/>
              <w:rPr>
                <w:kern w:val="0"/>
                <w:sz w:val="24"/>
              </w:rPr>
            </w:pPr>
            <w:r w:rsidRPr="00724E13">
              <w:rPr>
                <w:sz w:val="24"/>
              </w:rPr>
              <w:t>国家推荐标准</w:t>
            </w:r>
          </w:p>
        </w:tc>
        <w:tc>
          <w:tcPr>
            <w:tcW w:w="2924" w:type="pct"/>
            <w:tcBorders>
              <w:top w:val="nil"/>
              <w:left w:val="nil"/>
              <w:bottom w:val="nil"/>
              <w:right w:val="single" w:sz="8" w:space="0" w:color="000000"/>
            </w:tcBorders>
            <w:vAlign w:val="center"/>
          </w:tcPr>
          <w:p w:rsidR="00E8004B" w:rsidRPr="00724E13" w:rsidRDefault="00E8004B" w:rsidP="00FD3269">
            <w:pPr>
              <w:pStyle w:val="TableParagraph"/>
              <w:jc w:val="center"/>
              <w:rPr>
                <w:sz w:val="24"/>
                <w:szCs w:val="24"/>
              </w:rPr>
            </w:pPr>
            <w:r w:rsidRPr="00724E13">
              <w:rPr>
                <w:spacing w:val="-2"/>
                <w:sz w:val="24"/>
                <w:szCs w:val="24"/>
              </w:rPr>
              <w:t>规定了风险评估技术的选择和应用指南；并未涉及风险评估的所有技术，标准中未予介绍的技术</w:t>
            </w:r>
            <w:r w:rsidRPr="00724E13">
              <w:rPr>
                <w:spacing w:val="-3"/>
                <w:sz w:val="24"/>
                <w:szCs w:val="24"/>
              </w:rPr>
              <w:t>并不意味着其无效；适用于指导组织选择合适的风险评估技术，一般性的风险管理标准，以及各种类型和规模的组织。</w:t>
            </w:r>
          </w:p>
        </w:tc>
      </w:tr>
      <w:tr w:rsidR="00E8004B" w:rsidRPr="00724E13" w:rsidTr="00724E13">
        <w:trPr>
          <w:trHeight w:val="1616"/>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p>
          <w:p w:rsidR="00E8004B" w:rsidRPr="00724E13" w:rsidRDefault="00E8004B" w:rsidP="00FD3269">
            <w:pPr>
              <w:autoSpaceDE w:val="0"/>
              <w:autoSpaceDN w:val="0"/>
              <w:jc w:val="center"/>
              <w:rPr>
                <w:kern w:val="0"/>
                <w:sz w:val="24"/>
              </w:rPr>
            </w:pPr>
            <w:r w:rsidRPr="00724E13">
              <w:rPr>
                <w:kern w:val="0"/>
                <w:sz w:val="24"/>
              </w:rPr>
              <w:t>2</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工业场所化学有害因素职业健康风险评估技术</w:t>
            </w:r>
          </w:p>
          <w:p w:rsidR="00E8004B" w:rsidRPr="00724E13" w:rsidRDefault="00E8004B" w:rsidP="00FD3269">
            <w:pPr>
              <w:autoSpaceDE w:val="0"/>
              <w:autoSpaceDN w:val="0"/>
              <w:jc w:val="center"/>
              <w:rPr>
                <w:kern w:val="0"/>
                <w:sz w:val="24"/>
              </w:rPr>
            </w:pPr>
            <w:r w:rsidRPr="00724E13">
              <w:rPr>
                <w:kern w:val="0"/>
                <w:sz w:val="24"/>
              </w:rPr>
              <w:t>导则</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GBZ/T 298—2017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国家职业卫生标准</w:t>
            </w:r>
          </w:p>
        </w:tc>
        <w:tc>
          <w:tcPr>
            <w:tcW w:w="2924" w:type="pct"/>
            <w:tcBorders>
              <w:top w:val="single" w:sz="4" w:space="0" w:color="000000"/>
              <w:left w:val="nil"/>
              <w:bottom w:val="single" w:sz="4" w:space="0" w:color="000000"/>
              <w:right w:val="single" w:sz="8"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规定了工作场所化学有害因素职业健康风险评</w:t>
            </w:r>
            <w:r w:rsidRPr="00724E13">
              <w:rPr>
                <w:spacing w:val="-3"/>
                <w:kern w:val="0"/>
                <w:sz w:val="24"/>
              </w:rPr>
              <w:t>估的框架、工作程序和评估方法；适用于对劳动</w:t>
            </w:r>
            <w:r w:rsidRPr="00724E13">
              <w:rPr>
                <w:kern w:val="0"/>
                <w:sz w:val="24"/>
              </w:rPr>
              <w:t>者在职业活动中因接触化学有害因素所导致的职业健康风险进行评估。</w:t>
            </w:r>
          </w:p>
        </w:tc>
      </w:tr>
      <w:tr w:rsidR="00E8004B" w:rsidRPr="00724E13" w:rsidTr="00724E13">
        <w:trPr>
          <w:trHeight w:val="108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3</w:t>
            </w:r>
          </w:p>
        </w:tc>
        <w:tc>
          <w:tcPr>
            <w:tcW w:w="60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食品安全风险分析工作原则</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GB/T 23811—2009</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国家推荐标准</w:t>
            </w:r>
          </w:p>
        </w:tc>
        <w:tc>
          <w:tcPr>
            <w:tcW w:w="2924" w:type="pct"/>
            <w:tcBorders>
              <w:top w:val="single" w:sz="4" w:space="0" w:color="000000"/>
              <w:left w:val="nil"/>
              <w:bottom w:val="single" w:sz="4" w:space="0" w:color="000000"/>
              <w:right w:val="single" w:sz="8" w:space="0" w:color="000000"/>
            </w:tcBorders>
            <w:vAlign w:val="center"/>
          </w:tcPr>
          <w:p w:rsidR="00E8004B" w:rsidRPr="00724E13" w:rsidRDefault="00E8004B" w:rsidP="00FD3269">
            <w:pPr>
              <w:autoSpaceDE w:val="0"/>
              <w:autoSpaceDN w:val="0"/>
              <w:jc w:val="center"/>
              <w:rPr>
                <w:kern w:val="0"/>
                <w:sz w:val="24"/>
              </w:rPr>
            </w:pPr>
            <w:r w:rsidRPr="00724E13">
              <w:rPr>
                <w:spacing w:val="-2"/>
                <w:kern w:val="0"/>
                <w:sz w:val="24"/>
              </w:rPr>
              <w:t>规定了食品安全风险分析的一般要求，以及风险</w:t>
            </w:r>
            <w:r w:rsidRPr="00724E13">
              <w:rPr>
                <w:spacing w:val="-4"/>
                <w:kern w:val="0"/>
                <w:sz w:val="24"/>
              </w:rPr>
              <w:t>评估、风险管理和风险交流的基本原则；适用于</w:t>
            </w:r>
            <w:r w:rsidRPr="00724E13">
              <w:rPr>
                <w:kern w:val="0"/>
                <w:sz w:val="24"/>
              </w:rPr>
              <w:t>指导开展食品安全风险分析。</w:t>
            </w:r>
          </w:p>
        </w:tc>
      </w:tr>
      <w:tr w:rsidR="00E8004B" w:rsidRPr="00724E13" w:rsidTr="00724E13">
        <w:trPr>
          <w:trHeight w:val="108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4</w:t>
            </w:r>
          </w:p>
        </w:tc>
        <w:tc>
          <w:tcPr>
            <w:tcW w:w="60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化学品风险评估通则</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GB/T 34708—2017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国家推荐标准</w:t>
            </w:r>
          </w:p>
        </w:tc>
        <w:tc>
          <w:tcPr>
            <w:tcW w:w="2924" w:type="pct"/>
            <w:tcBorders>
              <w:top w:val="single" w:sz="4" w:space="0" w:color="000000"/>
              <w:left w:val="nil"/>
              <w:bottom w:val="single" w:sz="4" w:space="0" w:color="000000"/>
              <w:right w:val="single" w:sz="8"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规定了化学品风险评估的原则、程序、基本内容和一般要求；适用于化学品的风险评估。</w:t>
            </w:r>
          </w:p>
        </w:tc>
      </w:tr>
      <w:tr w:rsidR="00E8004B" w:rsidRPr="00724E13" w:rsidTr="00724E13">
        <w:trPr>
          <w:trHeight w:val="1079"/>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lastRenderedPageBreak/>
              <w:t>5</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农药每日允许摄入量制定指</w:t>
            </w:r>
          </w:p>
          <w:p w:rsidR="00E8004B" w:rsidRPr="00724E13" w:rsidRDefault="00E8004B" w:rsidP="00FD3269">
            <w:pPr>
              <w:autoSpaceDE w:val="0"/>
              <w:autoSpaceDN w:val="0"/>
              <w:jc w:val="center"/>
              <w:rPr>
                <w:kern w:val="0"/>
                <w:sz w:val="24"/>
              </w:rPr>
            </w:pPr>
            <w:r w:rsidRPr="00724E13">
              <w:rPr>
                <w:kern w:val="0"/>
                <w:sz w:val="24"/>
              </w:rPr>
              <w:t>南</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农业部公</w:t>
            </w:r>
            <w:r w:rsidRPr="00724E13">
              <w:rPr>
                <w:spacing w:val="-15"/>
                <w:kern w:val="0"/>
                <w:sz w:val="24"/>
              </w:rPr>
              <w:t>告第</w:t>
            </w:r>
            <w:r w:rsidRPr="00724E13">
              <w:rPr>
                <w:spacing w:val="-5"/>
                <w:kern w:val="0"/>
                <w:sz w:val="24"/>
              </w:rPr>
              <w:t xml:space="preserve">1825 </w:t>
            </w:r>
            <w:r w:rsidRPr="00724E13">
              <w:rPr>
                <w:kern w:val="0"/>
                <w:sz w:val="24"/>
              </w:rPr>
              <w:t>号</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农业部技术文件</w:t>
            </w:r>
          </w:p>
        </w:tc>
        <w:tc>
          <w:tcPr>
            <w:tcW w:w="2924" w:type="pct"/>
            <w:tcBorders>
              <w:top w:val="single" w:sz="4" w:space="0" w:color="000000"/>
              <w:left w:val="nil"/>
              <w:bottom w:val="single" w:sz="4" w:space="0" w:color="000000"/>
              <w:right w:val="single" w:sz="8"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适用于有阈值效应农药的每日允许摄入量制定。</w:t>
            </w:r>
          </w:p>
        </w:tc>
      </w:tr>
      <w:tr w:rsidR="00E8004B" w:rsidRPr="00724E13" w:rsidTr="00724E13">
        <w:trPr>
          <w:trHeight w:val="81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6</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spacing w:val="-5"/>
                <w:kern w:val="0"/>
                <w:sz w:val="24"/>
              </w:rPr>
              <w:t>食品安全风险评估</w:t>
            </w:r>
          </w:p>
          <w:p w:rsidR="00E8004B" w:rsidRPr="00724E13" w:rsidRDefault="00E8004B" w:rsidP="00FD3269">
            <w:pPr>
              <w:autoSpaceDE w:val="0"/>
              <w:autoSpaceDN w:val="0"/>
              <w:jc w:val="center"/>
              <w:rPr>
                <w:kern w:val="0"/>
                <w:sz w:val="24"/>
              </w:rPr>
            </w:pPr>
            <w:r w:rsidRPr="00724E13">
              <w:rPr>
                <w:kern w:val="0"/>
                <w:sz w:val="24"/>
              </w:rPr>
              <w:t>工作指南</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p>
          <w:p w:rsidR="00E8004B" w:rsidRPr="00724E13" w:rsidRDefault="00E8004B" w:rsidP="00FD3269">
            <w:pPr>
              <w:autoSpaceDE w:val="0"/>
              <w:autoSpaceDN w:val="0"/>
              <w:jc w:val="center"/>
              <w:rPr>
                <w:kern w:val="0"/>
                <w:sz w:val="24"/>
              </w:rPr>
            </w:pP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规范了食品安全风险评估实施过程的一般要求，可为我国风险评估机构及资源提供单位开展食品安全风险评估及其相关工作提供参考。</w:t>
            </w:r>
          </w:p>
        </w:tc>
      </w:tr>
      <w:tr w:rsidR="00E8004B" w:rsidRPr="00724E13" w:rsidTr="00724E13">
        <w:trPr>
          <w:trHeight w:val="108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7</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蚊香类产品健康风险评估指</w:t>
            </w:r>
          </w:p>
          <w:p w:rsidR="00E8004B" w:rsidRPr="00724E13" w:rsidRDefault="00E8004B" w:rsidP="00FD3269">
            <w:pPr>
              <w:autoSpaceDE w:val="0"/>
              <w:autoSpaceDN w:val="0"/>
              <w:jc w:val="center"/>
              <w:rPr>
                <w:kern w:val="0"/>
                <w:sz w:val="24"/>
              </w:rPr>
            </w:pPr>
            <w:r w:rsidRPr="00724E13">
              <w:rPr>
                <w:kern w:val="0"/>
                <w:sz w:val="24"/>
              </w:rPr>
              <w:t>南</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NY/T 2875—2015</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农业行业标准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规定了蚊香类产品居民健康风险评估程序、方法和评价标准；适用于室内蚊香类产品（包括蚊香电热蚊香片、电热蚊香液等）对居民的健康风险评估。</w:t>
            </w:r>
          </w:p>
        </w:tc>
      </w:tr>
      <w:tr w:rsidR="00E8004B" w:rsidRPr="00724E13" w:rsidTr="00724E13">
        <w:trPr>
          <w:trHeight w:val="108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bookmarkStart w:id="15" w:name="_Hlk117781263"/>
            <w:r w:rsidRPr="00724E13">
              <w:rPr>
                <w:kern w:val="0"/>
                <w:sz w:val="24"/>
              </w:rPr>
              <w:t>8</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生态环境健康风险评估技术指南总纲</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HJ 1111-2020</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规定了环境健康风险评估的一般性原则、评估程序、评估内容、方法和要求。适用于指导人群暴露于环境中化学性因素的健康风险评估。</w:t>
            </w:r>
          </w:p>
        </w:tc>
      </w:tr>
      <w:bookmarkEnd w:id="15"/>
      <w:tr w:rsidR="00E8004B" w:rsidRPr="00724E13" w:rsidTr="00724E13">
        <w:trPr>
          <w:trHeight w:val="1619"/>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9</w:t>
            </w:r>
          </w:p>
        </w:tc>
        <w:tc>
          <w:tcPr>
            <w:tcW w:w="60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人体健康水质基准制订技术指南</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HJ 837—</w:t>
            </w:r>
          </w:p>
          <w:p w:rsidR="00E8004B" w:rsidRPr="00724E13" w:rsidRDefault="00E8004B" w:rsidP="00FD3269">
            <w:pPr>
              <w:autoSpaceDE w:val="0"/>
              <w:autoSpaceDN w:val="0"/>
              <w:jc w:val="center"/>
              <w:rPr>
                <w:kern w:val="0"/>
                <w:sz w:val="24"/>
              </w:rPr>
            </w:pPr>
            <w:r w:rsidRPr="00724E13">
              <w:rPr>
                <w:kern w:val="0"/>
                <w:sz w:val="24"/>
              </w:rPr>
              <w:t>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spacing w:val="-2"/>
                <w:kern w:val="0"/>
                <w:sz w:val="24"/>
              </w:rPr>
              <w:t>规定了人体健康水质基准的制订程序、方法和技</w:t>
            </w:r>
            <w:r w:rsidRPr="00724E13">
              <w:rPr>
                <w:spacing w:val="-4"/>
                <w:kern w:val="0"/>
                <w:sz w:val="24"/>
              </w:rPr>
              <w:t>术要求；适用于我国地表水和可提供水产品的淡</w:t>
            </w:r>
            <w:r w:rsidRPr="00724E13">
              <w:rPr>
                <w:kern w:val="0"/>
                <w:sz w:val="24"/>
              </w:rPr>
              <w:t>水水域中污染物质长期慢性健康效应人体健康</w:t>
            </w:r>
            <w:r w:rsidRPr="00724E13">
              <w:rPr>
                <w:spacing w:val="-3"/>
                <w:kern w:val="0"/>
                <w:sz w:val="24"/>
              </w:rPr>
              <w:t>水质基准制定；不适用于娱乐用水人体健康水质基准的制定；不适用于微生物和物理因素人体健</w:t>
            </w:r>
            <w:r w:rsidRPr="00724E13">
              <w:rPr>
                <w:kern w:val="0"/>
                <w:sz w:val="24"/>
              </w:rPr>
              <w:t>康水质基准的制定。</w:t>
            </w:r>
          </w:p>
        </w:tc>
      </w:tr>
      <w:tr w:rsidR="00E8004B" w:rsidRPr="00724E13" w:rsidTr="00724E13">
        <w:trPr>
          <w:trHeight w:val="135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10</w:t>
            </w:r>
          </w:p>
        </w:tc>
        <w:tc>
          <w:tcPr>
            <w:tcW w:w="60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bookmarkStart w:id="16" w:name="_Hlk117785290"/>
            <w:r w:rsidRPr="00724E13">
              <w:rPr>
                <w:kern w:val="0"/>
                <w:sz w:val="24"/>
              </w:rPr>
              <w:t>建设项目环境风险评价技术导则</w:t>
            </w:r>
            <w:bookmarkEnd w:id="16"/>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HJ/T 169</w:t>
            </w:r>
          </w:p>
          <w:p w:rsidR="00E8004B" w:rsidRPr="00724E13" w:rsidRDefault="00E8004B" w:rsidP="00FD3269">
            <w:pPr>
              <w:autoSpaceDE w:val="0"/>
              <w:autoSpaceDN w:val="0"/>
              <w:jc w:val="center"/>
              <w:rPr>
                <w:kern w:val="0"/>
                <w:sz w:val="24"/>
              </w:rPr>
            </w:pPr>
            <w:r w:rsidRPr="00724E13">
              <w:rPr>
                <w:kern w:val="0"/>
                <w:sz w:val="24"/>
              </w:rPr>
              <w:t>—2004</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规定了建设项目环境风险评价的目的、基本原</w:t>
            </w:r>
            <w:r w:rsidRPr="00724E13">
              <w:rPr>
                <w:spacing w:val="-3"/>
                <w:kern w:val="0"/>
                <w:sz w:val="24"/>
              </w:rPr>
              <w:t>则、内容、程序和方法；适用于涉及有毒有害和</w:t>
            </w:r>
            <w:r w:rsidRPr="00724E13">
              <w:rPr>
                <w:spacing w:val="-4"/>
                <w:kern w:val="0"/>
                <w:sz w:val="24"/>
              </w:rPr>
              <w:t>易燃易爆物质的生产、使用、贮存等的新建、改建、扩建和技术改造项目（部包括核建设项目）</w:t>
            </w:r>
            <w:r w:rsidRPr="00724E13">
              <w:rPr>
                <w:kern w:val="0"/>
                <w:sz w:val="24"/>
              </w:rPr>
              <w:t>的环境风险评价。</w:t>
            </w:r>
          </w:p>
        </w:tc>
      </w:tr>
      <w:tr w:rsidR="00E8004B" w:rsidRPr="00724E13" w:rsidTr="00724E13">
        <w:trPr>
          <w:trHeight w:val="135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11</w:t>
            </w:r>
          </w:p>
        </w:tc>
        <w:tc>
          <w:tcPr>
            <w:tcW w:w="60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污染场地风险评估技术导则</w:t>
            </w:r>
          </w:p>
        </w:tc>
        <w:tc>
          <w:tcPr>
            <w:tcW w:w="644"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HJ 25.3—</w:t>
            </w:r>
          </w:p>
          <w:p w:rsidR="00E8004B" w:rsidRPr="00724E13" w:rsidRDefault="00E8004B" w:rsidP="00FD3269">
            <w:pPr>
              <w:autoSpaceDE w:val="0"/>
              <w:autoSpaceDN w:val="0"/>
              <w:jc w:val="center"/>
              <w:rPr>
                <w:kern w:val="0"/>
                <w:sz w:val="24"/>
              </w:rPr>
            </w:pPr>
            <w:r w:rsidRPr="00724E13">
              <w:rPr>
                <w:kern w:val="0"/>
                <w:sz w:val="24"/>
              </w:rPr>
              <w:t>2014</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规定了开展污染场地人体健康风险评估的原则、</w:t>
            </w:r>
            <w:r w:rsidRPr="00724E13">
              <w:rPr>
                <w:spacing w:val="-3"/>
                <w:kern w:val="0"/>
                <w:sz w:val="24"/>
              </w:rPr>
              <w:t>内容、程序、方法和技术要求；适用于污染场地人体健康风险评估和污染场地土壤和地下水风</w:t>
            </w:r>
            <w:r w:rsidRPr="00724E13">
              <w:rPr>
                <w:spacing w:val="-4"/>
                <w:kern w:val="0"/>
                <w:sz w:val="24"/>
              </w:rPr>
              <w:t>险控制值的确定；不适用于铅、放射性物质、致</w:t>
            </w:r>
            <w:r w:rsidRPr="00724E13">
              <w:rPr>
                <w:kern w:val="0"/>
                <w:sz w:val="24"/>
              </w:rPr>
              <w:t>病性生物污染以及农用地土壤污染的风险评估。</w:t>
            </w:r>
          </w:p>
        </w:tc>
      </w:tr>
      <w:tr w:rsidR="00E8004B" w:rsidRPr="00724E13" w:rsidTr="00724E13">
        <w:trPr>
          <w:trHeight w:val="810"/>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bookmarkStart w:id="17" w:name="_Hlk117782188"/>
            <w:r w:rsidRPr="00724E13">
              <w:rPr>
                <w:kern w:val="0"/>
                <w:sz w:val="24"/>
              </w:rPr>
              <w:t>12</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暴露参数调查技术规范</w:t>
            </w:r>
          </w:p>
        </w:tc>
        <w:tc>
          <w:tcPr>
            <w:tcW w:w="64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HJ 877—</w:t>
            </w:r>
          </w:p>
          <w:p w:rsidR="00E8004B" w:rsidRPr="00724E13" w:rsidRDefault="00E8004B" w:rsidP="00FD3269">
            <w:pPr>
              <w:autoSpaceDE w:val="0"/>
              <w:autoSpaceDN w:val="0"/>
              <w:jc w:val="center"/>
              <w:rPr>
                <w:kern w:val="0"/>
                <w:sz w:val="24"/>
              </w:rPr>
            </w:pPr>
            <w:r w:rsidRPr="00724E13">
              <w:rPr>
                <w:kern w:val="0"/>
                <w:sz w:val="24"/>
              </w:rPr>
              <w:t>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规定了暴露参数调查的工作程序、调查内容、调查</w:t>
            </w:r>
            <w:r w:rsidRPr="00724E13">
              <w:rPr>
                <w:spacing w:val="-3"/>
                <w:kern w:val="0"/>
                <w:sz w:val="24"/>
              </w:rPr>
              <w:t>方法和技术要求；适用于针对人群开展的身体</w:t>
            </w:r>
            <w:r w:rsidRPr="00724E13">
              <w:rPr>
                <w:spacing w:val="-20"/>
                <w:kern w:val="0"/>
                <w:sz w:val="24"/>
              </w:rPr>
              <w:t>特征、摄入量、时间</w:t>
            </w:r>
            <w:r w:rsidRPr="00724E13">
              <w:rPr>
                <w:kern w:val="0"/>
                <w:sz w:val="24"/>
              </w:rPr>
              <w:t>-</w:t>
            </w:r>
            <w:r w:rsidRPr="00724E13">
              <w:rPr>
                <w:kern w:val="0"/>
                <w:sz w:val="24"/>
              </w:rPr>
              <w:t>活动模式等暴露参数的调查。</w:t>
            </w:r>
          </w:p>
        </w:tc>
      </w:tr>
      <w:tr w:rsidR="00E8004B" w:rsidRPr="00724E13" w:rsidTr="00724E13">
        <w:trPr>
          <w:trHeight w:val="807"/>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13</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spacing w:val="-5"/>
                <w:kern w:val="0"/>
                <w:sz w:val="24"/>
              </w:rPr>
              <w:t>儿童土壤摄入量调</w:t>
            </w:r>
            <w:r w:rsidRPr="00724E13">
              <w:rPr>
                <w:kern w:val="0"/>
                <w:sz w:val="24"/>
              </w:rPr>
              <w:t>查技术</w:t>
            </w:r>
            <w:r w:rsidR="003728AA" w:rsidRPr="00724E13">
              <w:rPr>
                <w:kern w:val="0"/>
                <w:sz w:val="24"/>
              </w:rPr>
              <w:lastRenderedPageBreak/>
              <w:t>规范</w:t>
            </w:r>
          </w:p>
        </w:tc>
        <w:tc>
          <w:tcPr>
            <w:tcW w:w="64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lastRenderedPageBreak/>
              <w:t>HJ 876—</w:t>
            </w:r>
          </w:p>
          <w:p w:rsidR="00E8004B" w:rsidRPr="00724E13" w:rsidRDefault="00E8004B" w:rsidP="00FD3269">
            <w:pPr>
              <w:autoSpaceDE w:val="0"/>
              <w:autoSpaceDN w:val="0"/>
              <w:jc w:val="center"/>
              <w:rPr>
                <w:kern w:val="0"/>
                <w:sz w:val="24"/>
              </w:rPr>
            </w:pPr>
            <w:r w:rsidRPr="00724E13">
              <w:rPr>
                <w:kern w:val="0"/>
                <w:sz w:val="24"/>
              </w:rPr>
              <w:t>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autoSpaceDE w:val="0"/>
              <w:autoSpaceDN w:val="0"/>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autoSpaceDE w:val="0"/>
              <w:autoSpaceDN w:val="0"/>
              <w:jc w:val="center"/>
              <w:rPr>
                <w:kern w:val="0"/>
                <w:sz w:val="24"/>
              </w:rPr>
            </w:pPr>
            <w:r w:rsidRPr="00724E13">
              <w:rPr>
                <w:kern w:val="0"/>
                <w:sz w:val="24"/>
              </w:rPr>
              <w:t>规定了儿童土壤摄入量调查的工作程序、调查内容、调查方法和技术要求。</w:t>
            </w:r>
          </w:p>
          <w:p w:rsidR="00E8004B" w:rsidRPr="00724E13" w:rsidRDefault="00E8004B" w:rsidP="00FD3269">
            <w:pPr>
              <w:autoSpaceDE w:val="0"/>
              <w:autoSpaceDN w:val="0"/>
              <w:jc w:val="center"/>
              <w:rPr>
                <w:kern w:val="0"/>
                <w:sz w:val="24"/>
              </w:rPr>
            </w:pPr>
          </w:p>
        </w:tc>
      </w:tr>
      <w:tr w:rsidR="00E8004B" w:rsidRPr="00724E13" w:rsidTr="00724E13">
        <w:trPr>
          <w:trHeight w:val="807"/>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jc w:val="center"/>
              <w:rPr>
                <w:kern w:val="0"/>
                <w:sz w:val="24"/>
              </w:rPr>
            </w:pPr>
          </w:p>
          <w:p w:rsidR="00E8004B" w:rsidRPr="00724E13" w:rsidRDefault="00E8004B" w:rsidP="00FD3269">
            <w:pPr>
              <w:jc w:val="center"/>
              <w:rPr>
                <w:kern w:val="0"/>
                <w:sz w:val="24"/>
              </w:rPr>
            </w:pPr>
            <w:r w:rsidRPr="00724E13">
              <w:rPr>
                <w:kern w:val="0"/>
                <w:sz w:val="24"/>
              </w:rPr>
              <w:t>14</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spacing w:val="-5"/>
                <w:kern w:val="0"/>
                <w:sz w:val="24"/>
              </w:rPr>
            </w:pPr>
            <w:r w:rsidRPr="00724E13">
              <w:rPr>
                <w:spacing w:val="-5"/>
                <w:kern w:val="0"/>
                <w:sz w:val="24"/>
              </w:rPr>
              <w:t>环境污染物人群暴露评估技术指南</w:t>
            </w:r>
          </w:p>
        </w:tc>
        <w:tc>
          <w:tcPr>
            <w:tcW w:w="64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kern w:val="0"/>
                <w:sz w:val="24"/>
              </w:rPr>
            </w:pPr>
            <w:r w:rsidRPr="00724E13">
              <w:rPr>
                <w:kern w:val="0"/>
                <w:sz w:val="24"/>
              </w:rPr>
              <w:t>HJ 875—</w:t>
            </w:r>
          </w:p>
          <w:p w:rsidR="00E8004B" w:rsidRPr="00724E13" w:rsidRDefault="00E8004B" w:rsidP="00FD3269">
            <w:pPr>
              <w:jc w:val="center"/>
              <w:rPr>
                <w:kern w:val="0"/>
                <w:sz w:val="24"/>
              </w:rPr>
            </w:pPr>
            <w:r w:rsidRPr="00724E13">
              <w:rPr>
                <w:kern w:val="0"/>
                <w:sz w:val="24"/>
              </w:rPr>
              <w:t>2017</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jc w:val="center"/>
              <w:rPr>
                <w:kern w:val="0"/>
                <w:sz w:val="24"/>
              </w:rPr>
            </w:pPr>
            <w:r w:rsidRPr="00724E13">
              <w:rPr>
                <w:kern w:val="0"/>
                <w:sz w:val="24"/>
              </w:rPr>
              <w:t>规定了环境污染物人群暴露评估的工作程序、评估内容、评估方法及技术要求；适用于企事业单位和其他生产经营活动过程中，产生并释放于环境介质（空气、水、土壤）中的污染物（仅指化学污染物）对非职业人群的暴露评估。</w:t>
            </w:r>
          </w:p>
        </w:tc>
      </w:tr>
      <w:bookmarkEnd w:id="17"/>
      <w:tr w:rsidR="00E8004B" w:rsidRPr="00724E13" w:rsidTr="00724E13">
        <w:trPr>
          <w:trHeight w:val="807"/>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jc w:val="center"/>
              <w:rPr>
                <w:kern w:val="0"/>
                <w:sz w:val="24"/>
              </w:rPr>
            </w:pPr>
            <w:r w:rsidRPr="00724E13">
              <w:rPr>
                <w:kern w:val="0"/>
                <w:sz w:val="24"/>
              </w:rPr>
              <w:t>15</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spacing w:val="-5"/>
                <w:kern w:val="0"/>
                <w:sz w:val="24"/>
              </w:rPr>
            </w:pPr>
            <w:r w:rsidRPr="00724E13">
              <w:rPr>
                <w:spacing w:val="-5"/>
                <w:kern w:val="0"/>
                <w:sz w:val="24"/>
              </w:rPr>
              <w:t>新化学物质危害评估导则</w:t>
            </w:r>
          </w:p>
        </w:tc>
        <w:tc>
          <w:tcPr>
            <w:tcW w:w="64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kern w:val="0"/>
                <w:sz w:val="24"/>
              </w:rPr>
            </w:pPr>
            <w:r w:rsidRPr="00724E13">
              <w:rPr>
                <w:kern w:val="0"/>
                <w:sz w:val="24"/>
              </w:rPr>
              <w:t>HJ/T 154</w:t>
            </w:r>
          </w:p>
          <w:p w:rsidR="00E8004B" w:rsidRPr="00724E13" w:rsidRDefault="00E8004B" w:rsidP="00FD3269">
            <w:pPr>
              <w:jc w:val="center"/>
              <w:rPr>
                <w:kern w:val="0"/>
                <w:sz w:val="24"/>
              </w:rPr>
            </w:pPr>
            <w:r w:rsidRPr="00724E13">
              <w:rPr>
                <w:kern w:val="0"/>
                <w:sz w:val="24"/>
              </w:rPr>
              <w:t>—2004</w:t>
            </w: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jc w:val="center"/>
              <w:rPr>
                <w:kern w:val="0"/>
                <w:sz w:val="24"/>
              </w:rPr>
            </w:pPr>
            <w:r w:rsidRPr="00724E13">
              <w:rPr>
                <w:kern w:val="0"/>
                <w:sz w:val="24"/>
              </w:rPr>
              <w:t>环境保护标准</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jc w:val="center"/>
              <w:rPr>
                <w:kern w:val="0"/>
                <w:sz w:val="24"/>
              </w:rPr>
            </w:pPr>
            <w:r w:rsidRPr="00724E13">
              <w:rPr>
                <w:kern w:val="0"/>
                <w:sz w:val="24"/>
              </w:rPr>
              <w:t>规定了新化学物质危害性评估的数据要求、评估方法、分级标准、评估结论的编写等事项；适用于新化学物质申报中的专家评审和申报人的自评。</w:t>
            </w:r>
          </w:p>
        </w:tc>
      </w:tr>
      <w:tr w:rsidR="00E8004B" w:rsidRPr="00724E13" w:rsidTr="00724E13">
        <w:trPr>
          <w:trHeight w:val="807"/>
        </w:trPr>
        <w:tc>
          <w:tcPr>
            <w:tcW w:w="311" w:type="pct"/>
            <w:tcBorders>
              <w:top w:val="single" w:sz="4" w:space="0" w:color="000000"/>
              <w:left w:val="single" w:sz="8" w:space="0" w:color="000000"/>
              <w:bottom w:val="single" w:sz="4" w:space="0" w:color="000000"/>
              <w:right w:val="single" w:sz="4" w:space="0" w:color="000000"/>
            </w:tcBorders>
            <w:vAlign w:val="center"/>
          </w:tcPr>
          <w:p w:rsidR="00E8004B" w:rsidRPr="00724E13" w:rsidRDefault="00E8004B" w:rsidP="00FD3269">
            <w:pPr>
              <w:jc w:val="center"/>
              <w:rPr>
                <w:kern w:val="0"/>
                <w:sz w:val="24"/>
              </w:rPr>
            </w:pPr>
            <w:r w:rsidRPr="00724E13">
              <w:rPr>
                <w:kern w:val="0"/>
                <w:sz w:val="24"/>
              </w:rPr>
              <w:t>16</w:t>
            </w:r>
          </w:p>
        </w:tc>
        <w:tc>
          <w:tcPr>
            <w:tcW w:w="60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spacing w:val="-5"/>
                <w:kern w:val="0"/>
                <w:sz w:val="24"/>
              </w:rPr>
            </w:pPr>
            <w:r w:rsidRPr="00724E13">
              <w:rPr>
                <w:spacing w:val="-5"/>
                <w:kern w:val="0"/>
                <w:sz w:val="24"/>
              </w:rPr>
              <w:t>化妆品中可能存在的安全性风险物质风险评估指南</w:t>
            </w:r>
          </w:p>
        </w:tc>
        <w:tc>
          <w:tcPr>
            <w:tcW w:w="644" w:type="pct"/>
            <w:tcBorders>
              <w:top w:val="single" w:sz="4" w:space="0" w:color="000000"/>
              <w:left w:val="nil"/>
              <w:bottom w:val="single" w:sz="4" w:space="0" w:color="000000"/>
              <w:right w:val="single" w:sz="4" w:space="0" w:color="000000"/>
            </w:tcBorders>
            <w:vAlign w:val="center"/>
            <w:hideMark/>
          </w:tcPr>
          <w:p w:rsidR="00E8004B" w:rsidRPr="00724E13" w:rsidRDefault="00E8004B" w:rsidP="00FD3269">
            <w:pPr>
              <w:jc w:val="center"/>
              <w:rPr>
                <w:kern w:val="0"/>
                <w:sz w:val="24"/>
              </w:rPr>
            </w:pPr>
          </w:p>
        </w:tc>
        <w:tc>
          <w:tcPr>
            <w:tcW w:w="517" w:type="pct"/>
            <w:tcBorders>
              <w:top w:val="single" w:sz="4" w:space="0" w:color="000000"/>
              <w:left w:val="nil"/>
              <w:bottom w:val="single" w:sz="4" w:space="0" w:color="000000"/>
              <w:right w:val="single" w:sz="4" w:space="0" w:color="000000"/>
            </w:tcBorders>
            <w:vAlign w:val="center"/>
          </w:tcPr>
          <w:p w:rsidR="00E8004B" w:rsidRPr="00724E13" w:rsidRDefault="00E8004B" w:rsidP="00FD3269">
            <w:pPr>
              <w:jc w:val="center"/>
              <w:rPr>
                <w:kern w:val="0"/>
                <w:sz w:val="24"/>
              </w:rPr>
            </w:pPr>
            <w:r w:rsidRPr="00724E13">
              <w:rPr>
                <w:kern w:val="0"/>
                <w:sz w:val="24"/>
              </w:rPr>
              <w:t>技术文件</w:t>
            </w:r>
          </w:p>
        </w:tc>
        <w:tc>
          <w:tcPr>
            <w:tcW w:w="2924" w:type="pct"/>
            <w:tcBorders>
              <w:top w:val="single" w:sz="4" w:space="0" w:color="000000"/>
              <w:left w:val="nil"/>
              <w:bottom w:val="single" w:sz="4" w:space="0" w:color="000000"/>
              <w:right w:val="single" w:sz="8" w:space="0" w:color="000000"/>
            </w:tcBorders>
            <w:vAlign w:val="center"/>
            <w:hideMark/>
          </w:tcPr>
          <w:p w:rsidR="00E8004B" w:rsidRPr="00724E13" w:rsidRDefault="00E8004B" w:rsidP="00FD3269">
            <w:pPr>
              <w:jc w:val="center"/>
              <w:rPr>
                <w:kern w:val="0"/>
                <w:sz w:val="24"/>
              </w:rPr>
            </w:pPr>
            <w:r w:rsidRPr="00724E13">
              <w:rPr>
                <w:kern w:val="0"/>
                <w:sz w:val="24"/>
              </w:rPr>
              <w:t>规定了风险评估的基本程序、评估资料的提交形式和要求及审评原则。</w:t>
            </w:r>
          </w:p>
        </w:tc>
      </w:tr>
    </w:tbl>
    <w:p w:rsidR="00B3074D" w:rsidRPr="008D7553" w:rsidRDefault="00B3074D" w:rsidP="00B3074D">
      <w:pPr>
        <w:pStyle w:val="a7"/>
        <w:spacing w:line="360" w:lineRule="auto"/>
        <w:ind w:left="420" w:firstLineChars="0" w:firstLine="0"/>
        <w:rPr>
          <w:sz w:val="24"/>
          <w:szCs w:val="32"/>
        </w:rPr>
      </w:pPr>
    </w:p>
    <w:p w:rsidR="005F3F26" w:rsidRPr="00721B78" w:rsidRDefault="00BD149B"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此外，</w:t>
      </w:r>
      <w:r w:rsidR="003728AA" w:rsidRPr="00721B78">
        <w:rPr>
          <w:rFonts w:ascii="Times New Roman" w:eastAsiaTheme="minorEastAsia" w:hAnsi="Times New Roman"/>
          <w:kern w:val="2"/>
          <w:sz w:val="28"/>
          <w:szCs w:val="28"/>
        </w:rPr>
        <w:t>包括《暴露参数调查技术规范》、《儿童土壤摄入量调查技术规范》、《环境污染物人群暴露评估技术指南》等</w:t>
      </w:r>
      <w:r w:rsidR="00FD3269" w:rsidRPr="00721B78">
        <w:rPr>
          <w:rFonts w:ascii="Times New Roman" w:eastAsiaTheme="minorEastAsia" w:hAnsi="Times New Roman"/>
          <w:kern w:val="2"/>
          <w:sz w:val="28"/>
          <w:szCs w:val="28"/>
        </w:rPr>
        <w:t>给出了暴露参数的工作流程、方法、内容和一般原则</w:t>
      </w:r>
      <w:r w:rsidRPr="00721B78">
        <w:rPr>
          <w:rFonts w:ascii="Times New Roman" w:eastAsiaTheme="minorEastAsia" w:hAnsi="Times New Roman"/>
          <w:kern w:val="2"/>
          <w:sz w:val="28"/>
          <w:szCs w:val="28"/>
        </w:rPr>
        <w:t>，</w:t>
      </w:r>
      <w:r w:rsidR="00703E84" w:rsidRPr="00721B78">
        <w:rPr>
          <w:rFonts w:ascii="Times New Roman" w:eastAsiaTheme="minorEastAsia" w:hAnsi="Times New Roman"/>
          <w:kern w:val="2"/>
          <w:sz w:val="28"/>
          <w:szCs w:val="28"/>
        </w:rPr>
        <w:t>强调了</w:t>
      </w:r>
      <w:r w:rsidRPr="00721B78">
        <w:rPr>
          <w:rFonts w:ascii="Times New Roman" w:eastAsiaTheme="minorEastAsia" w:hAnsi="Times New Roman"/>
          <w:kern w:val="2"/>
          <w:sz w:val="28"/>
          <w:szCs w:val="28"/>
        </w:rPr>
        <w:t>在参数本地化、情景本地化等方面</w:t>
      </w:r>
      <w:r w:rsidR="00703E84" w:rsidRPr="00721B78">
        <w:rPr>
          <w:rFonts w:ascii="Times New Roman" w:eastAsiaTheme="minorEastAsia" w:hAnsi="Times New Roman"/>
          <w:kern w:val="2"/>
          <w:sz w:val="28"/>
          <w:szCs w:val="28"/>
        </w:rPr>
        <w:t>重要性</w:t>
      </w:r>
      <w:r w:rsidR="00F835CF" w:rsidRPr="00721B78">
        <w:rPr>
          <w:rFonts w:ascii="Times New Roman" w:eastAsiaTheme="minorEastAsia" w:hAnsi="Times New Roman"/>
          <w:kern w:val="2"/>
          <w:sz w:val="28"/>
          <w:szCs w:val="28"/>
        </w:rPr>
        <w:t>。</w:t>
      </w:r>
      <w:r w:rsidR="00236370" w:rsidRPr="00721B78">
        <w:rPr>
          <w:rFonts w:ascii="Times New Roman" w:eastAsiaTheme="minorEastAsia" w:hAnsi="Times New Roman"/>
          <w:kern w:val="2"/>
          <w:sz w:val="28"/>
          <w:szCs w:val="28"/>
        </w:rPr>
        <w:t>因此，</w:t>
      </w:r>
      <w:r w:rsidR="00B7219C" w:rsidRPr="00721B78">
        <w:rPr>
          <w:rFonts w:ascii="Times New Roman" w:eastAsiaTheme="minorEastAsia" w:hAnsi="Times New Roman"/>
          <w:kern w:val="2"/>
          <w:sz w:val="28"/>
          <w:szCs w:val="28"/>
        </w:rPr>
        <w:t>本团队依托国家重点研发计划绿色宜居村镇技术创新专项村镇社区环境监测及修复关键技术研发，针对村镇社区</w:t>
      </w:r>
      <w:r w:rsidR="007F248B" w:rsidRPr="00721B78">
        <w:rPr>
          <w:rFonts w:ascii="Times New Roman" w:eastAsiaTheme="minorEastAsia" w:hAnsi="Times New Roman"/>
          <w:kern w:val="2"/>
          <w:sz w:val="28"/>
          <w:szCs w:val="28"/>
        </w:rPr>
        <w:t>环境</w:t>
      </w:r>
      <w:r w:rsidR="00B7219C" w:rsidRPr="00721B78">
        <w:rPr>
          <w:rFonts w:ascii="Times New Roman" w:eastAsiaTheme="minorEastAsia" w:hAnsi="Times New Roman"/>
          <w:kern w:val="2"/>
          <w:sz w:val="28"/>
          <w:szCs w:val="28"/>
        </w:rPr>
        <w:t>，研究了污染物在</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水</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土</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植物根系</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微生物</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的多介质</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多要素</w:t>
      </w:r>
      <w:r w:rsidR="00B7219C" w:rsidRPr="00721B78">
        <w:rPr>
          <w:rFonts w:ascii="Times New Roman" w:eastAsiaTheme="minorEastAsia" w:hAnsi="Times New Roman"/>
          <w:kern w:val="2"/>
          <w:sz w:val="28"/>
          <w:szCs w:val="28"/>
        </w:rPr>
        <w:t>-</w:t>
      </w:r>
      <w:r w:rsidR="00B7219C" w:rsidRPr="00721B78">
        <w:rPr>
          <w:rFonts w:ascii="Times New Roman" w:eastAsiaTheme="minorEastAsia" w:hAnsi="Times New Roman"/>
          <w:kern w:val="2"/>
          <w:sz w:val="28"/>
          <w:szCs w:val="28"/>
        </w:rPr>
        <w:t>多过程变化的动态、转化机理和归趋，构建并优化适合村镇社区污染物快速监测和风险评估技术体系。在村镇社区污染</w:t>
      </w:r>
      <w:r w:rsidR="00F835CF" w:rsidRPr="00721B78">
        <w:rPr>
          <w:rFonts w:ascii="Times New Roman" w:eastAsiaTheme="minorEastAsia" w:hAnsi="Times New Roman"/>
          <w:kern w:val="2"/>
          <w:sz w:val="28"/>
          <w:szCs w:val="28"/>
        </w:rPr>
        <w:t>系统性调查</w:t>
      </w:r>
      <w:r w:rsidR="00B56FB9" w:rsidRPr="00721B78">
        <w:rPr>
          <w:rFonts w:ascii="Times New Roman" w:eastAsiaTheme="minorEastAsia" w:hAnsi="Times New Roman"/>
          <w:kern w:val="2"/>
          <w:sz w:val="28"/>
          <w:szCs w:val="28"/>
        </w:rPr>
        <w:t>的</w:t>
      </w:r>
      <w:r w:rsidR="00F835CF" w:rsidRPr="00721B78">
        <w:rPr>
          <w:rFonts w:ascii="Times New Roman" w:eastAsiaTheme="minorEastAsia" w:hAnsi="Times New Roman"/>
          <w:kern w:val="2"/>
          <w:sz w:val="28"/>
          <w:szCs w:val="28"/>
        </w:rPr>
        <w:t>基础上，开展膳食结构调查，农产品污染物分析等，获取了包括传统和新型污染物在内的本地化暴露参数</w:t>
      </w:r>
      <w:r w:rsidR="00B7219C" w:rsidRPr="00721B78">
        <w:rPr>
          <w:rFonts w:ascii="Times New Roman" w:eastAsiaTheme="minorEastAsia" w:hAnsi="Times New Roman"/>
          <w:kern w:val="2"/>
          <w:sz w:val="28"/>
          <w:szCs w:val="28"/>
        </w:rPr>
        <w:t>，</w:t>
      </w:r>
      <w:r w:rsidR="00D57587" w:rsidRPr="00721B78">
        <w:rPr>
          <w:rFonts w:ascii="Times New Roman" w:eastAsiaTheme="minorEastAsia" w:hAnsi="Times New Roman"/>
          <w:kern w:val="2"/>
          <w:sz w:val="28"/>
          <w:szCs w:val="28"/>
        </w:rPr>
        <w:t>考虑到村镇生产和生活场景交融的特殊性，针对性的</w:t>
      </w:r>
      <w:r w:rsidR="00B7219C" w:rsidRPr="00721B78">
        <w:rPr>
          <w:rFonts w:ascii="Times New Roman" w:eastAsiaTheme="minorEastAsia" w:hAnsi="Times New Roman"/>
          <w:kern w:val="2"/>
          <w:sz w:val="28"/>
          <w:szCs w:val="28"/>
        </w:rPr>
        <w:t>提出了村镇社区污染</w:t>
      </w:r>
      <w:r w:rsidR="00D57587" w:rsidRPr="00721B78">
        <w:rPr>
          <w:rFonts w:ascii="Times New Roman" w:eastAsiaTheme="minorEastAsia" w:hAnsi="Times New Roman"/>
          <w:kern w:val="2"/>
          <w:sz w:val="28"/>
          <w:szCs w:val="28"/>
        </w:rPr>
        <w:t>风险评估技术方法</w:t>
      </w:r>
      <w:r w:rsidR="00B7219C" w:rsidRPr="00721B78">
        <w:rPr>
          <w:rFonts w:ascii="Times New Roman" w:eastAsiaTheme="minorEastAsia" w:hAnsi="Times New Roman"/>
          <w:kern w:val="2"/>
          <w:sz w:val="28"/>
          <w:szCs w:val="28"/>
        </w:rPr>
        <w:t>，为本技术</w:t>
      </w:r>
      <w:r w:rsidR="00D57587" w:rsidRPr="00721B78">
        <w:rPr>
          <w:rFonts w:ascii="Times New Roman" w:eastAsiaTheme="minorEastAsia" w:hAnsi="Times New Roman"/>
          <w:kern w:val="2"/>
          <w:sz w:val="28"/>
          <w:szCs w:val="28"/>
        </w:rPr>
        <w:t>规范</w:t>
      </w:r>
      <w:r w:rsidR="00B7219C" w:rsidRPr="00721B78">
        <w:rPr>
          <w:rFonts w:ascii="Times New Roman" w:eastAsiaTheme="minorEastAsia" w:hAnsi="Times New Roman"/>
          <w:kern w:val="2"/>
          <w:sz w:val="28"/>
          <w:szCs w:val="28"/>
        </w:rPr>
        <w:t>的制定奠定了基础支撑。</w:t>
      </w:r>
    </w:p>
    <w:p w:rsidR="005944F5" w:rsidRPr="008D7553" w:rsidRDefault="005944F5" w:rsidP="00502C30">
      <w:pPr>
        <w:numPr>
          <w:ilvl w:val="0"/>
          <w:numId w:val="1"/>
        </w:numPr>
        <w:spacing w:line="360" w:lineRule="auto"/>
        <w:ind w:left="0" w:firstLineChars="200" w:firstLine="602"/>
        <w:outlineLvl w:val="0"/>
        <w:rPr>
          <w:rFonts w:eastAsia="黑体"/>
          <w:b/>
          <w:bCs/>
          <w:sz w:val="30"/>
          <w:szCs w:val="30"/>
        </w:rPr>
      </w:pPr>
      <w:bookmarkStart w:id="18" w:name="_Toc119660573"/>
      <w:r w:rsidRPr="008D7553">
        <w:rPr>
          <w:rFonts w:eastAsia="黑体"/>
          <w:b/>
          <w:bCs/>
          <w:sz w:val="30"/>
          <w:szCs w:val="30"/>
        </w:rPr>
        <w:lastRenderedPageBreak/>
        <w:t>编制工作过程</w:t>
      </w:r>
      <w:bookmarkEnd w:id="18"/>
    </w:p>
    <w:p w:rsidR="007E2462"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19" w:name="_Toc119660574"/>
      <w:r w:rsidRPr="002D35B8">
        <w:rPr>
          <w:rFonts w:hint="eastAsia"/>
          <w:b/>
          <w:kern w:val="2"/>
          <w:sz w:val="28"/>
          <w:szCs w:val="28"/>
        </w:rPr>
        <w:t>（一）</w:t>
      </w:r>
      <w:r w:rsidR="007E2462" w:rsidRPr="002D35B8">
        <w:rPr>
          <w:rFonts w:hint="eastAsia"/>
          <w:b/>
          <w:kern w:val="2"/>
          <w:sz w:val="28"/>
          <w:szCs w:val="28"/>
        </w:rPr>
        <w:t>工作主要时间节点</w:t>
      </w:r>
      <w:bookmarkEnd w:id="19"/>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2020</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1-10</w:t>
      </w:r>
      <w:r w:rsidRPr="00721B78">
        <w:rPr>
          <w:rFonts w:ascii="Times New Roman" w:eastAsiaTheme="minorEastAsia" w:hAnsi="Times New Roman"/>
          <w:kern w:val="2"/>
          <w:sz w:val="28"/>
          <w:szCs w:val="28"/>
        </w:rPr>
        <w:t>月：重庆大学、农业农村部规划设计研究院、中国农业科学院农业环境与可持续发展研究所依托</w:t>
      </w:r>
      <w:r w:rsidR="00C771BA" w:rsidRPr="00C771BA">
        <w:rPr>
          <w:rFonts w:ascii="Times New Roman" w:eastAsiaTheme="minorEastAsia" w:hAnsi="Times New Roman" w:hint="eastAsia"/>
          <w:kern w:val="2"/>
          <w:sz w:val="28"/>
          <w:szCs w:val="28"/>
        </w:rPr>
        <w:t>国家重点研发计划</w:t>
      </w:r>
      <w:r w:rsidR="00061475">
        <w:rPr>
          <w:rFonts w:ascii="Times New Roman" w:eastAsiaTheme="minorEastAsia" w:hAnsi="Times New Roman" w:hint="eastAsia"/>
          <w:kern w:val="2"/>
          <w:sz w:val="28"/>
          <w:szCs w:val="28"/>
        </w:rPr>
        <w:t>“</w:t>
      </w:r>
      <w:r w:rsidR="00061475" w:rsidRPr="00C771BA">
        <w:rPr>
          <w:rFonts w:ascii="Times New Roman" w:eastAsiaTheme="minorEastAsia" w:hAnsi="Times New Roman" w:hint="eastAsia"/>
          <w:kern w:val="2"/>
          <w:sz w:val="28"/>
          <w:szCs w:val="28"/>
        </w:rPr>
        <w:t>绿色宜居村镇技术创新专项</w:t>
      </w:r>
      <w:r w:rsidR="00061475">
        <w:rPr>
          <w:rFonts w:ascii="Times New Roman" w:eastAsiaTheme="minorEastAsia" w:hAnsi="Times New Roman" w:hint="eastAsia"/>
          <w:kern w:val="2"/>
          <w:sz w:val="28"/>
          <w:szCs w:val="28"/>
        </w:rPr>
        <w:t>”</w:t>
      </w:r>
      <w:r w:rsidR="007D5BA9">
        <w:rPr>
          <w:rFonts w:ascii="Times New Roman" w:eastAsiaTheme="minorEastAsia" w:hAnsi="Times New Roman" w:hint="eastAsia"/>
          <w:kern w:val="2"/>
          <w:sz w:val="28"/>
          <w:szCs w:val="28"/>
        </w:rPr>
        <w:t>《</w:t>
      </w:r>
      <w:r w:rsidR="007D5BA9" w:rsidRPr="00C771BA">
        <w:rPr>
          <w:rFonts w:ascii="Times New Roman" w:eastAsiaTheme="minorEastAsia" w:hAnsi="Times New Roman" w:hint="eastAsia"/>
          <w:kern w:val="2"/>
          <w:sz w:val="28"/>
          <w:szCs w:val="28"/>
        </w:rPr>
        <w:t>村镇社区环境监测及修复关键技术</w:t>
      </w:r>
      <w:r w:rsidR="00EF1ED3">
        <w:rPr>
          <w:rFonts w:ascii="Times New Roman" w:eastAsiaTheme="minorEastAsia" w:hAnsi="Times New Roman" w:hint="eastAsia"/>
          <w:kern w:val="2"/>
          <w:sz w:val="28"/>
          <w:szCs w:val="28"/>
        </w:rPr>
        <w:t>研究</w:t>
      </w:r>
      <w:r w:rsidR="007D5BA9">
        <w:rPr>
          <w:rFonts w:ascii="Times New Roman" w:eastAsiaTheme="minorEastAsia" w:hAnsi="Times New Roman" w:hint="eastAsia"/>
          <w:kern w:val="2"/>
          <w:sz w:val="28"/>
          <w:szCs w:val="28"/>
        </w:rPr>
        <w:t>》</w:t>
      </w:r>
      <w:r w:rsidR="00C771BA" w:rsidRPr="00C771BA">
        <w:rPr>
          <w:rFonts w:ascii="Times New Roman" w:eastAsiaTheme="minorEastAsia" w:hAnsi="Times New Roman" w:hint="eastAsia"/>
          <w:kern w:val="2"/>
          <w:sz w:val="28"/>
          <w:szCs w:val="28"/>
        </w:rPr>
        <w:t>项目</w:t>
      </w:r>
      <w:r w:rsidR="00061475">
        <w:rPr>
          <w:rFonts w:ascii="Times New Roman" w:eastAsiaTheme="minorEastAsia" w:hAnsi="Times New Roman" w:hint="eastAsia"/>
          <w:kern w:val="2"/>
          <w:sz w:val="28"/>
          <w:szCs w:val="28"/>
        </w:rPr>
        <w:t>下属课题</w:t>
      </w:r>
      <w:r w:rsidR="00C771BA" w:rsidRPr="00C771BA">
        <w:rPr>
          <w:rFonts w:ascii="Times New Roman" w:eastAsiaTheme="minorEastAsia" w:hAnsi="Times New Roman" w:hint="eastAsia"/>
          <w:kern w:val="2"/>
          <w:sz w:val="28"/>
          <w:szCs w:val="28"/>
        </w:rPr>
        <w:t>“村镇社区环境污染分类和风险评估技术及方法研究”（</w:t>
      </w:r>
      <w:r w:rsidR="00C771BA" w:rsidRPr="00C771BA">
        <w:rPr>
          <w:rFonts w:ascii="Times New Roman" w:eastAsiaTheme="minorEastAsia" w:hAnsi="Times New Roman" w:hint="eastAsia"/>
          <w:kern w:val="2"/>
          <w:sz w:val="28"/>
          <w:szCs w:val="28"/>
        </w:rPr>
        <w:t>2019YFD1100501</w:t>
      </w:r>
      <w:r w:rsidR="00C771BA" w:rsidRPr="00C771BA">
        <w:rPr>
          <w:rFonts w:ascii="Times New Roman" w:eastAsiaTheme="minorEastAsia" w:hAnsi="Times New Roman" w:hint="eastAsia"/>
          <w:kern w:val="2"/>
          <w:sz w:val="28"/>
          <w:szCs w:val="28"/>
        </w:rPr>
        <w:t>）</w:t>
      </w:r>
      <w:r w:rsidRPr="00721B78">
        <w:rPr>
          <w:rFonts w:ascii="Times New Roman" w:eastAsiaTheme="minorEastAsia" w:hAnsi="Times New Roman"/>
          <w:kern w:val="2"/>
          <w:sz w:val="28"/>
          <w:szCs w:val="28"/>
        </w:rPr>
        <w:t>，形成编著团队，针对村镇社区污染风险评估开展前期研究工作，收集国内外有关标准资料。</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2020</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11-12</w:t>
      </w:r>
      <w:r w:rsidRPr="00721B78">
        <w:rPr>
          <w:rFonts w:ascii="Times New Roman" w:eastAsiaTheme="minorEastAsia" w:hAnsi="Times New Roman"/>
          <w:kern w:val="2"/>
          <w:sz w:val="28"/>
          <w:szCs w:val="28"/>
        </w:rPr>
        <w:t>月：编制团队正式成立标准制定小组，制定标准编制方案、原则和计划等。</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2021</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w:t>
      </w:r>
      <w:r w:rsidRPr="00721B78">
        <w:rPr>
          <w:rFonts w:ascii="Times New Roman" w:eastAsiaTheme="minorEastAsia" w:hAnsi="Times New Roman"/>
          <w:kern w:val="2"/>
          <w:sz w:val="28"/>
          <w:szCs w:val="28"/>
        </w:rPr>
        <w:t>月</w:t>
      </w:r>
      <w:r w:rsidRPr="00721B78">
        <w:rPr>
          <w:rFonts w:ascii="Times New Roman" w:eastAsiaTheme="minorEastAsia" w:hAnsi="Times New Roman"/>
          <w:kern w:val="2"/>
          <w:sz w:val="28"/>
          <w:szCs w:val="28"/>
        </w:rPr>
        <w:t>-6</w:t>
      </w:r>
      <w:r w:rsidRPr="00721B78">
        <w:rPr>
          <w:rFonts w:ascii="Times New Roman" w:eastAsiaTheme="minorEastAsia" w:hAnsi="Times New Roman"/>
          <w:kern w:val="2"/>
          <w:sz w:val="28"/>
          <w:szCs w:val="28"/>
        </w:rPr>
        <w:t>月：根据编制的标准与国家标准体系协调一致的原则，并体现技术先进，科学实用，便于实施的特点，讨论确定了标准的基本结构和内容框架。</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2021</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7-8</w:t>
      </w:r>
      <w:r w:rsidRPr="00721B78">
        <w:rPr>
          <w:rFonts w:ascii="Times New Roman" w:eastAsiaTheme="minorEastAsia" w:hAnsi="Times New Roman"/>
          <w:kern w:val="2"/>
          <w:sz w:val="28"/>
          <w:szCs w:val="28"/>
        </w:rPr>
        <w:t>月：确定编制内容提纲，明确人员分工。提出、研究、分析标准中技术内容。</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2020</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w:t>
      </w:r>
      <w:r w:rsidRPr="00721B78">
        <w:rPr>
          <w:rFonts w:ascii="Times New Roman" w:eastAsiaTheme="minorEastAsia" w:hAnsi="Times New Roman"/>
          <w:kern w:val="2"/>
          <w:sz w:val="28"/>
          <w:szCs w:val="28"/>
        </w:rPr>
        <w:t>月</w:t>
      </w: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w:t>
      </w:r>
      <w:r w:rsidRPr="00721B78">
        <w:rPr>
          <w:rFonts w:ascii="Times New Roman" w:eastAsiaTheme="minorEastAsia" w:hAnsi="Times New Roman"/>
          <w:kern w:val="2"/>
          <w:sz w:val="28"/>
          <w:szCs w:val="28"/>
        </w:rPr>
        <w:t>月：编制工作组依托课题工作，基于已有标准框架，针对我国不同地区和不同类型村镇污染开展实证研究。通过对辽宁、上海、青海、四川、西藏等地区养殖、农耕、加工、矿产、冶金等不同产业类型村镇的案例调研，形成了系统的村镇污染风险评估技术报告，收集了相关本地化参数，初步验证了评估方法的可行性和科学性。</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lastRenderedPageBreak/>
        <w:t>2021</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9-12</w:t>
      </w:r>
      <w:r w:rsidRPr="00721B78">
        <w:rPr>
          <w:rFonts w:ascii="Times New Roman" w:eastAsiaTheme="minorEastAsia" w:hAnsi="Times New Roman"/>
          <w:kern w:val="2"/>
          <w:sz w:val="28"/>
          <w:szCs w:val="28"/>
        </w:rPr>
        <w:t>月：编写完成初稿。其中，标准编制小组集中讨论标准内容，对标准提纲及内容进行系统分析讨论。</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1-8</w:t>
      </w:r>
      <w:r w:rsidRPr="00721B78">
        <w:rPr>
          <w:rFonts w:ascii="Times New Roman" w:eastAsiaTheme="minorEastAsia" w:hAnsi="Times New Roman"/>
          <w:kern w:val="2"/>
          <w:sz w:val="28"/>
          <w:szCs w:val="28"/>
        </w:rPr>
        <w:t>月：提出了标准征求意见稿，同时完成编制说明。</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9-10</w:t>
      </w:r>
      <w:r w:rsidRPr="00721B78">
        <w:rPr>
          <w:rFonts w:ascii="Times New Roman" w:eastAsiaTheme="minorEastAsia" w:hAnsi="Times New Roman"/>
          <w:kern w:val="2"/>
          <w:sz w:val="28"/>
          <w:szCs w:val="28"/>
        </w:rPr>
        <w:t>：征求各有关的意见。以电子邮件、寄送标准文件等形式，征求本领域专家意见。征求意见力求涵盖专家、生产和应用企业等，全面听取各层面的建议，为标准编写的科学性、先进性、可行性和可操作性提供有力保障。</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10</w:t>
      </w:r>
      <w:r w:rsidRPr="00721B78">
        <w:rPr>
          <w:rFonts w:ascii="Times New Roman" w:eastAsiaTheme="minorEastAsia" w:hAnsi="Times New Roman"/>
          <w:kern w:val="2"/>
          <w:sz w:val="28"/>
          <w:szCs w:val="28"/>
        </w:rPr>
        <w:t>月：按照征求意见，修改完善标准内容，形成标准送审稿。</w:t>
      </w:r>
    </w:p>
    <w:p w:rsidR="005944F5" w:rsidRPr="00721B78" w:rsidRDefault="005944F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11</w:t>
      </w:r>
      <w:r w:rsidRPr="00721B78">
        <w:rPr>
          <w:rFonts w:ascii="Times New Roman" w:eastAsiaTheme="minorEastAsia" w:hAnsi="Times New Roman"/>
          <w:kern w:val="2"/>
          <w:sz w:val="28"/>
          <w:szCs w:val="28"/>
        </w:rPr>
        <w:t>月：组织有关专家对标准送审稿进行审定；根据专家意见，相应修改标准的内容，完成标准报批稿。</w:t>
      </w:r>
    </w:p>
    <w:p w:rsidR="009A09E0" w:rsidRPr="002D35B8" w:rsidRDefault="0044664C" w:rsidP="0044664C">
      <w:pPr>
        <w:pStyle w:val="ac"/>
        <w:spacing w:before="0" w:beforeAutospacing="0" w:after="0" w:afterAutospacing="0" w:line="360" w:lineRule="auto"/>
        <w:ind w:left="600"/>
        <w:jc w:val="both"/>
        <w:outlineLvl w:val="1"/>
        <w:rPr>
          <w:b/>
          <w:kern w:val="2"/>
          <w:sz w:val="28"/>
          <w:szCs w:val="28"/>
        </w:rPr>
      </w:pPr>
      <w:bookmarkStart w:id="20" w:name="_Toc119660575"/>
      <w:r w:rsidRPr="002D35B8">
        <w:rPr>
          <w:rFonts w:hint="eastAsia"/>
          <w:b/>
          <w:kern w:val="2"/>
          <w:sz w:val="28"/>
          <w:szCs w:val="28"/>
        </w:rPr>
        <w:t>（二）</w:t>
      </w:r>
      <w:r w:rsidR="009A09E0" w:rsidRPr="002D35B8">
        <w:rPr>
          <w:rFonts w:hint="eastAsia"/>
          <w:b/>
          <w:kern w:val="2"/>
          <w:sz w:val="28"/>
          <w:szCs w:val="28"/>
        </w:rPr>
        <w:t>编制研究过程</w:t>
      </w:r>
      <w:r w:rsidR="004E79A8" w:rsidRPr="002D35B8">
        <w:rPr>
          <w:rFonts w:hint="eastAsia"/>
          <w:b/>
          <w:kern w:val="2"/>
          <w:sz w:val="28"/>
          <w:szCs w:val="28"/>
        </w:rPr>
        <w:t>和阶段性结果</w:t>
      </w:r>
      <w:bookmarkEnd w:id="20"/>
    </w:p>
    <w:p w:rsidR="005944F5" w:rsidRPr="00721B78" w:rsidRDefault="009B78E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编著项目小组</w:t>
      </w:r>
      <w:r w:rsidRPr="00721B78">
        <w:rPr>
          <w:rFonts w:ascii="Times New Roman" w:eastAsiaTheme="minorEastAsia" w:hAnsi="Times New Roman"/>
          <w:kern w:val="2"/>
          <w:sz w:val="28"/>
          <w:szCs w:val="28"/>
        </w:rPr>
        <w:t>2020</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w:t>
      </w:r>
      <w:r w:rsidRPr="00721B78">
        <w:rPr>
          <w:rFonts w:ascii="Times New Roman" w:eastAsiaTheme="minorEastAsia" w:hAnsi="Times New Roman"/>
          <w:kern w:val="2"/>
          <w:sz w:val="28"/>
          <w:szCs w:val="28"/>
        </w:rPr>
        <w:t>月</w:t>
      </w:r>
      <w:r w:rsidRPr="00721B78">
        <w:rPr>
          <w:rFonts w:ascii="Times New Roman" w:eastAsiaTheme="minorEastAsia" w:hAnsi="Times New Roman"/>
          <w:kern w:val="2"/>
          <w:sz w:val="28"/>
          <w:szCs w:val="28"/>
        </w:rPr>
        <w:t>-2022</w:t>
      </w:r>
      <w:r w:rsidRPr="00721B78">
        <w:rPr>
          <w:rFonts w:ascii="Times New Roman" w:eastAsiaTheme="minorEastAsia" w:hAnsi="Times New Roman"/>
          <w:kern w:val="2"/>
          <w:sz w:val="28"/>
          <w:szCs w:val="28"/>
        </w:rPr>
        <w:t>年</w:t>
      </w:r>
      <w:r w:rsidRPr="00721B78">
        <w:rPr>
          <w:rFonts w:ascii="Times New Roman" w:eastAsiaTheme="minorEastAsia" w:hAnsi="Times New Roman"/>
          <w:kern w:val="2"/>
          <w:sz w:val="28"/>
          <w:szCs w:val="28"/>
        </w:rPr>
        <w:t>9</w:t>
      </w:r>
      <w:r w:rsidRPr="00721B78">
        <w:rPr>
          <w:rFonts w:ascii="Times New Roman" w:eastAsiaTheme="minorEastAsia" w:hAnsi="Times New Roman"/>
          <w:kern w:val="2"/>
          <w:sz w:val="28"/>
          <w:szCs w:val="28"/>
        </w:rPr>
        <w:t>月期间，对上海、西宁、岫岩、盐亭等地的调研结果表明，各类型村镇居民均就近工作或成立家庭小作坊，农耕型村镇日常膳食基本来源于自家种植，工业和其他类型村镇居民大部分在房前屋后自种蔬菜供家庭食用，肉类等基本从超市购买，饮用水大部分为自来水，河网地区常有在周边河道洗衣、淘菜等行为发生。因此，不同土地利用类型下主要的暴露人群和包括的暴露途径不同。住宅用地默认假设为独栋楼房，周围土壤中种植蔬果等供食用，家庭中的儿童为敏感人群。农业用地为大面积种植区域，包括水田、蔬菜大棚、果园等，无建筑物，暴露人群为在土地中工作的人群，以及农业用地拥有者家庭。商业用地，即村镇中小型手工业、</w:t>
      </w:r>
      <w:r w:rsidRPr="00721B78">
        <w:rPr>
          <w:rFonts w:ascii="Times New Roman" w:eastAsiaTheme="minorEastAsia" w:hAnsi="Times New Roman"/>
          <w:kern w:val="2"/>
          <w:sz w:val="28"/>
          <w:szCs w:val="28"/>
        </w:rPr>
        <w:lastRenderedPageBreak/>
        <w:t>场镇街道等，假定暴露人群大部分时间在室内活动，主要从事文职或相对轻体力的工作。基于考察结果形成了标准中不同用地类型下的村镇居民暴露途径分析结果。</w:t>
      </w:r>
    </w:p>
    <w:p w:rsidR="008438FA" w:rsidRPr="00721B78" w:rsidRDefault="008438F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同时针对不同地区的暴露参数进行了本地化的收集和整理</w:t>
      </w:r>
      <w:r w:rsidR="003B479E" w:rsidRPr="00721B78">
        <w:rPr>
          <w:rFonts w:ascii="Times New Roman" w:eastAsiaTheme="minorEastAsia" w:hAnsi="Times New Roman"/>
          <w:kern w:val="2"/>
          <w:sz w:val="28"/>
          <w:szCs w:val="28"/>
        </w:rPr>
        <w:t xml:space="preserve">, </w:t>
      </w:r>
      <w:r w:rsidR="003B479E" w:rsidRPr="00721B78">
        <w:rPr>
          <w:rFonts w:ascii="Times New Roman" w:eastAsiaTheme="minorEastAsia" w:hAnsi="Times New Roman"/>
          <w:kern w:val="2"/>
          <w:sz w:val="28"/>
          <w:szCs w:val="28"/>
        </w:rPr>
        <w:t>不同地区的暴露参数包括暴露频率、饮食结构、人群身体参数等存在显著差异</w:t>
      </w:r>
      <w:r w:rsidRPr="00721B78">
        <w:rPr>
          <w:rFonts w:ascii="Times New Roman" w:eastAsiaTheme="minorEastAsia" w:hAnsi="Times New Roman"/>
          <w:kern w:val="2"/>
          <w:sz w:val="28"/>
          <w:szCs w:val="28"/>
        </w:rPr>
        <w:t>。摄入量相关的参数主要是饮食的每日摄入量，调查统计膳食消费量通过</w:t>
      </w:r>
      <w:r w:rsidRPr="00721B78">
        <w:rPr>
          <w:rFonts w:ascii="Times New Roman" w:eastAsiaTheme="minorEastAsia" w:hAnsi="Times New Roman"/>
          <w:kern w:val="2"/>
          <w:sz w:val="28"/>
          <w:szCs w:val="28"/>
        </w:rPr>
        <w:t>24</w:t>
      </w:r>
      <w:r w:rsidRPr="00721B78">
        <w:rPr>
          <w:rFonts w:ascii="Times New Roman" w:eastAsiaTheme="minorEastAsia" w:hAnsi="Times New Roman"/>
          <w:kern w:val="2"/>
          <w:sz w:val="28"/>
          <w:szCs w:val="28"/>
        </w:rPr>
        <w:t>小时膳食回顾法收集每个区域村镇居民不同年龄组人群（</w:t>
      </w:r>
      <w:r w:rsidRPr="00721B78">
        <w:rPr>
          <w:rFonts w:ascii="Times New Roman" w:eastAsiaTheme="minorEastAsia" w:hAnsi="Times New Roman"/>
          <w:kern w:val="2"/>
          <w:sz w:val="28"/>
          <w:szCs w:val="28"/>
        </w:rPr>
        <w:t>2-6</w:t>
      </w:r>
      <w:r w:rsidRPr="00721B78">
        <w:rPr>
          <w:rFonts w:ascii="Times New Roman" w:eastAsiaTheme="minorEastAsia" w:hAnsi="Times New Roman"/>
          <w:kern w:val="2"/>
          <w:sz w:val="28"/>
          <w:szCs w:val="28"/>
        </w:rPr>
        <w:t>岁儿童，</w:t>
      </w:r>
      <w:r w:rsidRPr="00721B78">
        <w:rPr>
          <w:rFonts w:ascii="Times New Roman" w:eastAsiaTheme="minorEastAsia" w:hAnsi="Times New Roman"/>
          <w:kern w:val="2"/>
          <w:sz w:val="28"/>
          <w:szCs w:val="28"/>
        </w:rPr>
        <w:t>18</w:t>
      </w:r>
      <w:r w:rsidRPr="00721B78">
        <w:rPr>
          <w:rFonts w:ascii="Times New Roman" w:eastAsiaTheme="minorEastAsia" w:hAnsi="Times New Roman"/>
          <w:kern w:val="2"/>
          <w:sz w:val="28"/>
          <w:szCs w:val="28"/>
        </w:rPr>
        <w:t>岁以上成人，全人群）在不同季节的食物组成，通过调查数据最终获得我们选定的</w:t>
      </w:r>
      <w:r w:rsidRPr="00721B78">
        <w:rPr>
          <w:rFonts w:ascii="Times New Roman" w:eastAsiaTheme="minorEastAsia" w:hAnsi="Times New Roman"/>
          <w:kern w:val="2"/>
          <w:sz w:val="28"/>
          <w:szCs w:val="28"/>
        </w:rPr>
        <w:t>20</w:t>
      </w:r>
      <w:r w:rsidRPr="00721B78">
        <w:rPr>
          <w:rFonts w:ascii="Times New Roman" w:eastAsiaTheme="minorEastAsia" w:hAnsi="Times New Roman"/>
          <w:kern w:val="2"/>
          <w:sz w:val="28"/>
          <w:szCs w:val="28"/>
        </w:rPr>
        <w:t>类自用农产品的消费人日数及消费量（</w:t>
      </w:r>
      <w:r w:rsidRPr="00721B78">
        <w:rPr>
          <w:rFonts w:ascii="Times New Roman" w:eastAsiaTheme="minorEastAsia" w:hAnsi="Times New Roman"/>
          <w:kern w:val="2"/>
          <w:sz w:val="28"/>
          <w:szCs w:val="28"/>
        </w:rPr>
        <w:t>g/ day</w:t>
      </w:r>
      <w:r w:rsidRPr="00721B78">
        <w:rPr>
          <w:rFonts w:ascii="Times New Roman" w:eastAsiaTheme="minorEastAsia" w:hAnsi="Times New Roman"/>
          <w:kern w:val="2"/>
          <w:sz w:val="28"/>
          <w:szCs w:val="28"/>
        </w:rPr>
        <w:t>）。</w:t>
      </w:r>
    </w:p>
    <w:p w:rsidR="00C653F4" w:rsidRPr="00721B78" w:rsidRDefault="008D3112"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标准编制小组对于不同地区村镇农户的膳食结构进行了问卷调查，每一村子发放并回收约</w:t>
      </w:r>
      <w:r w:rsidRPr="00721B78">
        <w:rPr>
          <w:rFonts w:ascii="Times New Roman" w:eastAsiaTheme="minorEastAsia" w:hAnsi="Times New Roman"/>
          <w:kern w:val="2"/>
          <w:sz w:val="28"/>
          <w:szCs w:val="28"/>
        </w:rPr>
        <w:t>30</w:t>
      </w:r>
      <w:r w:rsidRPr="00721B78">
        <w:rPr>
          <w:rFonts w:ascii="Times New Roman" w:eastAsiaTheme="minorEastAsia" w:hAnsi="Times New Roman"/>
          <w:kern w:val="2"/>
          <w:sz w:val="28"/>
          <w:szCs w:val="28"/>
        </w:rPr>
        <w:t>份调查问卷，针对村民的年龄、性别以及每日食用的蔬菜、水果、肉类以及谷物量进行调查。共采集蔬菜、水果、肉蛋、谷物共</w:t>
      </w:r>
      <w:r w:rsidRPr="00721B78">
        <w:rPr>
          <w:rFonts w:ascii="Times New Roman" w:eastAsiaTheme="minorEastAsia" w:hAnsi="Times New Roman"/>
          <w:kern w:val="2"/>
          <w:sz w:val="28"/>
          <w:szCs w:val="28"/>
        </w:rPr>
        <w:t>4</w:t>
      </w:r>
      <w:r w:rsidRPr="00721B78">
        <w:rPr>
          <w:rFonts w:ascii="Times New Roman" w:eastAsiaTheme="minorEastAsia" w:hAnsi="Times New Roman"/>
          <w:kern w:val="2"/>
          <w:sz w:val="28"/>
          <w:szCs w:val="28"/>
        </w:rPr>
        <w:t>大类</w:t>
      </w:r>
      <w:r w:rsidR="002F2755" w:rsidRPr="00721B78">
        <w:rPr>
          <w:rFonts w:ascii="Times New Roman" w:eastAsiaTheme="minorEastAsia" w:hAnsi="Times New Roman"/>
          <w:kern w:val="2"/>
          <w:sz w:val="28"/>
          <w:szCs w:val="28"/>
        </w:rPr>
        <w:t>样品</w:t>
      </w:r>
      <w:r w:rsidRPr="00721B78">
        <w:rPr>
          <w:rFonts w:ascii="Times New Roman" w:eastAsiaTheme="minorEastAsia" w:hAnsi="Times New Roman"/>
          <w:kern w:val="2"/>
          <w:sz w:val="28"/>
          <w:szCs w:val="28"/>
        </w:rPr>
        <w:t>，每种样品的平行样不少于</w:t>
      </w:r>
      <w:r w:rsidRPr="00721B78">
        <w:rPr>
          <w:rFonts w:ascii="Times New Roman" w:eastAsiaTheme="minorEastAsia" w:hAnsi="Times New Roman"/>
          <w:kern w:val="2"/>
          <w:sz w:val="28"/>
          <w:szCs w:val="28"/>
        </w:rPr>
        <w:t>3</w:t>
      </w:r>
      <w:r w:rsidRPr="00721B78">
        <w:rPr>
          <w:rFonts w:ascii="Times New Roman" w:eastAsiaTheme="minorEastAsia" w:hAnsi="Times New Roman"/>
          <w:kern w:val="2"/>
          <w:sz w:val="28"/>
          <w:szCs w:val="28"/>
        </w:rPr>
        <w:t>个。</w:t>
      </w:r>
      <w:r w:rsidR="00C653F4" w:rsidRPr="00721B78">
        <w:rPr>
          <w:rFonts w:ascii="Times New Roman" w:eastAsiaTheme="minorEastAsia" w:hAnsi="Times New Roman"/>
          <w:kern w:val="2"/>
          <w:sz w:val="28"/>
          <w:szCs w:val="28"/>
        </w:rPr>
        <w:t>通过分析发现，不同地区自种自用农产品中重金属、农药、抗生素、塑化剂等污染物均有不同程度的检出。采集的四大类农产品中，谷物和肉蛋类重金属残留水平较高，蔬菜和水果中，重金属的检出水平较低。上海市农产品重金属</w:t>
      </w:r>
      <w:r w:rsidR="00C653F4" w:rsidRPr="00721B78">
        <w:rPr>
          <w:rFonts w:ascii="Times New Roman" w:eastAsiaTheme="minorEastAsia" w:hAnsi="Times New Roman"/>
          <w:kern w:val="2"/>
          <w:sz w:val="28"/>
          <w:szCs w:val="28"/>
        </w:rPr>
        <w:t>Cu</w:t>
      </w:r>
      <w:r w:rsidR="00C653F4" w:rsidRPr="00721B78">
        <w:rPr>
          <w:rFonts w:ascii="Times New Roman" w:eastAsiaTheme="minorEastAsia" w:hAnsi="Times New Roman"/>
          <w:kern w:val="2"/>
          <w:sz w:val="28"/>
          <w:szCs w:val="28"/>
        </w:rPr>
        <w:t>，</w:t>
      </w:r>
      <w:r w:rsidR="00C653F4" w:rsidRPr="00721B78">
        <w:rPr>
          <w:rFonts w:ascii="Times New Roman" w:eastAsiaTheme="minorEastAsia" w:hAnsi="Times New Roman"/>
          <w:kern w:val="2"/>
          <w:sz w:val="28"/>
          <w:szCs w:val="28"/>
        </w:rPr>
        <w:t>Mn</w:t>
      </w:r>
      <w:r w:rsidR="00C653F4" w:rsidRPr="00721B78">
        <w:rPr>
          <w:rFonts w:ascii="Times New Roman" w:eastAsiaTheme="minorEastAsia" w:hAnsi="Times New Roman"/>
          <w:kern w:val="2"/>
          <w:sz w:val="28"/>
          <w:szCs w:val="28"/>
        </w:rPr>
        <w:t>和</w:t>
      </w:r>
      <w:r w:rsidR="00C653F4" w:rsidRPr="00721B78">
        <w:rPr>
          <w:rFonts w:ascii="Times New Roman" w:eastAsiaTheme="minorEastAsia" w:hAnsi="Times New Roman"/>
          <w:kern w:val="2"/>
          <w:sz w:val="28"/>
          <w:szCs w:val="28"/>
        </w:rPr>
        <w:t>Zn</w:t>
      </w:r>
      <w:r w:rsidR="00C653F4" w:rsidRPr="00721B78">
        <w:rPr>
          <w:rFonts w:ascii="Times New Roman" w:eastAsiaTheme="minorEastAsia" w:hAnsi="Times New Roman"/>
          <w:kern w:val="2"/>
          <w:sz w:val="28"/>
          <w:szCs w:val="28"/>
        </w:rPr>
        <w:t>超标率较高，辽宁农产品重金属</w:t>
      </w:r>
      <w:r w:rsidR="00C653F4" w:rsidRPr="00721B78">
        <w:rPr>
          <w:rFonts w:ascii="Times New Roman" w:eastAsiaTheme="minorEastAsia" w:hAnsi="Times New Roman"/>
          <w:kern w:val="2"/>
          <w:sz w:val="28"/>
          <w:szCs w:val="28"/>
        </w:rPr>
        <w:t>Cu</w:t>
      </w:r>
      <w:r w:rsidR="00C653F4" w:rsidRPr="00721B78">
        <w:rPr>
          <w:rFonts w:ascii="Times New Roman" w:eastAsiaTheme="minorEastAsia" w:hAnsi="Times New Roman"/>
          <w:kern w:val="2"/>
          <w:sz w:val="28"/>
          <w:szCs w:val="28"/>
        </w:rPr>
        <w:t>，</w:t>
      </w:r>
      <w:r w:rsidR="00C653F4" w:rsidRPr="00721B78">
        <w:rPr>
          <w:rFonts w:ascii="Times New Roman" w:eastAsiaTheme="minorEastAsia" w:hAnsi="Times New Roman"/>
          <w:kern w:val="2"/>
          <w:sz w:val="28"/>
          <w:szCs w:val="28"/>
        </w:rPr>
        <w:t>Mn</w:t>
      </w:r>
      <w:r w:rsidR="00C653F4" w:rsidRPr="00721B78">
        <w:rPr>
          <w:rFonts w:ascii="Times New Roman" w:eastAsiaTheme="minorEastAsia" w:hAnsi="Times New Roman"/>
          <w:kern w:val="2"/>
          <w:sz w:val="28"/>
          <w:szCs w:val="28"/>
        </w:rPr>
        <w:t>和</w:t>
      </w:r>
      <w:r w:rsidR="00C653F4" w:rsidRPr="00721B78">
        <w:rPr>
          <w:rFonts w:ascii="Times New Roman" w:eastAsiaTheme="minorEastAsia" w:hAnsi="Times New Roman"/>
          <w:kern w:val="2"/>
          <w:sz w:val="28"/>
          <w:szCs w:val="28"/>
        </w:rPr>
        <w:t>Zn</w:t>
      </w:r>
      <w:r w:rsidR="00C653F4" w:rsidRPr="00721B78">
        <w:rPr>
          <w:rFonts w:ascii="Times New Roman" w:eastAsiaTheme="minorEastAsia" w:hAnsi="Times New Roman"/>
          <w:kern w:val="2"/>
          <w:sz w:val="28"/>
          <w:szCs w:val="28"/>
        </w:rPr>
        <w:t>超标率</w:t>
      </w:r>
      <w:r w:rsidR="00C653F4" w:rsidRPr="00721B78">
        <w:rPr>
          <w:rFonts w:ascii="Times New Roman" w:eastAsiaTheme="minorEastAsia" w:hAnsi="Times New Roman"/>
          <w:kern w:val="2"/>
          <w:sz w:val="28"/>
          <w:szCs w:val="28"/>
        </w:rPr>
        <w:t>100%</w:t>
      </w:r>
      <w:r w:rsidR="00C653F4" w:rsidRPr="00721B78">
        <w:rPr>
          <w:rFonts w:ascii="Times New Roman" w:eastAsiaTheme="minorEastAsia" w:hAnsi="Times New Roman"/>
          <w:kern w:val="2"/>
          <w:sz w:val="28"/>
          <w:szCs w:val="28"/>
        </w:rPr>
        <w:t>；青海农产品重金属</w:t>
      </w:r>
      <w:r w:rsidR="00C653F4" w:rsidRPr="00721B78">
        <w:rPr>
          <w:rFonts w:ascii="Times New Roman" w:eastAsiaTheme="minorEastAsia" w:hAnsi="Times New Roman"/>
          <w:kern w:val="2"/>
          <w:sz w:val="28"/>
          <w:szCs w:val="28"/>
        </w:rPr>
        <w:t>Cd, Cu</w:t>
      </w:r>
      <w:r w:rsidR="00C653F4" w:rsidRPr="00721B78">
        <w:rPr>
          <w:rFonts w:ascii="Times New Roman" w:eastAsiaTheme="minorEastAsia" w:hAnsi="Times New Roman"/>
          <w:kern w:val="2"/>
          <w:sz w:val="28"/>
          <w:szCs w:val="28"/>
        </w:rPr>
        <w:t>和</w:t>
      </w:r>
      <w:r w:rsidR="00C653F4" w:rsidRPr="00721B78">
        <w:rPr>
          <w:rFonts w:ascii="Times New Roman" w:eastAsiaTheme="minorEastAsia" w:hAnsi="Times New Roman"/>
          <w:kern w:val="2"/>
          <w:sz w:val="28"/>
          <w:szCs w:val="28"/>
        </w:rPr>
        <w:t>Zn</w:t>
      </w:r>
      <w:r w:rsidR="00C653F4" w:rsidRPr="00721B78">
        <w:rPr>
          <w:rFonts w:ascii="Times New Roman" w:eastAsiaTheme="minorEastAsia" w:hAnsi="Times New Roman"/>
          <w:kern w:val="2"/>
          <w:sz w:val="28"/>
          <w:szCs w:val="28"/>
        </w:rPr>
        <w:t>超标率</w:t>
      </w:r>
      <w:r w:rsidR="00C653F4" w:rsidRPr="00721B78">
        <w:rPr>
          <w:rFonts w:ascii="Times New Roman" w:eastAsiaTheme="minorEastAsia" w:hAnsi="Times New Roman"/>
          <w:kern w:val="2"/>
          <w:sz w:val="28"/>
          <w:szCs w:val="28"/>
        </w:rPr>
        <w:t>100%</w:t>
      </w:r>
      <w:r w:rsidR="00C653F4" w:rsidRPr="00721B78">
        <w:rPr>
          <w:rFonts w:ascii="Times New Roman" w:eastAsiaTheme="minorEastAsia" w:hAnsi="Times New Roman"/>
          <w:kern w:val="2"/>
          <w:sz w:val="28"/>
          <w:szCs w:val="28"/>
        </w:rPr>
        <w:t>；四川省农产品重金属</w:t>
      </w:r>
      <w:r w:rsidR="00C653F4" w:rsidRPr="00721B78">
        <w:rPr>
          <w:rFonts w:ascii="Times New Roman" w:eastAsiaTheme="minorEastAsia" w:hAnsi="Times New Roman"/>
          <w:kern w:val="2"/>
          <w:sz w:val="28"/>
          <w:szCs w:val="28"/>
        </w:rPr>
        <w:t>Cu</w:t>
      </w:r>
      <w:r w:rsidR="00C653F4" w:rsidRPr="00721B78">
        <w:rPr>
          <w:rFonts w:ascii="Times New Roman" w:eastAsiaTheme="minorEastAsia" w:hAnsi="Times New Roman"/>
          <w:kern w:val="2"/>
          <w:sz w:val="28"/>
          <w:szCs w:val="28"/>
        </w:rPr>
        <w:t>，</w:t>
      </w:r>
      <w:r w:rsidR="00C653F4" w:rsidRPr="00721B78">
        <w:rPr>
          <w:rFonts w:ascii="Times New Roman" w:eastAsiaTheme="minorEastAsia" w:hAnsi="Times New Roman"/>
          <w:kern w:val="2"/>
          <w:sz w:val="28"/>
          <w:szCs w:val="28"/>
        </w:rPr>
        <w:t>Mn</w:t>
      </w:r>
      <w:r w:rsidR="00C653F4" w:rsidRPr="00721B78">
        <w:rPr>
          <w:rFonts w:ascii="Times New Roman" w:eastAsiaTheme="minorEastAsia" w:hAnsi="Times New Roman"/>
          <w:kern w:val="2"/>
          <w:sz w:val="28"/>
          <w:szCs w:val="28"/>
        </w:rPr>
        <w:t>和</w:t>
      </w:r>
      <w:r w:rsidR="00C653F4" w:rsidRPr="00721B78">
        <w:rPr>
          <w:rFonts w:ascii="Times New Roman" w:eastAsiaTheme="minorEastAsia" w:hAnsi="Times New Roman"/>
          <w:kern w:val="2"/>
          <w:sz w:val="28"/>
          <w:szCs w:val="28"/>
        </w:rPr>
        <w:t>Zn</w:t>
      </w:r>
      <w:r w:rsidR="00C653F4" w:rsidRPr="00721B78">
        <w:rPr>
          <w:rFonts w:ascii="Times New Roman" w:eastAsiaTheme="minorEastAsia" w:hAnsi="Times New Roman"/>
          <w:kern w:val="2"/>
          <w:sz w:val="28"/>
          <w:szCs w:val="28"/>
        </w:rPr>
        <w:t>超标率</w:t>
      </w:r>
      <w:r w:rsidR="00C653F4" w:rsidRPr="00721B78">
        <w:rPr>
          <w:rFonts w:ascii="Times New Roman" w:eastAsiaTheme="minorEastAsia" w:hAnsi="Times New Roman"/>
          <w:kern w:val="2"/>
          <w:sz w:val="28"/>
          <w:szCs w:val="28"/>
        </w:rPr>
        <w:t>100%</w:t>
      </w:r>
      <w:r w:rsidR="00C653F4" w:rsidRPr="00721B78">
        <w:rPr>
          <w:rFonts w:ascii="Times New Roman" w:eastAsiaTheme="minorEastAsia" w:hAnsi="Times New Roman"/>
          <w:kern w:val="2"/>
          <w:sz w:val="28"/>
          <w:szCs w:val="28"/>
        </w:rPr>
        <w:t>；西藏农产品重金属</w:t>
      </w:r>
      <w:r w:rsidR="00C653F4" w:rsidRPr="00721B78">
        <w:rPr>
          <w:rFonts w:ascii="Times New Roman" w:eastAsiaTheme="minorEastAsia" w:hAnsi="Times New Roman"/>
          <w:kern w:val="2"/>
          <w:sz w:val="28"/>
          <w:szCs w:val="28"/>
        </w:rPr>
        <w:t>Cu</w:t>
      </w:r>
      <w:r w:rsidR="00C653F4" w:rsidRPr="00721B78">
        <w:rPr>
          <w:rFonts w:ascii="Times New Roman" w:eastAsiaTheme="minorEastAsia" w:hAnsi="Times New Roman"/>
          <w:kern w:val="2"/>
          <w:sz w:val="28"/>
          <w:szCs w:val="28"/>
        </w:rPr>
        <w:t>，</w:t>
      </w:r>
      <w:r w:rsidR="00C653F4" w:rsidRPr="00721B78">
        <w:rPr>
          <w:rFonts w:ascii="Times New Roman" w:eastAsiaTheme="minorEastAsia" w:hAnsi="Times New Roman"/>
          <w:kern w:val="2"/>
          <w:sz w:val="28"/>
          <w:szCs w:val="28"/>
        </w:rPr>
        <w:t>Mn</w:t>
      </w:r>
      <w:r w:rsidR="00C653F4" w:rsidRPr="00721B78">
        <w:rPr>
          <w:rFonts w:ascii="Times New Roman" w:eastAsiaTheme="minorEastAsia" w:hAnsi="Times New Roman"/>
          <w:kern w:val="2"/>
          <w:sz w:val="28"/>
          <w:szCs w:val="28"/>
        </w:rPr>
        <w:t>和</w:t>
      </w:r>
      <w:r w:rsidR="00C653F4" w:rsidRPr="00721B78">
        <w:rPr>
          <w:rFonts w:ascii="Times New Roman" w:eastAsiaTheme="minorEastAsia" w:hAnsi="Times New Roman"/>
          <w:kern w:val="2"/>
          <w:sz w:val="28"/>
          <w:szCs w:val="28"/>
        </w:rPr>
        <w:t>Zn</w:t>
      </w:r>
      <w:r w:rsidR="00C653F4" w:rsidRPr="00721B78">
        <w:rPr>
          <w:rFonts w:ascii="Times New Roman" w:eastAsiaTheme="minorEastAsia" w:hAnsi="Times New Roman"/>
          <w:kern w:val="2"/>
          <w:sz w:val="28"/>
          <w:szCs w:val="28"/>
        </w:rPr>
        <w:t>超标率</w:t>
      </w:r>
      <w:r w:rsidR="00C653F4" w:rsidRPr="00721B78">
        <w:rPr>
          <w:rFonts w:ascii="Times New Roman" w:eastAsiaTheme="minorEastAsia" w:hAnsi="Times New Roman"/>
          <w:kern w:val="2"/>
          <w:sz w:val="28"/>
          <w:szCs w:val="28"/>
        </w:rPr>
        <w:t>100%</w:t>
      </w:r>
      <w:r w:rsidR="00C653F4" w:rsidRPr="00721B78">
        <w:rPr>
          <w:rFonts w:ascii="Times New Roman" w:eastAsiaTheme="minorEastAsia" w:hAnsi="Times New Roman"/>
          <w:kern w:val="2"/>
          <w:sz w:val="28"/>
          <w:szCs w:val="28"/>
        </w:rPr>
        <w:t>。</w:t>
      </w:r>
      <w:r w:rsidR="00C653F4" w:rsidRPr="00721B78">
        <w:rPr>
          <w:rFonts w:ascii="Times New Roman" w:eastAsiaTheme="minorEastAsia" w:hAnsi="Times New Roman"/>
          <w:kern w:val="2"/>
          <w:sz w:val="28"/>
          <w:szCs w:val="28"/>
        </w:rPr>
        <w:t>5</w:t>
      </w:r>
      <w:r w:rsidR="00C653F4" w:rsidRPr="00721B78">
        <w:rPr>
          <w:rFonts w:ascii="Times New Roman" w:eastAsiaTheme="minorEastAsia" w:hAnsi="Times New Roman"/>
          <w:kern w:val="2"/>
          <w:sz w:val="28"/>
          <w:szCs w:val="28"/>
        </w:rPr>
        <w:t>个省市居民通过摄食肉蛋和谷物时，所面临的健康风险较高；</w:t>
      </w:r>
      <w:r w:rsidR="00C653F4" w:rsidRPr="00721B78">
        <w:rPr>
          <w:rFonts w:ascii="Times New Roman" w:eastAsiaTheme="minorEastAsia" w:hAnsi="Times New Roman"/>
          <w:kern w:val="2"/>
          <w:sz w:val="28"/>
          <w:szCs w:val="28"/>
        </w:rPr>
        <w:t>Cr</w:t>
      </w:r>
      <w:r w:rsidR="00C653F4" w:rsidRPr="00721B78">
        <w:rPr>
          <w:rFonts w:ascii="Times New Roman" w:eastAsiaTheme="minorEastAsia" w:hAnsi="Times New Roman"/>
          <w:kern w:val="2"/>
          <w:sz w:val="28"/>
          <w:szCs w:val="28"/>
        </w:rPr>
        <w:t>元素对人体健康产生负面影响</w:t>
      </w:r>
      <w:r w:rsidR="00C653F4" w:rsidRPr="00721B78">
        <w:rPr>
          <w:rFonts w:ascii="Times New Roman" w:eastAsiaTheme="minorEastAsia" w:hAnsi="Times New Roman"/>
          <w:kern w:val="2"/>
          <w:sz w:val="28"/>
          <w:szCs w:val="28"/>
        </w:rPr>
        <w:lastRenderedPageBreak/>
        <w:t>的可能性最大的；居民摄食水果所受到的健康风险最小，但是西藏</w:t>
      </w:r>
      <w:r w:rsidR="00C653F4" w:rsidRPr="00721B78">
        <w:rPr>
          <w:rFonts w:ascii="Times New Roman" w:eastAsiaTheme="minorEastAsia" w:hAnsi="Times New Roman"/>
          <w:kern w:val="2"/>
          <w:sz w:val="28"/>
          <w:szCs w:val="28"/>
        </w:rPr>
        <w:t>TTHQ</w:t>
      </w:r>
      <w:r w:rsidR="00C653F4" w:rsidRPr="00721B78">
        <w:rPr>
          <w:rFonts w:ascii="Times New Roman" w:eastAsiaTheme="minorEastAsia" w:hAnsi="Times New Roman"/>
          <w:kern w:val="2"/>
          <w:sz w:val="28"/>
          <w:szCs w:val="28"/>
        </w:rPr>
        <w:t>还是大于</w:t>
      </w:r>
      <w:r w:rsidR="00C653F4" w:rsidRPr="00721B78">
        <w:rPr>
          <w:rFonts w:ascii="Times New Roman" w:eastAsiaTheme="minorEastAsia" w:hAnsi="Times New Roman"/>
          <w:kern w:val="2"/>
          <w:sz w:val="28"/>
          <w:szCs w:val="28"/>
        </w:rPr>
        <w:t>1</w:t>
      </w:r>
      <w:r w:rsidR="00612A4E" w:rsidRPr="00721B78">
        <w:rPr>
          <w:rFonts w:ascii="Times New Roman" w:eastAsiaTheme="minorEastAsia" w:hAnsi="Times New Roman"/>
          <w:kern w:val="2"/>
          <w:sz w:val="28"/>
          <w:szCs w:val="28"/>
        </w:rPr>
        <w:t>，表明存在潜在的健康风险</w:t>
      </w:r>
      <w:r w:rsidR="00C653F4" w:rsidRPr="00721B78">
        <w:rPr>
          <w:rFonts w:ascii="Times New Roman" w:eastAsiaTheme="minorEastAsia" w:hAnsi="Times New Roman"/>
          <w:kern w:val="2"/>
          <w:sz w:val="28"/>
          <w:szCs w:val="28"/>
        </w:rPr>
        <w:t>。</w:t>
      </w:r>
    </w:p>
    <w:p w:rsidR="00B96D59" w:rsidRPr="00721B78" w:rsidRDefault="00C653F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上海蔬菜、水果、谷物、和肉蛋等农产品中共检出</w:t>
      </w:r>
      <w:r w:rsidRPr="00721B78">
        <w:rPr>
          <w:rFonts w:ascii="Times New Roman" w:eastAsiaTheme="minorEastAsia" w:hAnsi="Times New Roman"/>
          <w:kern w:val="2"/>
          <w:sz w:val="28"/>
          <w:szCs w:val="28"/>
        </w:rPr>
        <w:t>28</w:t>
      </w:r>
      <w:r w:rsidRPr="00721B78">
        <w:rPr>
          <w:rFonts w:ascii="Times New Roman" w:eastAsiaTheme="minorEastAsia" w:hAnsi="Times New Roman"/>
          <w:kern w:val="2"/>
          <w:sz w:val="28"/>
          <w:szCs w:val="28"/>
        </w:rPr>
        <w:t>种农药，辽宁蔬菜、水果、谷物、和肉蛋等农产品中共检出</w:t>
      </w:r>
      <w:r w:rsidRPr="00721B78">
        <w:rPr>
          <w:rFonts w:ascii="Times New Roman" w:eastAsiaTheme="minorEastAsia" w:hAnsi="Times New Roman"/>
          <w:kern w:val="2"/>
          <w:sz w:val="28"/>
          <w:szCs w:val="28"/>
        </w:rPr>
        <w:t>36</w:t>
      </w:r>
      <w:r w:rsidRPr="00721B78">
        <w:rPr>
          <w:rFonts w:ascii="Times New Roman" w:eastAsiaTheme="minorEastAsia" w:hAnsi="Times New Roman"/>
          <w:kern w:val="2"/>
          <w:sz w:val="28"/>
          <w:szCs w:val="28"/>
        </w:rPr>
        <w:t>种农药，青海蔬菜、水果、谷物、和肉蛋等农产品中共检出</w:t>
      </w:r>
      <w:r w:rsidRPr="00721B78">
        <w:rPr>
          <w:rFonts w:ascii="Times New Roman" w:eastAsiaTheme="minorEastAsia" w:hAnsi="Times New Roman"/>
          <w:kern w:val="2"/>
          <w:sz w:val="28"/>
          <w:szCs w:val="28"/>
        </w:rPr>
        <w:t>40</w:t>
      </w:r>
      <w:r w:rsidRPr="00721B78">
        <w:rPr>
          <w:rFonts w:ascii="Times New Roman" w:eastAsiaTheme="minorEastAsia" w:hAnsi="Times New Roman"/>
          <w:kern w:val="2"/>
          <w:sz w:val="28"/>
          <w:szCs w:val="28"/>
        </w:rPr>
        <w:t>种农药，四川蔬菜、水果、谷物、和肉蛋等农产品中共检出</w:t>
      </w:r>
      <w:r w:rsidRPr="00721B78">
        <w:rPr>
          <w:rFonts w:ascii="Times New Roman" w:eastAsiaTheme="minorEastAsia" w:hAnsi="Times New Roman"/>
          <w:kern w:val="2"/>
          <w:sz w:val="28"/>
          <w:szCs w:val="28"/>
        </w:rPr>
        <w:t>37</w:t>
      </w:r>
      <w:r w:rsidRPr="00721B78">
        <w:rPr>
          <w:rFonts w:ascii="Times New Roman" w:eastAsiaTheme="minorEastAsia" w:hAnsi="Times New Roman"/>
          <w:kern w:val="2"/>
          <w:sz w:val="28"/>
          <w:szCs w:val="28"/>
        </w:rPr>
        <w:t>种农药，西藏自治区蔬菜、水果、谷物、和肉蛋等农产品中共检出</w:t>
      </w:r>
      <w:r w:rsidRPr="00721B78">
        <w:rPr>
          <w:rFonts w:ascii="Times New Roman" w:eastAsiaTheme="minorEastAsia" w:hAnsi="Times New Roman"/>
          <w:kern w:val="2"/>
          <w:sz w:val="28"/>
          <w:szCs w:val="28"/>
        </w:rPr>
        <w:t>35</w:t>
      </w:r>
      <w:r w:rsidRPr="00721B78">
        <w:rPr>
          <w:rFonts w:ascii="Times New Roman" w:eastAsiaTheme="minorEastAsia" w:hAnsi="Times New Roman"/>
          <w:kern w:val="2"/>
          <w:sz w:val="28"/>
          <w:szCs w:val="28"/>
        </w:rPr>
        <w:t>种农药。五个省份四大类农产品中，水果中农药的检出总含量最高；最少的是肉蛋类。苯醚甲环唑和多菌灵等杀菌剂在农产品中的检出率较高，同时噻虫胺、吡虫啉、噻虫嗪等新烟碱类农药也被广泛检出。</w:t>
      </w:r>
      <w:r w:rsidR="00B96D59" w:rsidRPr="00721B78">
        <w:rPr>
          <w:rFonts w:ascii="Times New Roman" w:eastAsiaTheme="minorEastAsia" w:hAnsi="Times New Roman"/>
          <w:kern w:val="2"/>
          <w:sz w:val="28"/>
          <w:szCs w:val="28"/>
        </w:rPr>
        <w:t>对于塑化剂和阻燃剂，上海采集的农产品中，共检测到</w:t>
      </w:r>
      <w:r w:rsidR="00B96D59" w:rsidRPr="00721B78">
        <w:rPr>
          <w:rFonts w:ascii="Times New Roman" w:eastAsiaTheme="minorEastAsia" w:hAnsi="Times New Roman"/>
          <w:kern w:val="2"/>
          <w:sz w:val="28"/>
          <w:szCs w:val="28"/>
        </w:rPr>
        <w:t>13</w:t>
      </w:r>
      <w:r w:rsidR="00B96D59" w:rsidRPr="00721B78">
        <w:rPr>
          <w:rFonts w:ascii="Times New Roman" w:eastAsiaTheme="minorEastAsia" w:hAnsi="Times New Roman"/>
          <w:kern w:val="2"/>
          <w:sz w:val="28"/>
          <w:szCs w:val="28"/>
        </w:rPr>
        <w:t>种阻燃剂和增塑剂。四种农产品类型中，蔬菜和水果中阻燃剂和增塑剂残留浓度最高，肉蛋中阻燃剂和增塑剂残留最少</w:t>
      </w:r>
      <w:r w:rsidR="00D13C36" w:rsidRPr="00721B78">
        <w:rPr>
          <w:rFonts w:ascii="Times New Roman" w:eastAsiaTheme="minorEastAsia" w:hAnsi="Times New Roman"/>
          <w:kern w:val="2"/>
          <w:sz w:val="28"/>
          <w:szCs w:val="28"/>
        </w:rPr>
        <w:t>；</w:t>
      </w:r>
      <w:r w:rsidR="00B96D59" w:rsidRPr="00721B78">
        <w:rPr>
          <w:rFonts w:ascii="Times New Roman" w:eastAsiaTheme="minorEastAsia" w:hAnsi="Times New Roman"/>
          <w:kern w:val="2"/>
          <w:sz w:val="28"/>
          <w:szCs w:val="28"/>
        </w:rPr>
        <w:t>除水果和肉蛋外，蔬菜和谷物中增塑剂的检出率为</w:t>
      </w:r>
      <w:r w:rsidR="00B96D59" w:rsidRPr="00721B78">
        <w:rPr>
          <w:rFonts w:ascii="Times New Roman" w:eastAsiaTheme="minorEastAsia" w:hAnsi="Times New Roman"/>
          <w:kern w:val="2"/>
          <w:sz w:val="28"/>
          <w:szCs w:val="28"/>
        </w:rPr>
        <w:t>100%</w:t>
      </w:r>
      <w:r w:rsidR="00B96D59" w:rsidRPr="00721B78">
        <w:rPr>
          <w:rFonts w:ascii="Times New Roman" w:eastAsiaTheme="minorEastAsia" w:hAnsi="Times New Roman"/>
          <w:kern w:val="2"/>
          <w:sz w:val="28"/>
          <w:szCs w:val="28"/>
        </w:rPr>
        <w:t>。辽宁省的农产品中共检出</w:t>
      </w:r>
      <w:r w:rsidR="00B96D59" w:rsidRPr="00721B78">
        <w:rPr>
          <w:rFonts w:ascii="Times New Roman" w:eastAsiaTheme="minorEastAsia" w:hAnsi="Times New Roman"/>
          <w:kern w:val="2"/>
          <w:sz w:val="28"/>
          <w:szCs w:val="28"/>
        </w:rPr>
        <w:t>12</w:t>
      </w:r>
      <w:r w:rsidR="00B96D59" w:rsidRPr="00721B78">
        <w:rPr>
          <w:rFonts w:ascii="Times New Roman" w:eastAsiaTheme="minorEastAsia" w:hAnsi="Times New Roman"/>
          <w:kern w:val="2"/>
          <w:sz w:val="28"/>
          <w:szCs w:val="28"/>
        </w:rPr>
        <w:t>种阻燃剂和增塑剂。辽宁蔬菜中，增塑剂</w:t>
      </w:r>
      <w:r w:rsidR="00B96D59" w:rsidRPr="00721B78">
        <w:rPr>
          <w:rFonts w:ascii="Times New Roman" w:eastAsiaTheme="minorEastAsia" w:hAnsi="Times New Roman"/>
          <w:kern w:val="2"/>
          <w:sz w:val="28"/>
          <w:szCs w:val="28"/>
        </w:rPr>
        <w:t>DEHP</w:t>
      </w:r>
      <w:r w:rsidR="00B96D59" w:rsidRPr="00721B78">
        <w:rPr>
          <w:rFonts w:ascii="Times New Roman" w:eastAsiaTheme="minorEastAsia" w:hAnsi="Times New Roman"/>
          <w:kern w:val="2"/>
          <w:sz w:val="28"/>
          <w:szCs w:val="28"/>
        </w:rPr>
        <w:t>残留最多，其他农产品残留较少。辽宁农产品中谷物和水果中阻燃剂的残留浓度较高，肉蛋中阻燃剂的残留最少；辽宁农产品蔬菜中增塑剂残留水平最高，肉蛋中最少；所有农产品种类中增塑剂的检出率均超过</w:t>
      </w:r>
      <w:r w:rsidR="00B96D59" w:rsidRPr="00721B78">
        <w:rPr>
          <w:rFonts w:ascii="Times New Roman" w:eastAsiaTheme="minorEastAsia" w:hAnsi="Times New Roman"/>
          <w:kern w:val="2"/>
          <w:sz w:val="28"/>
          <w:szCs w:val="28"/>
        </w:rPr>
        <w:t>50%</w:t>
      </w:r>
      <w:r w:rsidR="00B96D59" w:rsidRPr="00721B78">
        <w:rPr>
          <w:rFonts w:ascii="Times New Roman" w:eastAsiaTheme="minorEastAsia" w:hAnsi="Times New Roman"/>
          <w:kern w:val="2"/>
          <w:sz w:val="28"/>
          <w:szCs w:val="28"/>
        </w:rPr>
        <w:t>。青海省的农产品中共检出</w:t>
      </w:r>
      <w:r w:rsidR="00B96D59" w:rsidRPr="00721B78">
        <w:rPr>
          <w:rFonts w:ascii="Times New Roman" w:eastAsiaTheme="minorEastAsia" w:hAnsi="Times New Roman"/>
          <w:kern w:val="2"/>
          <w:sz w:val="28"/>
          <w:szCs w:val="28"/>
        </w:rPr>
        <w:t>11</w:t>
      </w:r>
      <w:r w:rsidR="00B96D59" w:rsidRPr="00721B78">
        <w:rPr>
          <w:rFonts w:ascii="Times New Roman" w:eastAsiaTheme="minorEastAsia" w:hAnsi="Times New Roman"/>
          <w:kern w:val="2"/>
          <w:sz w:val="28"/>
          <w:szCs w:val="28"/>
        </w:rPr>
        <w:t>种阻燃剂和增塑剂。青海农产品中水果中</w:t>
      </w:r>
      <w:bookmarkStart w:id="21" w:name="_Hlk118126193"/>
      <w:r w:rsidR="00B96D59" w:rsidRPr="00721B78">
        <w:rPr>
          <w:rFonts w:ascii="Times New Roman" w:eastAsiaTheme="minorEastAsia" w:hAnsi="Times New Roman"/>
          <w:kern w:val="2"/>
          <w:sz w:val="28"/>
          <w:szCs w:val="28"/>
        </w:rPr>
        <w:t>阻燃剂和增塑剂的</w:t>
      </w:r>
      <w:bookmarkEnd w:id="21"/>
      <w:r w:rsidR="00B96D59" w:rsidRPr="00721B78">
        <w:rPr>
          <w:rFonts w:ascii="Times New Roman" w:eastAsiaTheme="minorEastAsia" w:hAnsi="Times New Roman"/>
          <w:kern w:val="2"/>
          <w:sz w:val="28"/>
          <w:szCs w:val="28"/>
        </w:rPr>
        <w:t>残留水平最高，肉蛋中阻燃剂和增塑剂的残留最少；</w:t>
      </w:r>
      <w:r w:rsidR="00D13C36" w:rsidRPr="00721B78">
        <w:rPr>
          <w:rFonts w:ascii="Times New Roman" w:eastAsiaTheme="minorEastAsia" w:hAnsi="Times New Roman"/>
          <w:kern w:val="2"/>
          <w:sz w:val="28"/>
          <w:szCs w:val="28"/>
        </w:rPr>
        <w:t>部分阻燃剂和增塑剂的</w:t>
      </w:r>
      <w:r w:rsidR="00B96D59" w:rsidRPr="00721B78">
        <w:rPr>
          <w:rFonts w:ascii="Times New Roman" w:eastAsiaTheme="minorEastAsia" w:hAnsi="Times New Roman"/>
          <w:kern w:val="2"/>
          <w:sz w:val="28"/>
          <w:szCs w:val="28"/>
        </w:rPr>
        <w:t>检出率为</w:t>
      </w:r>
      <w:r w:rsidR="00B96D59" w:rsidRPr="00721B78">
        <w:rPr>
          <w:rFonts w:ascii="Times New Roman" w:eastAsiaTheme="minorEastAsia" w:hAnsi="Times New Roman"/>
          <w:kern w:val="2"/>
          <w:sz w:val="28"/>
          <w:szCs w:val="28"/>
        </w:rPr>
        <w:t>100%</w:t>
      </w:r>
      <w:r w:rsidR="00B96D59" w:rsidRPr="00721B78">
        <w:rPr>
          <w:rFonts w:ascii="Times New Roman" w:eastAsiaTheme="minorEastAsia" w:hAnsi="Times New Roman"/>
          <w:kern w:val="2"/>
          <w:sz w:val="28"/>
          <w:szCs w:val="28"/>
        </w:rPr>
        <w:t>。四川省的农产品中共检出</w:t>
      </w:r>
      <w:r w:rsidR="00B96D59" w:rsidRPr="00721B78">
        <w:rPr>
          <w:rFonts w:ascii="Times New Roman" w:eastAsiaTheme="minorEastAsia" w:hAnsi="Times New Roman"/>
          <w:kern w:val="2"/>
          <w:sz w:val="28"/>
          <w:szCs w:val="28"/>
        </w:rPr>
        <w:t>13</w:t>
      </w:r>
      <w:r w:rsidR="00B96D59" w:rsidRPr="00721B78">
        <w:rPr>
          <w:rFonts w:ascii="Times New Roman" w:eastAsiaTheme="minorEastAsia" w:hAnsi="Times New Roman"/>
          <w:kern w:val="2"/>
          <w:sz w:val="28"/>
          <w:szCs w:val="28"/>
        </w:rPr>
        <w:t>种阻燃剂和增塑剂。四川农产品中水果中阻燃剂的残留浓度最高，肉蛋中阻燃剂的残留最少；四川农产品蔬</w:t>
      </w:r>
      <w:r w:rsidR="00B96D59" w:rsidRPr="00721B78">
        <w:rPr>
          <w:rFonts w:ascii="Times New Roman" w:eastAsiaTheme="minorEastAsia" w:hAnsi="Times New Roman"/>
          <w:kern w:val="2"/>
          <w:sz w:val="28"/>
          <w:szCs w:val="28"/>
        </w:rPr>
        <w:lastRenderedPageBreak/>
        <w:t>菜中增塑剂的残留水平最高，肉蛋中增塑剂残留最少。西藏自治区的农产品中共检出</w:t>
      </w:r>
      <w:r w:rsidR="00B96D59" w:rsidRPr="00721B78">
        <w:rPr>
          <w:rFonts w:ascii="Times New Roman" w:eastAsiaTheme="minorEastAsia" w:hAnsi="Times New Roman"/>
          <w:kern w:val="2"/>
          <w:sz w:val="28"/>
          <w:szCs w:val="28"/>
        </w:rPr>
        <w:t>12</w:t>
      </w:r>
      <w:r w:rsidR="00B96D59" w:rsidRPr="00721B78">
        <w:rPr>
          <w:rFonts w:ascii="Times New Roman" w:eastAsiaTheme="minorEastAsia" w:hAnsi="Times New Roman"/>
          <w:kern w:val="2"/>
          <w:sz w:val="28"/>
          <w:szCs w:val="28"/>
        </w:rPr>
        <w:t>种阻燃剂和增塑剂。西藏自治区农产品中蔬菜阻燃剂和增塑剂的残留水平最高，肉蛋中阻燃剂和增塑剂的残留最少；</w:t>
      </w:r>
      <w:r w:rsidR="00B027CD" w:rsidRPr="00721B78">
        <w:rPr>
          <w:rFonts w:ascii="Times New Roman" w:eastAsiaTheme="minorEastAsia" w:hAnsi="Times New Roman"/>
          <w:kern w:val="2"/>
          <w:sz w:val="28"/>
          <w:szCs w:val="28"/>
        </w:rPr>
        <w:t>部分</w:t>
      </w:r>
      <w:r w:rsidR="00B96D59" w:rsidRPr="00721B78">
        <w:rPr>
          <w:rFonts w:ascii="Times New Roman" w:eastAsiaTheme="minorEastAsia" w:hAnsi="Times New Roman"/>
          <w:kern w:val="2"/>
          <w:sz w:val="28"/>
          <w:szCs w:val="28"/>
        </w:rPr>
        <w:t>阻燃剂</w:t>
      </w:r>
      <w:r w:rsidR="00B027CD" w:rsidRPr="00721B78">
        <w:rPr>
          <w:rFonts w:ascii="Times New Roman" w:eastAsiaTheme="minorEastAsia" w:hAnsi="Times New Roman"/>
          <w:kern w:val="2"/>
          <w:sz w:val="28"/>
          <w:szCs w:val="28"/>
        </w:rPr>
        <w:t>和</w:t>
      </w:r>
      <w:r w:rsidR="00B96D59" w:rsidRPr="00721B78">
        <w:rPr>
          <w:rFonts w:ascii="Times New Roman" w:eastAsiaTheme="minorEastAsia" w:hAnsi="Times New Roman"/>
          <w:kern w:val="2"/>
          <w:sz w:val="28"/>
          <w:szCs w:val="28"/>
        </w:rPr>
        <w:t>增塑剂的检出率为</w:t>
      </w:r>
      <w:r w:rsidR="00B96D59" w:rsidRPr="00721B78">
        <w:rPr>
          <w:rFonts w:ascii="Times New Roman" w:eastAsiaTheme="minorEastAsia" w:hAnsi="Times New Roman"/>
          <w:kern w:val="2"/>
          <w:sz w:val="28"/>
          <w:szCs w:val="28"/>
        </w:rPr>
        <w:t>100%</w:t>
      </w:r>
      <w:r w:rsidR="00B96D59" w:rsidRPr="00721B78">
        <w:rPr>
          <w:rFonts w:ascii="Times New Roman" w:eastAsiaTheme="minorEastAsia" w:hAnsi="Times New Roman"/>
          <w:kern w:val="2"/>
          <w:sz w:val="28"/>
          <w:szCs w:val="28"/>
        </w:rPr>
        <w:t>。整体来看，蔬菜和水果中有机磷酸酯阻燃剂的残留浓度较高。</w:t>
      </w:r>
    </w:p>
    <w:p w:rsidR="002961A1" w:rsidRPr="00721B78" w:rsidRDefault="007C3E7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总体而言</w:t>
      </w:r>
      <w:r w:rsidR="00B96D59" w:rsidRPr="00721B78">
        <w:rPr>
          <w:rFonts w:ascii="Times New Roman" w:eastAsiaTheme="minorEastAsia" w:hAnsi="Times New Roman"/>
          <w:kern w:val="2"/>
          <w:sz w:val="28"/>
          <w:szCs w:val="28"/>
        </w:rPr>
        <w:t>，</w:t>
      </w:r>
      <w:r w:rsidR="002D447F" w:rsidRPr="00721B78">
        <w:rPr>
          <w:rFonts w:ascii="Times New Roman" w:eastAsiaTheme="minorEastAsia" w:hAnsi="Times New Roman"/>
          <w:kern w:val="2"/>
          <w:sz w:val="28"/>
          <w:szCs w:val="28"/>
        </w:rPr>
        <w:t>除现有环境质量标准和食品安全标准中关注的污染物外，在村镇农产品中还发现了大量的包括新型农药、药物、塑化剂、阻燃剂等化学污染物。其中特别是塑化剂和阻燃剂的检出率普遍较高，与其广泛的使用有显著关系</w:t>
      </w:r>
      <w:r w:rsidR="00CC397C" w:rsidRPr="00721B78">
        <w:rPr>
          <w:rFonts w:ascii="Times New Roman" w:eastAsiaTheme="minorEastAsia" w:hAnsi="Times New Roman"/>
          <w:kern w:val="2"/>
          <w:sz w:val="28"/>
          <w:szCs w:val="28"/>
        </w:rPr>
        <w:t>，但在现有的《土壤环境质量建设用地土壤污染风险管控标准》和《土壤环境质量农用地土壤污染风险管控标准》中均不涉及相关污染物，因此则亟需通过风险评估方法综合判断村镇污染对居民健康的潜在威胁。</w:t>
      </w:r>
    </w:p>
    <w:p w:rsidR="0041655E" w:rsidRPr="008D7553" w:rsidRDefault="00895CE7" w:rsidP="003B6CCC">
      <w:pPr>
        <w:numPr>
          <w:ilvl w:val="0"/>
          <w:numId w:val="1"/>
        </w:numPr>
        <w:spacing w:line="360" w:lineRule="auto"/>
        <w:ind w:left="0" w:firstLineChars="270" w:firstLine="567"/>
        <w:outlineLvl w:val="0"/>
        <w:rPr>
          <w:rFonts w:eastAsia="黑体"/>
          <w:b/>
          <w:bCs/>
          <w:sz w:val="30"/>
          <w:szCs w:val="30"/>
        </w:rPr>
      </w:pPr>
      <w:hyperlink w:anchor="_Toc234978613" w:history="1">
        <w:bookmarkStart w:id="22" w:name="_Toc119660576"/>
        <w:r w:rsidR="000B72D8" w:rsidRPr="008D7553">
          <w:rPr>
            <w:rFonts w:eastAsia="黑体"/>
            <w:b/>
            <w:bCs/>
            <w:sz w:val="30"/>
            <w:szCs w:val="30"/>
          </w:rPr>
          <w:t>主要技术内容及说明</w:t>
        </w:r>
        <w:bookmarkEnd w:id="22"/>
      </w:hyperlink>
    </w:p>
    <w:p w:rsidR="005371F3" w:rsidRPr="002D35B8" w:rsidRDefault="0044664C" w:rsidP="0044664C">
      <w:pPr>
        <w:pStyle w:val="ac"/>
        <w:spacing w:before="0" w:beforeAutospacing="0" w:after="0" w:afterAutospacing="0" w:line="360" w:lineRule="auto"/>
        <w:ind w:left="600"/>
        <w:jc w:val="both"/>
        <w:outlineLvl w:val="1"/>
        <w:rPr>
          <w:rFonts w:asciiTheme="minorEastAsia" w:eastAsiaTheme="minorEastAsia" w:hAnsiTheme="minorEastAsia"/>
          <w:b/>
          <w:kern w:val="2"/>
          <w:sz w:val="28"/>
          <w:szCs w:val="28"/>
        </w:rPr>
      </w:pPr>
      <w:bookmarkStart w:id="23" w:name="_Toc119660577"/>
      <w:r w:rsidRPr="002D35B8">
        <w:rPr>
          <w:rFonts w:asciiTheme="minorEastAsia" w:eastAsiaTheme="minorEastAsia" w:hAnsiTheme="minorEastAsia" w:hint="eastAsia"/>
          <w:b/>
          <w:kern w:val="2"/>
          <w:sz w:val="28"/>
          <w:szCs w:val="28"/>
        </w:rPr>
        <w:t>（一）</w:t>
      </w:r>
      <w:r w:rsidR="005371F3" w:rsidRPr="002D35B8">
        <w:rPr>
          <w:rFonts w:asciiTheme="minorEastAsia" w:eastAsiaTheme="minorEastAsia" w:hAnsiTheme="minorEastAsia" w:hint="eastAsia"/>
          <w:b/>
          <w:kern w:val="2"/>
          <w:sz w:val="28"/>
          <w:szCs w:val="28"/>
        </w:rPr>
        <w:t>层次框架</w:t>
      </w:r>
      <w:bookmarkEnd w:id="23"/>
    </w:p>
    <w:p w:rsidR="005371F3" w:rsidRPr="00721B78" w:rsidRDefault="005371F3"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本标准正文主要由</w:t>
      </w:r>
      <w:r w:rsidR="000E7048" w:rsidRPr="00721B78">
        <w:rPr>
          <w:rFonts w:ascii="Times New Roman" w:eastAsiaTheme="minorEastAsia" w:hAnsi="Times New Roman"/>
          <w:kern w:val="2"/>
          <w:sz w:val="28"/>
          <w:szCs w:val="28"/>
        </w:rPr>
        <w:t>11</w:t>
      </w:r>
      <w:r w:rsidR="000E7048" w:rsidRPr="00721B78">
        <w:rPr>
          <w:rFonts w:ascii="Times New Roman" w:eastAsiaTheme="minorEastAsia" w:hAnsi="Times New Roman"/>
          <w:kern w:val="2"/>
          <w:sz w:val="28"/>
          <w:szCs w:val="28"/>
        </w:rPr>
        <w:t>个部分组成，包括：</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kern w:val="2"/>
          <w:sz w:val="28"/>
          <w:szCs w:val="28"/>
        </w:rPr>
        <w:t xml:space="preserve">1. </w:t>
      </w:r>
      <w:r w:rsidR="000E7048" w:rsidRPr="00721B78">
        <w:rPr>
          <w:rFonts w:ascii="Times New Roman" w:eastAsiaTheme="minorEastAsia" w:hAnsi="Times New Roman"/>
          <w:kern w:val="2"/>
          <w:sz w:val="28"/>
          <w:szCs w:val="28"/>
        </w:rPr>
        <w:t>范围；</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2</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规范性引用文件；</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3</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术语和定义；</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4</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基本原则；</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5</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工作流程和内容；</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6</w:t>
      </w:r>
      <w:r>
        <w:rPr>
          <w:rFonts w:ascii="Times New Roman" w:eastAsiaTheme="minorEastAsia" w:hAnsi="Times New Roman"/>
          <w:kern w:val="2"/>
          <w:sz w:val="28"/>
          <w:szCs w:val="28"/>
        </w:rPr>
        <w:t xml:space="preserve">. </w:t>
      </w:r>
      <w:r w:rsidR="00593306">
        <w:rPr>
          <w:rFonts w:ascii="Times New Roman" w:eastAsiaTheme="minorEastAsia" w:hAnsi="Times New Roman" w:hint="eastAsia"/>
          <w:kern w:val="2"/>
          <w:sz w:val="28"/>
          <w:szCs w:val="28"/>
        </w:rPr>
        <w:t>评估</w:t>
      </w:r>
      <w:r w:rsidR="000E7048" w:rsidRPr="00721B78">
        <w:rPr>
          <w:rFonts w:ascii="Times New Roman" w:eastAsiaTheme="minorEastAsia" w:hAnsi="Times New Roman"/>
          <w:kern w:val="2"/>
          <w:sz w:val="28"/>
          <w:szCs w:val="28"/>
        </w:rPr>
        <w:t>方案制定；</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7</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数据收集与危害识别技术要求；</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lastRenderedPageBreak/>
        <w:t>8</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毒性评估技术要求；</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9</w:t>
      </w:r>
      <w:r>
        <w:rPr>
          <w:rFonts w:ascii="Times New Roman" w:eastAsiaTheme="minorEastAsia" w:hAnsi="Times New Roman"/>
          <w:kern w:val="2"/>
          <w:sz w:val="28"/>
          <w:szCs w:val="28"/>
        </w:rPr>
        <w:t xml:space="preserve">. </w:t>
      </w:r>
      <w:r w:rsidR="000E7048" w:rsidRPr="00721B78">
        <w:rPr>
          <w:rFonts w:ascii="Times New Roman" w:eastAsiaTheme="minorEastAsia" w:hAnsi="Times New Roman"/>
          <w:kern w:val="2"/>
          <w:sz w:val="28"/>
          <w:szCs w:val="28"/>
        </w:rPr>
        <w:t>暴露评估技术要求；</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1</w:t>
      </w:r>
      <w:r>
        <w:rPr>
          <w:rFonts w:ascii="Times New Roman" w:eastAsiaTheme="minorEastAsia" w:hAnsi="Times New Roman"/>
          <w:kern w:val="2"/>
          <w:sz w:val="28"/>
          <w:szCs w:val="28"/>
        </w:rPr>
        <w:t xml:space="preserve">0. </w:t>
      </w:r>
      <w:r w:rsidR="000E7048" w:rsidRPr="00721B78">
        <w:rPr>
          <w:rFonts w:ascii="Times New Roman" w:eastAsiaTheme="minorEastAsia" w:hAnsi="Times New Roman"/>
          <w:kern w:val="2"/>
          <w:sz w:val="28"/>
          <w:szCs w:val="28"/>
        </w:rPr>
        <w:t>风险表征技术要求；</w:t>
      </w:r>
    </w:p>
    <w:p w:rsidR="000E7048" w:rsidRPr="00721B78" w:rsidRDefault="0044664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1</w:t>
      </w:r>
      <w:r>
        <w:rPr>
          <w:rFonts w:ascii="Times New Roman" w:eastAsiaTheme="minorEastAsia" w:hAnsi="Times New Roman"/>
          <w:kern w:val="2"/>
          <w:sz w:val="28"/>
          <w:szCs w:val="28"/>
        </w:rPr>
        <w:t xml:space="preserve">1. </w:t>
      </w:r>
      <w:r w:rsidR="000E7048" w:rsidRPr="00721B78">
        <w:rPr>
          <w:rFonts w:ascii="Times New Roman" w:eastAsiaTheme="minorEastAsia" w:hAnsi="Times New Roman"/>
          <w:kern w:val="2"/>
          <w:sz w:val="28"/>
          <w:szCs w:val="28"/>
        </w:rPr>
        <w:t>风险评估报告编制的要求。</w:t>
      </w:r>
    </w:p>
    <w:p w:rsidR="000E7048"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4" w:name="_Toc119660578"/>
      <w:r w:rsidRPr="002D35B8">
        <w:rPr>
          <w:rFonts w:hint="eastAsia"/>
          <w:b/>
          <w:bCs/>
          <w:kern w:val="2"/>
          <w:sz w:val="28"/>
          <w:szCs w:val="28"/>
        </w:rPr>
        <w:t>（二）</w:t>
      </w:r>
      <w:r w:rsidR="001F0C23" w:rsidRPr="002D35B8">
        <w:rPr>
          <w:rFonts w:hint="eastAsia"/>
          <w:b/>
          <w:bCs/>
          <w:kern w:val="2"/>
          <w:sz w:val="28"/>
          <w:szCs w:val="28"/>
        </w:rPr>
        <w:t>适用范围</w:t>
      </w:r>
      <w:bookmarkEnd w:id="24"/>
    </w:p>
    <w:p w:rsidR="005371F3" w:rsidRPr="00721B78" w:rsidRDefault="002B5383"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基于村镇社区环境管理的业务需求，本文件定位为针对村镇社区环境污染风险评估的技术规范性文件</w:t>
      </w:r>
      <w:r w:rsidR="00E96287" w:rsidRPr="00721B78">
        <w:rPr>
          <w:rFonts w:ascii="Times New Roman" w:eastAsiaTheme="minorEastAsia" w:hAnsi="Times New Roman"/>
          <w:kern w:val="2"/>
          <w:sz w:val="28"/>
          <w:szCs w:val="28"/>
        </w:rPr>
        <w:t>。</w:t>
      </w:r>
      <w:r w:rsidR="00BE285E" w:rsidRPr="00721B78">
        <w:rPr>
          <w:rFonts w:ascii="Times New Roman" w:eastAsiaTheme="minorEastAsia" w:hAnsi="Times New Roman"/>
          <w:kern w:val="2"/>
          <w:sz w:val="28"/>
          <w:szCs w:val="28"/>
        </w:rPr>
        <w:t>本文件规定了村镇社区污染风险评估的原则、内容、程序、方法和技术要求，主要适用于规范村镇社区环境管理过程中，为预防和控制与损害公众健康密切相关的环境污染因素而开展的风险评估，适用于村镇社区环境土壤、水体、空气等环境介质及自用农产品的暴露途径确定和化学性污染物造成的人群健康风险评估。</w:t>
      </w:r>
    </w:p>
    <w:p w:rsidR="0015737C" w:rsidRPr="00721B78" w:rsidRDefault="001B42B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本文件是在《环境健康风险</w:t>
      </w:r>
      <w:r w:rsidR="00334031" w:rsidRPr="00721B78">
        <w:rPr>
          <w:rFonts w:ascii="Times New Roman" w:eastAsiaTheme="minorEastAsia" w:hAnsi="Times New Roman"/>
          <w:kern w:val="2"/>
          <w:sz w:val="28"/>
          <w:szCs w:val="28"/>
        </w:rPr>
        <w:t>评估技术指南总纲</w:t>
      </w:r>
      <w:r w:rsidRPr="00721B78">
        <w:rPr>
          <w:rFonts w:ascii="Times New Roman" w:eastAsiaTheme="minorEastAsia" w:hAnsi="Times New Roman"/>
          <w:kern w:val="2"/>
          <w:sz w:val="28"/>
          <w:szCs w:val="28"/>
        </w:rPr>
        <w:t>》</w:t>
      </w:r>
      <w:r w:rsidR="00334031" w:rsidRPr="00721B78">
        <w:rPr>
          <w:rFonts w:ascii="Times New Roman" w:eastAsiaTheme="minorEastAsia" w:hAnsi="Times New Roman"/>
          <w:kern w:val="2"/>
          <w:sz w:val="28"/>
          <w:szCs w:val="28"/>
        </w:rPr>
        <w:t>约束下的针对村镇社区环境污染风险评估的技术规范性文件。由于物理性和生物性环境因素与化学性污染物的潜在健康风险机制和管理单位的不同，本文件仅适用于村镇社区化学性物质污染造成的健康风险评估。</w:t>
      </w:r>
    </w:p>
    <w:p w:rsidR="0066721D"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5" w:name="_Toc119660579"/>
      <w:r w:rsidRPr="002D35B8">
        <w:rPr>
          <w:rFonts w:hint="eastAsia"/>
          <w:b/>
          <w:bCs/>
          <w:kern w:val="2"/>
          <w:sz w:val="28"/>
          <w:szCs w:val="28"/>
        </w:rPr>
        <w:t>（三）</w:t>
      </w:r>
      <w:r w:rsidR="0066721D" w:rsidRPr="002D35B8">
        <w:rPr>
          <w:rFonts w:hint="eastAsia"/>
          <w:b/>
          <w:bCs/>
          <w:kern w:val="2"/>
          <w:sz w:val="28"/>
          <w:szCs w:val="28"/>
        </w:rPr>
        <w:t>规范性引用文件</w:t>
      </w:r>
      <w:bookmarkEnd w:id="25"/>
    </w:p>
    <w:p w:rsidR="00670E67" w:rsidRPr="008D7553" w:rsidRDefault="00670E67" w:rsidP="002D35B8">
      <w:pPr>
        <w:pStyle w:val="ac"/>
        <w:spacing w:before="0" w:beforeAutospacing="0" w:after="0" w:afterAutospacing="0" w:line="360" w:lineRule="auto"/>
        <w:ind w:firstLineChars="200" w:firstLine="560"/>
        <w:jc w:val="both"/>
      </w:pPr>
      <w:r w:rsidRPr="00721B78">
        <w:rPr>
          <w:rFonts w:ascii="Times New Roman" w:eastAsiaTheme="minorEastAsia" w:hAnsi="Times New Roman"/>
          <w:kern w:val="2"/>
          <w:sz w:val="28"/>
          <w:szCs w:val="28"/>
        </w:rPr>
        <w:t>本文件主要引用了以下</w:t>
      </w:r>
      <w:r w:rsidRPr="00721B78">
        <w:rPr>
          <w:rFonts w:ascii="Times New Roman" w:eastAsiaTheme="minorEastAsia" w:hAnsi="Times New Roman"/>
          <w:kern w:val="2"/>
          <w:sz w:val="28"/>
          <w:szCs w:val="28"/>
        </w:rPr>
        <w:t>15</w:t>
      </w:r>
      <w:r w:rsidRPr="00721B78">
        <w:rPr>
          <w:rFonts w:ascii="Times New Roman" w:eastAsiaTheme="minorEastAsia" w:hAnsi="Times New Roman"/>
          <w:kern w:val="2"/>
          <w:sz w:val="28"/>
          <w:szCs w:val="28"/>
        </w:rPr>
        <w:t>个规范性文件，具体引用内容如下所示：</w:t>
      </w:r>
    </w:p>
    <w:p w:rsidR="00670E67" w:rsidRPr="008D7553" w:rsidRDefault="00670E67" w:rsidP="00670E67">
      <w:pPr>
        <w:spacing w:line="360" w:lineRule="auto"/>
        <w:jc w:val="center"/>
        <w:rPr>
          <w:b/>
          <w:bCs/>
          <w:sz w:val="24"/>
          <w:szCs w:val="32"/>
        </w:rPr>
      </w:pPr>
      <w:r w:rsidRPr="008D7553">
        <w:rPr>
          <w:b/>
          <w:bCs/>
          <w:sz w:val="24"/>
          <w:szCs w:val="32"/>
        </w:rPr>
        <w:t>表</w:t>
      </w:r>
      <w:r w:rsidRPr="008D7553">
        <w:rPr>
          <w:b/>
          <w:bCs/>
          <w:sz w:val="24"/>
          <w:szCs w:val="32"/>
        </w:rPr>
        <w:t xml:space="preserve">5-1 </w:t>
      </w:r>
      <w:r w:rsidRPr="008D7553">
        <w:rPr>
          <w:b/>
          <w:bCs/>
          <w:sz w:val="24"/>
          <w:szCs w:val="32"/>
        </w:rPr>
        <w:t>规范性引用文件引用内容</w:t>
      </w:r>
    </w:p>
    <w:tbl>
      <w:tblPr>
        <w:tblStyle w:val="ab"/>
        <w:tblW w:w="8519" w:type="dxa"/>
        <w:tblLook w:val="04A0"/>
      </w:tblPr>
      <w:tblGrid>
        <w:gridCol w:w="1413"/>
        <w:gridCol w:w="3058"/>
        <w:gridCol w:w="4048"/>
      </w:tblGrid>
      <w:tr w:rsidR="0033678B" w:rsidRPr="008D7553" w:rsidTr="00AD7697">
        <w:tc>
          <w:tcPr>
            <w:tcW w:w="1413" w:type="dxa"/>
            <w:vAlign w:val="center"/>
          </w:tcPr>
          <w:p w:rsidR="0033678B" w:rsidRPr="008D7553" w:rsidRDefault="0033678B" w:rsidP="00432A21">
            <w:pPr>
              <w:jc w:val="center"/>
              <w:rPr>
                <w:sz w:val="24"/>
                <w:szCs w:val="32"/>
              </w:rPr>
            </w:pPr>
            <w:r w:rsidRPr="008D7553">
              <w:rPr>
                <w:sz w:val="24"/>
                <w:szCs w:val="32"/>
              </w:rPr>
              <w:t>文件号</w:t>
            </w:r>
          </w:p>
        </w:tc>
        <w:tc>
          <w:tcPr>
            <w:tcW w:w="3058" w:type="dxa"/>
            <w:vAlign w:val="center"/>
          </w:tcPr>
          <w:p w:rsidR="0033678B" w:rsidRPr="008D7553" w:rsidRDefault="0033678B" w:rsidP="00432A21">
            <w:pPr>
              <w:jc w:val="center"/>
              <w:rPr>
                <w:sz w:val="24"/>
                <w:szCs w:val="32"/>
              </w:rPr>
            </w:pPr>
            <w:r w:rsidRPr="008D7553">
              <w:rPr>
                <w:sz w:val="24"/>
                <w:szCs w:val="32"/>
              </w:rPr>
              <w:t>规范性引用文件</w:t>
            </w:r>
          </w:p>
        </w:tc>
        <w:tc>
          <w:tcPr>
            <w:tcW w:w="4048" w:type="dxa"/>
            <w:vAlign w:val="center"/>
          </w:tcPr>
          <w:p w:rsidR="0033678B" w:rsidRPr="008D7553" w:rsidRDefault="0033678B" w:rsidP="00432A21">
            <w:pPr>
              <w:jc w:val="center"/>
              <w:rPr>
                <w:sz w:val="24"/>
                <w:szCs w:val="32"/>
              </w:rPr>
            </w:pPr>
            <w:r w:rsidRPr="008D7553">
              <w:rPr>
                <w:sz w:val="24"/>
                <w:szCs w:val="32"/>
              </w:rPr>
              <w:t>引用内容</w:t>
            </w:r>
          </w:p>
        </w:tc>
      </w:tr>
      <w:tr w:rsidR="0033678B" w:rsidRPr="008D7553" w:rsidTr="008F001B">
        <w:tc>
          <w:tcPr>
            <w:tcW w:w="1413" w:type="dxa"/>
            <w:vAlign w:val="center"/>
          </w:tcPr>
          <w:p w:rsidR="0033678B" w:rsidRPr="008D7553" w:rsidRDefault="001574B5" w:rsidP="00D10298">
            <w:pPr>
              <w:jc w:val="center"/>
              <w:rPr>
                <w:sz w:val="24"/>
                <w:szCs w:val="32"/>
              </w:rPr>
            </w:pPr>
            <w:r w:rsidRPr="008D7553">
              <w:rPr>
                <w:sz w:val="24"/>
                <w:szCs w:val="32"/>
              </w:rPr>
              <w:t>GB/T 27921</w:t>
            </w:r>
          </w:p>
        </w:tc>
        <w:tc>
          <w:tcPr>
            <w:tcW w:w="3058" w:type="dxa"/>
            <w:vAlign w:val="center"/>
          </w:tcPr>
          <w:p w:rsidR="0033678B" w:rsidRPr="008D7553" w:rsidRDefault="001574B5" w:rsidP="008F001B">
            <w:pPr>
              <w:rPr>
                <w:sz w:val="24"/>
                <w:szCs w:val="32"/>
              </w:rPr>
            </w:pPr>
            <w:r w:rsidRPr="008D7553">
              <w:rPr>
                <w:sz w:val="24"/>
                <w:szCs w:val="32"/>
              </w:rPr>
              <w:t>风险管理风险评估技术</w:t>
            </w:r>
          </w:p>
        </w:tc>
        <w:tc>
          <w:tcPr>
            <w:tcW w:w="4048" w:type="dxa"/>
          </w:tcPr>
          <w:p w:rsidR="0033678B" w:rsidRPr="008D7553" w:rsidRDefault="00C63787" w:rsidP="00432A21">
            <w:pPr>
              <w:rPr>
                <w:sz w:val="24"/>
                <w:szCs w:val="32"/>
              </w:rPr>
            </w:pPr>
            <w:r w:rsidRPr="008D7553">
              <w:rPr>
                <w:sz w:val="24"/>
                <w:szCs w:val="32"/>
              </w:rPr>
              <w:t>引用附录中蒙特卡洛不确定性分析方法。</w:t>
            </w:r>
          </w:p>
        </w:tc>
      </w:tr>
      <w:tr w:rsidR="0033678B" w:rsidRPr="008D7553" w:rsidTr="008F001B">
        <w:tc>
          <w:tcPr>
            <w:tcW w:w="1413" w:type="dxa"/>
            <w:vAlign w:val="center"/>
          </w:tcPr>
          <w:p w:rsidR="0033678B" w:rsidRPr="008D7553" w:rsidRDefault="00AD7697" w:rsidP="00D10298">
            <w:pPr>
              <w:jc w:val="center"/>
              <w:rPr>
                <w:sz w:val="24"/>
                <w:szCs w:val="32"/>
              </w:rPr>
            </w:pPr>
            <w:r w:rsidRPr="008D7553">
              <w:rPr>
                <w:sz w:val="24"/>
                <w:szCs w:val="32"/>
              </w:rPr>
              <w:t>HJ 2.2</w:t>
            </w:r>
          </w:p>
        </w:tc>
        <w:tc>
          <w:tcPr>
            <w:tcW w:w="3058" w:type="dxa"/>
            <w:vAlign w:val="center"/>
          </w:tcPr>
          <w:p w:rsidR="0033678B" w:rsidRPr="008D7553" w:rsidRDefault="00AD7697" w:rsidP="008F001B">
            <w:pPr>
              <w:rPr>
                <w:sz w:val="24"/>
                <w:szCs w:val="32"/>
              </w:rPr>
            </w:pPr>
            <w:r w:rsidRPr="008D7553">
              <w:rPr>
                <w:sz w:val="24"/>
                <w:szCs w:val="32"/>
              </w:rPr>
              <w:t>环境影响评价技术导则大气环境</w:t>
            </w:r>
          </w:p>
        </w:tc>
        <w:tc>
          <w:tcPr>
            <w:tcW w:w="4048" w:type="dxa"/>
          </w:tcPr>
          <w:p w:rsidR="0033678B" w:rsidRPr="008D7553" w:rsidRDefault="002F3193" w:rsidP="00432A21">
            <w:pPr>
              <w:rPr>
                <w:sz w:val="24"/>
                <w:szCs w:val="32"/>
              </w:rPr>
            </w:pPr>
            <w:r w:rsidRPr="008D7553">
              <w:rPr>
                <w:sz w:val="24"/>
                <w:szCs w:val="32"/>
              </w:rPr>
              <w:t>引用文件中关于大气环境质量调查的相关内容，以及附录</w:t>
            </w:r>
            <w:r w:rsidRPr="008D7553">
              <w:rPr>
                <w:sz w:val="24"/>
                <w:szCs w:val="32"/>
              </w:rPr>
              <w:t>A</w:t>
            </w:r>
            <w:r w:rsidRPr="008D7553">
              <w:rPr>
                <w:sz w:val="24"/>
                <w:szCs w:val="32"/>
              </w:rPr>
              <w:t>中推荐模式</w:t>
            </w:r>
            <w:r w:rsidRPr="008D7553">
              <w:rPr>
                <w:sz w:val="24"/>
                <w:szCs w:val="32"/>
              </w:rPr>
              <w:lastRenderedPageBreak/>
              <w:t>清单的相关内容。</w:t>
            </w:r>
          </w:p>
        </w:tc>
      </w:tr>
      <w:tr w:rsidR="0033678B" w:rsidRPr="008D7553" w:rsidTr="008F001B">
        <w:tc>
          <w:tcPr>
            <w:tcW w:w="1413" w:type="dxa"/>
            <w:vAlign w:val="center"/>
          </w:tcPr>
          <w:p w:rsidR="0033678B" w:rsidRPr="008D7553" w:rsidRDefault="00AD7697" w:rsidP="00D10298">
            <w:pPr>
              <w:jc w:val="center"/>
              <w:rPr>
                <w:sz w:val="24"/>
                <w:szCs w:val="32"/>
              </w:rPr>
            </w:pPr>
            <w:r w:rsidRPr="008D7553">
              <w:rPr>
                <w:sz w:val="24"/>
                <w:szCs w:val="32"/>
              </w:rPr>
              <w:lastRenderedPageBreak/>
              <w:t>HJ 2.3</w:t>
            </w:r>
          </w:p>
        </w:tc>
        <w:tc>
          <w:tcPr>
            <w:tcW w:w="3058" w:type="dxa"/>
            <w:vAlign w:val="center"/>
          </w:tcPr>
          <w:p w:rsidR="0033678B" w:rsidRPr="008D7553" w:rsidRDefault="00AD7697" w:rsidP="008F001B">
            <w:pPr>
              <w:rPr>
                <w:sz w:val="24"/>
                <w:szCs w:val="32"/>
              </w:rPr>
            </w:pPr>
            <w:r w:rsidRPr="008D7553">
              <w:rPr>
                <w:sz w:val="24"/>
                <w:szCs w:val="32"/>
              </w:rPr>
              <w:t>环境影响评价技术导则地表水环境</w:t>
            </w:r>
          </w:p>
        </w:tc>
        <w:tc>
          <w:tcPr>
            <w:tcW w:w="4048" w:type="dxa"/>
          </w:tcPr>
          <w:p w:rsidR="0033678B" w:rsidRPr="008D7553" w:rsidRDefault="002F3193" w:rsidP="00432A21">
            <w:pPr>
              <w:rPr>
                <w:sz w:val="24"/>
                <w:szCs w:val="32"/>
              </w:rPr>
            </w:pPr>
            <w:r w:rsidRPr="008D7553">
              <w:rPr>
                <w:sz w:val="24"/>
                <w:szCs w:val="32"/>
              </w:rPr>
              <w:t>引用文件中关于地表水调查的相关内容，以及附录</w:t>
            </w:r>
            <w:r w:rsidRPr="008D7553">
              <w:rPr>
                <w:sz w:val="24"/>
                <w:szCs w:val="32"/>
              </w:rPr>
              <w:t>E</w:t>
            </w:r>
            <w:r w:rsidRPr="008D7553">
              <w:rPr>
                <w:sz w:val="24"/>
                <w:szCs w:val="32"/>
              </w:rPr>
              <w:t>中水体常用数学模型基本方程及解法的相关内容。</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 25.1</w:t>
            </w:r>
          </w:p>
        </w:tc>
        <w:tc>
          <w:tcPr>
            <w:tcW w:w="3058" w:type="dxa"/>
            <w:vAlign w:val="center"/>
          </w:tcPr>
          <w:p w:rsidR="00C15734" w:rsidRPr="008D7553" w:rsidRDefault="00C15734" w:rsidP="00C15734">
            <w:pPr>
              <w:rPr>
                <w:sz w:val="24"/>
                <w:szCs w:val="32"/>
              </w:rPr>
            </w:pPr>
            <w:r w:rsidRPr="008D7553">
              <w:rPr>
                <w:sz w:val="24"/>
                <w:szCs w:val="32"/>
              </w:rPr>
              <w:t>建设用地土壤污染状况调查技术导则</w:t>
            </w:r>
          </w:p>
        </w:tc>
        <w:tc>
          <w:tcPr>
            <w:tcW w:w="4048" w:type="dxa"/>
          </w:tcPr>
          <w:p w:rsidR="00C15734" w:rsidRPr="008D7553" w:rsidRDefault="00C15734" w:rsidP="00C15734">
            <w:pPr>
              <w:rPr>
                <w:sz w:val="24"/>
                <w:szCs w:val="32"/>
              </w:rPr>
            </w:pPr>
            <w:r w:rsidRPr="008D7553">
              <w:rPr>
                <w:sz w:val="24"/>
                <w:szCs w:val="32"/>
              </w:rPr>
              <w:t>全文引用</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 25.3</w:t>
            </w:r>
          </w:p>
        </w:tc>
        <w:tc>
          <w:tcPr>
            <w:tcW w:w="3058" w:type="dxa"/>
            <w:vAlign w:val="center"/>
          </w:tcPr>
          <w:p w:rsidR="00C15734" w:rsidRPr="008D7553" w:rsidRDefault="00C15734" w:rsidP="00C15734">
            <w:pPr>
              <w:rPr>
                <w:sz w:val="24"/>
                <w:szCs w:val="32"/>
              </w:rPr>
            </w:pPr>
            <w:r w:rsidRPr="008D7553">
              <w:rPr>
                <w:sz w:val="24"/>
                <w:szCs w:val="32"/>
              </w:rPr>
              <w:t>污染场地土壤污染风险评估技术导则</w:t>
            </w:r>
          </w:p>
        </w:tc>
        <w:tc>
          <w:tcPr>
            <w:tcW w:w="4048" w:type="dxa"/>
          </w:tcPr>
          <w:p w:rsidR="00C15734" w:rsidRPr="008D7553" w:rsidRDefault="00C15734" w:rsidP="00C15734">
            <w:pPr>
              <w:rPr>
                <w:sz w:val="24"/>
                <w:szCs w:val="32"/>
              </w:rPr>
            </w:pPr>
            <w:r w:rsidRPr="008D7553">
              <w:rPr>
                <w:sz w:val="24"/>
                <w:szCs w:val="32"/>
              </w:rPr>
              <w:t>引用附录</w:t>
            </w:r>
            <w:r w:rsidRPr="008D7553">
              <w:rPr>
                <w:sz w:val="24"/>
                <w:szCs w:val="32"/>
              </w:rPr>
              <w:t xml:space="preserve"> F </w:t>
            </w:r>
            <w:r w:rsidRPr="008D7553">
              <w:rPr>
                <w:sz w:val="24"/>
                <w:szCs w:val="32"/>
              </w:rPr>
              <w:t>污染物扩散迁移推荐模型的相关内容。</w:t>
            </w:r>
          </w:p>
        </w:tc>
      </w:tr>
      <w:tr w:rsidR="00C15734" w:rsidRPr="008D7553" w:rsidTr="008D0028">
        <w:tc>
          <w:tcPr>
            <w:tcW w:w="1413" w:type="dxa"/>
            <w:vAlign w:val="center"/>
          </w:tcPr>
          <w:p w:rsidR="00C15734" w:rsidRPr="008D7553" w:rsidRDefault="00C15734" w:rsidP="008D0028">
            <w:pPr>
              <w:jc w:val="center"/>
              <w:rPr>
                <w:sz w:val="24"/>
                <w:szCs w:val="32"/>
              </w:rPr>
            </w:pPr>
            <w:r w:rsidRPr="008D7553">
              <w:rPr>
                <w:sz w:val="24"/>
                <w:szCs w:val="32"/>
              </w:rPr>
              <w:t>HJ 91.2</w:t>
            </w:r>
          </w:p>
        </w:tc>
        <w:tc>
          <w:tcPr>
            <w:tcW w:w="3058" w:type="dxa"/>
            <w:vAlign w:val="center"/>
          </w:tcPr>
          <w:p w:rsidR="00C15734" w:rsidRPr="008D7553" w:rsidRDefault="00C15734" w:rsidP="008D0028">
            <w:pPr>
              <w:rPr>
                <w:sz w:val="24"/>
                <w:szCs w:val="32"/>
              </w:rPr>
            </w:pPr>
            <w:r w:rsidRPr="008D7553">
              <w:rPr>
                <w:sz w:val="24"/>
                <w:szCs w:val="32"/>
              </w:rPr>
              <w:t>地表水环境质量监测技术规范</w:t>
            </w:r>
          </w:p>
        </w:tc>
        <w:tc>
          <w:tcPr>
            <w:tcW w:w="4048" w:type="dxa"/>
          </w:tcPr>
          <w:p w:rsidR="00C15734" w:rsidRPr="008D7553" w:rsidRDefault="00C15734" w:rsidP="008D0028">
            <w:pPr>
              <w:rPr>
                <w:sz w:val="24"/>
                <w:szCs w:val="32"/>
              </w:rPr>
            </w:pPr>
            <w:r w:rsidRPr="008D7553">
              <w:rPr>
                <w:sz w:val="24"/>
                <w:szCs w:val="32"/>
              </w:rPr>
              <w:t>引用文件中关于地表水调查、采样、样点布设等相关内容。</w:t>
            </w:r>
          </w:p>
        </w:tc>
      </w:tr>
      <w:tr w:rsidR="00C15734" w:rsidRPr="008D7553" w:rsidTr="008F001B">
        <w:tc>
          <w:tcPr>
            <w:tcW w:w="1413" w:type="dxa"/>
            <w:vAlign w:val="center"/>
          </w:tcPr>
          <w:p w:rsidR="00C15734" w:rsidRPr="008D7553" w:rsidRDefault="00C15734" w:rsidP="00C15734">
            <w:pPr>
              <w:jc w:val="center"/>
              <w:rPr>
                <w:sz w:val="24"/>
                <w:szCs w:val="32"/>
              </w:rPr>
            </w:pPr>
            <w:r>
              <w:rPr>
                <w:rFonts w:hint="eastAsia"/>
                <w:sz w:val="24"/>
                <w:szCs w:val="32"/>
              </w:rPr>
              <w:t>H</w:t>
            </w:r>
            <w:r>
              <w:rPr>
                <w:sz w:val="24"/>
                <w:szCs w:val="32"/>
              </w:rPr>
              <w:t xml:space="preserve">J 610 </w:t>
            </w:r>
          </w:p>
        </w:tc>
        <w:tc>
          <w:tcPr>
            <w:tcW w:w="3058" w:type="dxa"/>
            <w:vAlign w:val="center"/>
          </w:tcPr>
          <w:p w:rsidR="00C15734" w:rsidRPr="008D7553" w:rsidRDefault="00C15734" w:rsidP="00C15734">
            <w:pPr>
              <w:rPr>
                <w:sz w:val="24"/>
                <w:szCs w:val="32"/>
              </w:rPr>
            </w:pPr>
            <w:r w:rsidRPr="007B6F18">
              <w:rPr>
                <w:rFonts w:hint="eastAsia"/>
                <w:color w:val="000000"/>
                <w:szCs w:val="21"/>
              </w:rPr>
              <w:t>环境影响评价技术导则地下水环境</w:t>
            </w:r>
          </w:p>
        </w:tc>
        <w:tc>
          <w:tcPr>
            <w:tcW w:w="4048" w:type="dxa"/>
          </w:tcPr>
          <w:p w:rsidR="00C15734" w:rsidRPr="008D7553" w:rsidRDefault="00C15734" w:rsidP="00C15734">
            <w:pPr>
              <w:rPr>
                <w:sz w:val="24"/>
                <w:szCs w:val="32"/>
              </w:rPr>
            </w:pPr>
            <w:r>
              <w:rPr>
                <w:rFonts w:hint="eastAsia"/>
                <w:sz w:val="24"/>
                <w:szCs w:val="32"/>
              </w:rPr>
              <w:t>引用文件中关于地下水调查、采样的相关内容。</w:t>
            </w:r>
          </w:p>
        </w:tc>
      </w:tr>
      <w:tr w:rsidR="00C15734" w:rsidRPr="008D7553" w:rsidTr="002E6621">
        <w:tc>
          <w:tcPr>
            <w:tcW w:w="1413" w:type="dxa"/>
            <w:vAlign w:val="center"/>
          </w:tcPr>
          <w:p w:rsidR="00C15734" w:rsidRPr="008D7553" w:rsidRDefault="00C15734" w:rsidP="002E6621">
            <w:pPr>
              <w:jc w:val="center"/>
              <w:rPr>
                <w:sz w:val="24"/>
                <w:szCs w:val="32"/>
              </w:rPr>
            </w:pPr>
            <w:r w:rsidRPr="008D7553">
              <w:rPr>
                <w:sz w:val="24"/>
                <w:szCs w:val="32"/>
              </w:rPr>
              <w:t>HJ 839</w:t>
            </w:r>
          </w:p>
        </w:tc>
        <w:tc>
          <w:tcPr>
            <w:tcW w:w="3058" w:type="dxa"/>
            <w:vAlign w:val="center"/>
          </w:tcPr>
          <w:p w:rsidR="00C15734" w:rsidRPr="008D7553" w:rsidRDefault="00C15734" w:rsidP="002E6621">
            <w:pPr>
              <w:rPr>
                <w:sz w:val="24"/>
                <w:szCs w:val="32"/>
              </w:rPr>
            </w:pPr>
            <w:r w:rsidRPr="008D7553">
              <w:rPr>
                <w:sz w:val="24"/>
                <w:szCs w:val="32"/>
              </w:rPr>
              <w:t>环境与健康现场调查技术规范横断面调查</w:t>
            </w:r>
          </w:p>
        </w:tc>
        <w:tc>
          <w:tcPr>
            <w:tcW w:w="4048" w:type="dxa"/>
          </w:tcPr>
          <w:p w:rsidR="00C15734" w:rsidRPr="008D7553" w:rsidRDefault="00C15734" w:rsidP="002E6621">
            <w:pPr>
              <w:rPr>
                <w:sz w:val="24"/>
                <w:szCs w:val="32"/>
              </w:rPr>
            </w:pPr>
            <w:r w:rsidRPr="008D7553">
              <w:rPr>
                <w:sz w:val="24"/>
                <w:szCs w:val="32"/>
              </w:rPr>
              <w:t>全文引用</w:t>
            </w:r>
          </w:p>
        </w:tc>
      </w:tr>
      <w:tr w:rsidR="00C15734" w:rsidRPr="008D7553" w:rsidTr="00DA0528">
        <w:tc>
          <w:tcPr>
            <w:tcW w:w="1413" w:type="dxa"/>
            <w:vAlign w:val="center"/>
          </w:tcPr>
          <w:p w:rsidR="00C15734" w:rsidRPr="008D7553" w:rsidRDefault="00C15734" w:rsidP="00DA0528">
            <w:pPr>
              <w:jc w:val="center"/>
              <w:rPr>
                <w:sz w:val="24"/>
                <w:szCs w:val="32"/>
              </w:rPr>
            </w:pPr>
            <w:r w:rsidRPr="008D7553">
              <w:rPr>
                <w:sz w:val="24"/>
                <w:szCs w:val="32"/>
              </w:rPr>
              <w:t>HJ 875</w:t>
            </w:r>
          </w:p>
        </w:tc>
        <w:tc>
          <w:tcPr>
            <w:tcW w:w="3058" w:type="dxa"/>
            <w:vAlign w:val="center"/>
          </w:tcPr>
          <w:p w:rsidR="00C15734" w:rsidRPr="008D7553" w:rsidRDefault="00C15734" w:rsidP="00DA0528">
            <w:pPr>
              <w:rPr>
                <w:sz w:val="24"/>
                <w:szCs w:val="32"/>
              </w:rPr>
            </w:pPr>
            <w:r w:rsidRPr="008D7553">
              <w:rPr>
                <w:sz w:val="24"/>
                <w:szCs w:val="32"/>
              </w:rPr>
              <w:t>环境污染物人群暴露评估技术指南</w:t>
            </w:r>
          </w:p>
        </w:tc>
        <w:tc>
          <w:tcPr>
            <w:tcW w:w="4048" w:type="dxa"/>
          </w:tcPr>
          <w:p w:rsidR="00C15734" w:rsidRPr="008D7553" w:rsidRDefault="00C15734" w:rsidP="00DA0528">
            <w:pPr>
              <w:rPr>
                <w:sz w:val="24"/>
                <w:szCs w:val="32"/>
              </w:rPr>
            </w:pPr>
            <w:r w:rsidRPr="008D7553">
              <w:rPr>
                <w:sz w:val="24"/>
                <w:szCs w:val="32"/>
              </w:rPr>
              <w:t>全文引用</w:t>
            </w:r>
          </w:p>
        </w:tc>
      </w:tr>
      <w:tr w:rsidR="00C15734" w:rsidRPr="008D7553" w:rsidTr="00D01193">
        <w:tc>
          <w:tcPr>
            <w:tcW w:w="1413" w:type="dxa"/>
            <w:vAlign w:val="center"/>
          </w:tcPr>
          <w:p w:rsidR="00C15734" w:rsidRPr="008D7553" w:rsidRDefault="00C15734" w:rsidP="00D01193">
            <w:pPr>
              <w:jc w:val="center"/>
              <w:rPr>
                <w:sz w:val="24"/>
                <w:szCs w:val="32"/>
              </w:rPr>
            </w:pPr>
            <w:r w:rsidRPr="008D7553">
              <w:rPr>
                <w:sz w:val="24"/>
                <w:szCs w:val="32"/>
              </w:rPr>
              <w:t>HJ 876</w:t>
            </w:r>
          </w:p>
        </w:tc>
        <w:tc>
          <w:tcPr>
            <w:tcW w:w="3058" w:type="dxa"/>
            <w:vAlign w:val="center"/>
          </w:tcPr>
          <w:p w:rsidR="00C15734" w:rsidRPr="008D7553" w:rsidRDefault="00C15734" w:rsidP="00D01193">
            <w:pPr>
              <w:rPr>
                <w:sz w:val="24"/>
                <w:szCs w:val="32"/>
              </w:rPr>
            </w:pPr>
            <w:r w:rsidRPr="008D7553">
              <w:rPr>
                <w:sz w:val="24"/>
                <w:szCs w:val="32"/>
              </w:rPr>
              <w:t>儿童土壤摄入量调查技术规范示踪元素法</w:t>
            </w:r>
          </w:p>
        </w:tc>
        <w:tc>
          <w:tcPr>
            <w:tcW w:w="4048" w:type="dxa"/>
          </w:tcPr>
          <w:p w:rsidR="00C15734" w:rsidRPr="008D7553" w:rsidRDefault="00C15734" w:rsidP="00D01193">
            <w:pPr>
              <w:rPr>
                <w:sz w:val="24"/>
                <w:szCs w:val="32"/>
              </w:rPr>
            </w:pPr>
            <w:r w:rsidRPr="008D7553">
              <w:rPr>
                <w:sz w:val="24"/>
                <w:szCs w:val="32"/>
              </w:rPr>
              <w:t>全文引用</w:t>
            </w:r>
          </w:p>
        </w:tc>
      </w:tr>
      <w:tr w:rsidR="00C15734" w:rsidRPr="008D7553" w:rsidTr="004E1F44">
        <w:tc>
          <w:tcPr>
            <w:tcW w:w="1413" w:type="dxa"/>
            <w:vAlign w:val="center"/>
          </w:tcPr>
          <w:p w:rsidR="00C15734" w:rsidRPr="008D7553" w:rsidRDefault="00C15734" w:rsidP="004E1F44">
            <w:pPr>
              <w:jc w:val="center"/>
              <w:rPr>
                <w:sz w:val="24"/>
                <w:szCs w:val="32"/>
              </w:rPr>
            </w:pPr>
            <w:r w:rsidRPr="008D7553">
              <w:rPr>
                <w:sz w:val="24"/>
                <w:szCs w:val="32"/>
              </w:rPr>
              <w:t>HJ 877</w:t>
            </w:r>
          </w:p>
        </w:tc>
        <w:tc>
          <w:tcPr>
            <w:tcW w:w="3058" w:type="dxa"/>
            <w:vAlign w:val="center"/>
          </w:tcPr>
          <w:p w:rsidR="00C15734" w:rsidRPr="008D7553" w:rsidRDefault="00C15734" w:rsidP="004E1F44">
            <w:pPr>
              <w:rPr>
                <w:sz w:val="24"/>
                <w:szCs w:val="32"/>
              </w:rPr>
            </w:pPr>
            <w:r w:rsidRPr="008D7553">
              <w:rPr>
                <w:sz w:val="24"/>
                <w:szCs w:val="32"/>
              </w:rPr>
              <w:t>暴露参数调查技术规范</w:t>
            </w:r>
          </w:p>
        </w:tc>
        <w:tc>
          <w:tcPr>
            <w:tcW w:w="4048" w:type="dxa"/>
          </w:tcPr>
          <w:p w:rsidR="00C15734" w:rsidRPr="008D7553" w:rsidRDefault="00C15734" w:rsidP="004E1F44">
            <w:pPr>
              <w:rPr>
                <w:sz w:val="24"/>
                <w:szCs w:val="32"/>
              </w:rPr>
            </w:pPr>
            <w:r w:rsidRPr="008D7553">
              <w:rPr>
                <w:sz w:val="24"/>
                <w:szCs w:val="32"/>
              </w:rPr>
              <w:t>全文引用</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 964</w:t>
            </w:r>
          </w:p>
        </w:tc>
        <w:tc>
          <w:tcPr>
            <w:tcW w:w="3058" w:type="dxa"/>
            <w:vAlign w:val="center"/>
          </w:tcPr>
          <w:p w:rsidR="00C15734" w:rsidRPr="008D7553" w:rsidRDefault="00C15734" w:rsidP="00C15734">
            <w:pPr>
              <w:rPr>
                <w:sz w:val="24"/>
                <w:szCs w:val="32"/>
              </w:rPr>
            </w:pPr>
            <w:r w:rsidRPr="008D7553">
              <w:rPr>
                <w:sz w:val="24"/>
                <w:szCs w:val="32"/>
              </w:rPr>
              <w:t>环境影响评价技术导则土壤环境（试行）</w:t>
            </w:r>
          </w:p>
        </w:tc>
        <w:tc>
          <w:tcPr>
            <w:tcW w:w="4048" w:type="dxa"/>
          </w:tcPr>
          <w:p w:rsidR="00C15734" w:rsidRPr="008D7553" w:rsidRDefault="00C15734" w:rsidP="00C15734">
            <w:pPr>
              <w:rPr>
                <w:sz w:val="24"/>
                <w:szCs w:val="32"/>
              </w:rPr>
            </w:pPr>
            <w:r w:rsidRPr="008D7553">
              <w:rPr>
                <w:sz w:val="24"/>
                <w:szCs w:val="32"/>
              </w:rPr>
              <w:t>引用文件中关于土壤环境质量调查的相关内容，以及附录</w:t>
            </w:r>
            <w:r w:rsidRPr="008D7553">
              <w:rPr>
                <w:sz w:val="24"/>
                <w:szCs w:val="32"/>
              </w:rPr>
              <w:t>E</w:t>
            </w:r>
            <w:r w:rsidRPr="008D7553">
              <w:rPr>
                <w:sz w:val="24"/>
                <w:szCs w:val="32"/>
              </w:rPr>
              <w:t>中土壤污染物迁移模型的相关内容。</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 968</w:t>
            </w:r>
          </w:p>
        </w:tc>
        <w:tc>
          <w:tcPr>
            <w:tcW w:w="3058" w:type="dxa"/>
            <w:vAlign w:val="center"/>
          </w:tcPr>
          <w:p w:rsidR="00C15734" w:rsidRPr="008D7553" w:rsidRDefault="00C15734" w:rsidP="00C15734">
            <w:pPr>
              <w:rPr>
                <w:sz w:val="24"/>
                <w:szCs w:val="32"/>
              </w:rPr>
            </w:pPr>
            <w:r w:rsidRPr="008D7553">
              <w:rPr>
                <w:sz w:val="24"/>
                <w:szCs w:val="32"/>
              </w:rPr>
              <w:t>暴露参数调查基本数据集</w:t>
            </w:r>
          </w:p>
        </w:tc>
        <w:tc>
          <w:tcPr>
            <w:tcW w:w="4048" w:type="dxa"/>
          </w:tcPr>
          <w:p w:rsidR="00C15734" w:rsidRPr="008D7553" w:rsidRDefault="00C15734" w:rsidP="00C15734">
            <w:pPr>
              <w:rPr>
                <w:sz w:val="24"/>
                <w:szCs w:val="32"/>
              </w:rPr>
            </w:pPr>
            <w:r w:rsidRPr="008D7553">
              <w:rPr>
                <w:sz w:val="24"/>
                <w:szCs w:val="32"/>
              </w:rPr>
              <w:t>引用暴露参数基本数据</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 1111</w:t>
            </w:r>
          </w:p>
        </w:tc>
        <w:tc>
          <w:tcPr>
            <w:tcW w:w="3058" w:type="dxa"/>
            <w:vAlign w:val="center"/>
          </w:tcPr>
          <w:p w:rsidR="00C15734" w:rsidRPr="008D7553" w:rsidRDefault="00C15734" w:rsidP="00C15734">
            <w:pPr>
              <w:rPr>
                <w:sz w:val="24"/>
                <w:szCs w:val="32"/>
              </w:rPr>
            </w:pPr>
            <w:r w:rsidRPr="008D7553">
              <w:rPr>
                <w:sz w:val="24"/>
                <w:szCs w:val="32"/>
              </w:rPr>
              <w:t>生态环境健康风险评估技术指南总纲</w:t>
            </w:r>
          </w:p>
        </w:tc>
        <w:tc>
          <w:tcPr>
            <w:tcW w:w="4048" w:type="dxa"/>
          </w:tcPr>
          <w:p w:rsidR="00C15734" w:rsidRPr="008D7553" w:rsidRDefault="00C15734" w:rsidP="00C15734">
            <w:pPr>
              <w:rPr>
                <w:sz w:val="24"/>
                <w:szCs w:val="32"/>
              </w:rPr>
            </w:pPr>
            <w:r w:rsidRPr="008D7553">
              <w:rPr>
                <w:sz w:val="24"/>
                <w:szCs w:val="32"/>
              </w:rPr>
              <w:t>全文引用</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HJ/T 91</w:t>
            </w:r>
          </w:p>
        </w:tc>
        <w:tc>
          <w:tcPr>
            <w:tcW w:w="3058" w:type="dxa"/>
            <w:vAlign w:val="center"/>
          </w:tcPr>
          <w:p w:rsidR="00C15734" w:rsidRPr="008D7553" w:rsidRDefault="00C15734" w:rsidP="00C15734">
            <w:pPr>
              <w:rPr>
                <w:sz w:val="24"/>
                <w:szCs w:val="32"/>
              </w:rPr>
            </w:pPr>
            <w:r w:rsidRPr="008D7553">
              <w:rPr>
                <w:sz w:val="24"/>
                <w:szCs w:val="32"/>
              </w:rPr>
              <w:t>地表水和污水监测技术规范</w:t>
            </w:r>
          </w:p>
        </w:tc>
        <w:tc>
          <w:tcPr>
            <w:tcW w:w="4048" w:type="dxa"/>
          </w:tcPr>
          <w:p w:rsidR="00C15734" w:rsidRPr="008D7553" w:rsidRDefault="00C15734" w:rsidP="00C15734">
            <w:pPr>
              <w:rPr>
                <w:sz w:val="24"/>
                <w:szCs w:val="32"/>
              </w:rPr>
            </w:pPr>
            <w:r w:rsidRPr="008D7553">
              <w:rPr>
                <w:sz w:val="24"/>
                <w:szCs w:val="32"/>
              </w:rPr>
              <w:t>引用文件中关于地表水调查、采样、样点布设等相关内容。</w:t>
            </w:r>
          </w:p>
        </w:tc>
      </w:tr>
      <w:tr w:rsidR="00C15734" w:rsidRPr="008D7553" w:rsidTr="008F001B">
        <w:tc>
          <w:tcPr>
            <w:tcW w:w="1413" w:type="dxa"/>
            <w:vAlign w:val="center"/>
          </w:tcPr>
          <w:p w:rsidR="00C15734" w:rsidRPr="008D7553" w:rsidRDefault="00C15734" w:rsidP="00C15734">
            <w:pPr>
              <w:jc w:val="center"/>
              <w:rPr>
                <w:sz w:val="24"/>
                <w:szCs w:val="32"/>
              </w:rPr>
            </w:pPr>
            <w:r w:rsidRPr="008D7553">
              <w:rPr>
                <w:sz w:val="24"/>
                <w:szCs w:val="32"/>
              </w:rPr>
              <w:t>HJ/T 166</w:t>
            </w:r>
          </w:p>
        </w:tc>
        <w:tc>
          <w:tcPr>
            <w:tcW w:w="3058" w:type="dxa"/>
            <w:vAlign w:val="center"/>
          </w:tcPr>
          <w:p w:rsidR="00C15734" w:rsidRPr="008D7553" w:rsidRDefault="00C15734" w:rsidP="00C15734">
            <w:pPr>
              <w:rPr>
                <w:sz w:val="24"/>
                <w:szCs w:val="32"/>
              </w:rPr>
            </w:pPr>
            <w:r w:rsidRPr="008D7553">
              <w:rPr>
                <w:sz w:val="24"/>
                <w:szCs w:val="32"/>
              </w:rPr>
              <w:t>土壤环境监测技术规范</w:t>
            </w:r>
          </w:p>
        </w:tc>
        <w:tc>
          <w:tcPr>
            <w:tcW w:w="4048" w:type="dxa"/>
          </w:tcPr>
          <w:p w:rsidR="00C15734" w:rsidRPr="008D7553" w:rsidRDefault="00C15734" w:rsidP="00C15734">
            <w:pPr>
              <w:rPr>
                <w:sz w:val="24"/>
                <w:szCs w:val="32"/>
              </w:rPr>
            </w:pPr>
            <w:r w:rsidRPr="008D7553">
              <w:rPr>
                <w:sz w:val="24"/>
                <w:szCs w:val="32"/>
              </w:rPr>
              <w:t>引用文件中关于土壤环境质量调查、采样、样点布设等相关内容。</w:t>
            </w:r>
          </w:p>
        </w:tc>
      </w:tr>
    </w:tbl>
    <w:p w:rsidR="00670E67" w:rsidRPr="008D7553" w:rsidRDefault="00670E67" w:rsidP="0066721D">
      <w:pPr>
        <w:spacing w:line="360" w:lineRule="auto"/>
        <w:rPr>
          <w:sz w:val="24"/>
          <w:szCs w:val="32"/>
        </w:rPr>
      </w:pPr>
    </w:p>
    <w:p w:rsidR="00366258"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6" w:name="_Toc119660580"/>
      <w:r w:rsidRPr="002D35B8">
        <w:rPr>
          <w:rFonts w:hint="eastAsia"/>
          <w:b/>
          <w:bCs/>
          <w:kern w:val="2"/>
          <w:sz w:val="28"/>
          <w:szCs w:val="28"/>
        </w:rPr>
        <w:t>（四）</w:t>
      </w:r>
      <w:r w:rsidR="00366258" w:rsidRPr="002D35B8">
        <w:rPr>
          <w:rFonts w:hint="eastAsia"/>
          <w:b/>
          <w:bCs/>
          <w:kern w:val="2"/>
          <w:sz w:val="28"/>
          <w:szCs w:val="28"/>
        </w:rPr>
        <w:t>术语和定义</w:t>
      </w:r>
      <w:bookmarkEnd w:id="26"/>
    </w:p>
    <w:p w:rsidR="00366258" w:rsidRPr="00721B78" w:rsidRDefault="00366258" w:rsidP="0016449D">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8D7553">
        <w:rPr>
          <w:rFonts w:ascii="Times New Roman" w:hAnsi="Times New Roman"/>
          <w:sz w:val="28"/>
          <w:szCs w:val="28"/>
        </w:rPr>
        <w:tab/>
      </w:r>
      <w:r w:rsidR="00D20254" w:rsidRPr="00721B78">
        <w:rPr>
          <w:rFonts w:ascii="Times New Roman" w:eastAsiaTheme="minorEastAsia" w:hAnsi="Times New Roman"/>
          <w:kern w:val="2"/>
          <w:sz w:val="28"/>
          <w:szCs w:val="28"/>
        </w:rPr>
        <w:t>本文件中规定了</w:t>
      </w:r>
      <w:r w:rsidR="00C52201" w:rsidRPr="00721B78">
        <w:rPr>
          <w:rFonts w:ascii="Times New Roman" w:eastAsiaTheme="minorEastAsia" w:hAnsi="Times New Roman"/>
          <w:kern w:val="2"/>
          <w:sz w:val="28"/>
          <w:szCs w:val="28"/>
        </w:rPr>
        <w:t>7</w:t>
      </w:r>
      <w:r w:rsidR="00D20254" w:rsidRPr="00721B78">
        <w:rPr>
          <w:rFonts w:ascii="Times New Roman" w:eastAsiaTheme="minorEastAsia" w:hAnsi="Times New Roman"/>
          <w:kern w:val="2"/>
          <w:sz w:val="28"/>
          <w:szCs w:val="28"/>
        </w:rPr>
        <w:t>个术语和定义。</w:t>
      </w:r>
    </w:p>
    <w:p w:rsidR="00EB7B24" w:rsidRPr="00721B78" w:rsidRDefault="00D2025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1</w:t>
      </w:r>
      <w:r w:rsidR="003127AA">
        <w:rPr>
          <w:rFonts w:ascii="Times New Roman" w:eastAsiaTheme="minorEastAsia" w:hAnsi="Times New Roman" w:hint="eastAsia"/>
          <w:kern w:val="2"/>
          <w:sz w:val="28"/>
          <w:szCs w:val="28"/>
        </w:rPr>
        <w:t>.</w:t>
      </w:r>
      <w:r w:rsidR="00EB7B24" w:rsidRPr="00721B78">
        <w:rPr>
          <w:rFonts w:ascii="Times New Roman" w:eastAsiaTheme="minorEastAsia" w:hAnsi="Times New Roman"/>
          <w:kern w:val="2"/>
          <w:sz w:val="28"/>
          <w:szCs w:val="28"/>
        </w:rPr>
        <w:t>村镇社区污染</w:t>
      </w:r>
    </w:p>
    <w:p w:rsidR="00D20254" w:rsidRPr="00721B78" w:rsidRDefault="00C02EB9"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09645B" w:rsidRPr="00721B78">
        <w:rPr>
          <w:rFonts w:ascii="Times New Roman" w:eastAsiaTheme="minorEastAsia" w:hAnsi="Times New Roman"/>
          <w:kern w:val="2"/>
          <w:sz w:val="28"/>
          <w:szCs w:val="28"/>
        </w:rPr>
        <w:t>《污染场地术语》中对于污染场地的定义，其中认为因堆积、储存、处理、处置或其他方式承载了有害物质的，对人体健康和环境产生危害或具有潜在风险的空间区域。基于对区域污染状况和最终风险目标的考虑，本文件将</w:t>
      </w:r>
      <w:r w:rsidR="00EB7B24" w:rsidRPr="00721B78">
        <w:rPr>
          <w:rFonts w:ascii="Times New Roman" w:eastAsiaTheme="minorEastAsia" w:hAnsi="Times New Roman"/>
          <w:kern w:val="2"/>
          <w:sz w:val="28"/>
          <w:szCs w:val="28"/>
        </w:rPr>
        <w:t>村镇社区污染</w:t>
      </w:r>
      <w:r w:rsidR="0009645B" w:rsidRPr="00721B78">
        <w:rPr>
          <w:rFonts w:ascii="Times New Roman" w:eastAsiaTheme="minorEastAsia" w:hAnsi="Times New Roman"/>
          <w:kern w:val="2"/>
          <w:sz w:val="28"/>
          <w:szCs w:val="28"/>
        </w:rPr>
        <w:t>定义为</w:t>
      </w:r>
      <w:r w:rsidR="00EB7B24" w:rsidRPr="00721B78">
        <w:rPr>
          <w:rFonts w:ascii="Times New Roman" w:eastAsiaTheme="minorEastAsia" w:hAnsi="Times New Roman"/>
          <w:kern w:val="2"/>
          <w:sz w:val="28"/>
          <w:szCs w:val="28"/>
        </w:rPr>
        <w:t>村镇社区环境的土壤、</w:t>
      </w:r>
      <w:r w:rsidR="00EB7B24" w:rsidRPr="00721B78">
        <w:rPr>
          <w:rFonts w:ascii="Times New Roman" w:eastAsiaTheme="minorEastAsia" w:hAnsi="Times New Roman"/>
          <w:kern w:val="2"/>
          <w:sz w:val="28"/>
          <w:szCs w:val="28"/>
        </w:rPr>
        <w:lastRenderedPageBreak/>
        <w:t>水体、空气等环境介质受到各种活动排放的化学性污染物影响，产生有害于人类及其他生物的正常生存和发展的现象。</w:t>
      </w:r>
    </w:p>
    <w:p w:rsidR="003D42DE"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2</w:t>
      </w:r>
      <w:r>
        <w:rPr>
          <w:rFonts w:ascii="Times New Roman" w:eastAsiaTheme="minorEastAsia" w:hAnsi="Times New Roman"/>
          <w:kern w:val="2"/>
          <w:sz w:val="28"/>
          <w:szCs w:val="28"/>
        </w:rPr>
        <w:t>.</w:t>
      </w:r>
      <w:r w:rsidR="003D42DE" w:rsidRPr="00721B78">
        <w:rPr>
          <w:rFonts w:ascii="Times New Roman" w:eastAsiaTheme="minorEastAsia" w:hAnsi="Times New Roman"/>
          <w:kern w:val="2"/>
          <w:sz w:val="28"/>
          <w:szCs w:val="28"/>
        </w:rPr>
        <w:t>自用农产品</w:t>
      </w:r>
    </w:p>
    <w:p w:rsidR="00900AA8" w:rsidRPr="00721B78" w:rsidRDefault="001049E9"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不同地区</w:t>
      </w:r>
      <w:r w:rsidR="008078AF" w:rsidRPr="00721B78">
        <w:rPr>
          <w:rFonts w:ascii="Times New Roman" w:eastAsiaTheme="minorEastAsia" w:hAnsi="Times New Roman"/>
          <w:kern w:val="2"/>
          <w:sz w:val="28"/>
          <w:szCs w:val="28"/>
        </w:rPr>
        <w:t>不同类型村镇的主要食物来源有显著区别，但同时村镇地区在居住地周边以小块田地种植农作物、养殖畜禽动物或以小水塘的方式养殖水产品的现象十分普遍。虽然农产品的商品化流通是的村镇居民的膳食结构日益丰富，但在部分地区的自有田地生产的农产品占据膳食摄入的比例仍然较高。同时，该类农产品与商品类农产品相比，其质量和使用安全性无法得到保障。因此，在本文件中特别强调并规定了对自用农产品的风险评估，将其定义为村镇社区范围内土壤和水体环境中生产且主要用于居民自己食用的农产品，包括作物、水产品、畜禽养殖产品等。</w:t>
      </w:r>
    </w:p>
    <w:p w:rsidR="008078AF"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3</w:t>
      </w:r>
      <w:r>
        <w:rPr>
          <w:rFonts w:ascii="Times New Roman" w:eastAsiaTheme="minorEastAsia" w:hAnsi="Times New Roman"/>
          <w:kern w:val="2"/>
          <w:sz w:val="28"/>
          <w:szCs w:val="28"/>
        </w:rPr>
        <w:t>.</w:t>
      </w:r>
      <w:r w:rsidR="008078AF" w:rsidRPr="00721B78">
        <w:rPr>
          <w:rFonts w:ascii="Times New Roman" w:eastAsiaTheme="minorEastAsia" w:hAnsi="Times New Roman"/>
          <w:kern w:val="2"/>
          <w:sz w:val="28"/>
          <w:szCs w:val="28"/>
        </w:rPr>
        <w:t>关注污染物</w:t>
      </w:r>
    </w:p>
    <w:p w:rsidR="003D42DE" w:rsidRPr="00721B78" w:rsidRDefault="008078AF"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文件参考了《建设用地土壤污染风险评估技术导则》中关于关注污染物的定义</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根据地块污染特征、相关标准规范要求和地块利益相关方意见，确定需要进行土壤污染状况调查和土壤污染风险评估的污染物</w:t>
      </w:r>
      <w:r w:rsidRPr="00721B78">
        <w:rPr>
          <w:rFonts w:ascii="Times New Roman" w:eastAsiaTheme="minorEastAsia" w:hAnsi="Times New Roman"/>
          <w:kern w:val="2"/>
          <w:sz w:val="28"/>
          <w:szCs w:val="28"/>
        </w:rPr>
        <w:t>”</w:t>
      </w:r>
      <w:r w:rsidR="0041713B" w:rsidRPr="00721B78">
        <w:rPr>
          <w:rFonts w:ascii="Times New Roman" w:eastAsiaTheme="minorEastAsia" w:hAnsi="Times New Roman"/>
          <w:kern w:val="2"/>
          <w:sz w:val="28"/>
          <w:szCs w:val="28"/>
        </w:rPr>
        <w:t>。以村镇社区特定条件和利益相关方改写了该定义，将其定义为</w:t>
      </w:r>
      <w:r w:rsidR="0041713B" w:rsidRPr="00721B78">
        <w:rPr>
          <w:rFonts w:ascii="Times New Roman" w:eastAsiaTheme="minorEastAsia" w:hAnsi="Times New Roman"/>
          <w:kern w:val="2"/>
          <w:sz w:val="28"/>
          <w:szCs w:val="28"/>
        </w:rPr>
        <w:t>“</w:t>
      </w:r>
      <w:r w:rsidR="0041713B" w:rsidRPr="00721B78">
        <w:rPr>
          <w:rFonts w:ascii="Times New Roman" w:eastAsiaTheme="minorEastAsia" w:hAnsi="Times New Roman"/>
          <w:kern w:val="2"/>
          <w:sz w:val="28"/>
          <w:szCs w:val="28"/>
        </w:rPr>
        <w:t>根据村镇社区周边环境污染特征、相关标准规范要求和利益相关方意见，确定需要进行污染状况调查和污染风险评估的污染物</w:t>
      </w:r>
      <w:r w:rsidR="0041713B" w:rsidRPr="00721B78">
        <w:rPr>
          <w:rFonts w:ascii="Times New Roman" w:eastAsiaTheme="minorEastAsia" w:hAnsi="Times New Roman"/>
          <w:kern w:val="2"/>
          <w:sz w:val="28"/>
          <w:szCs w:val="28"/>
        </w:rPr>
        <w:t>”</w:t>
      </w:r>
      <w:r w:rsidR="0041713B" w:rsidRPr="00721B78">
        <w:rPr>
          <w:rFonts w:ascii="Times New Roman" w:eastAsiaTheme="minorEastAsia" w:hAnsi="Times New Roman"/>
          <w:kern w:val="2"/>
          <w:sz w:val="28"/>
          <w:szCs w:val="28"/>
        </w:rPr>
        <w:t>。</w:t>
      </w:r>
    </w:p>
    <w:p w:rsidR="003D42DE"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kern w:val="2"/>
          <w:sz w:val="28"/>
          <w:szCs w:val="28"/>
        </w:rPr>
        <w:t>4.</w:t>
      </w:r>
      <w:r w:rsidR="00093278" w:rsidRPr="00721B78">
        <w:rPr>
          <w:rFonts w:ascii="Times New Roman" w:eastAsiaTheme="minorEastAsia" w:hAnsi="Times New Roman"/>
          <w:kern w:val="2"/>
          <w:sz w:val="28"/>
          <w:szCs w:val="28"/>
        </w:rPr>
        <w:t>暴露途径</w:t>
      </w:r>
    </w:p>
    <w:p w:rsidR="00E17964" w:rsidRPr="00721B78" w:rsidRDefault="00E1796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基于《暴露参数调查技术规范》《暴露参数调查基本数据集》《环境健康风险评估指南总纲》中关于暴露评估的描述，为区别村镇社区</w:t>
      </w:r>
      <w:r w:rsidRPr="00721B78">
        <w:rPr>
          <w:rFonts w:ascii="Times New Roman" w:eastAsiaTheme="minorEastAsia" w:hAnsi="Times New Roman"/>
          <w:kern w:val="2"/>
          <w:sz w:val="28"/>
          <w:szCs w:val="28"/>
        </w:rPr>
        <w:lastRenderedPageBreak/>
        <w:t>生活和生产空间相互交融而产生的不同暴露途径，形成了对暴露途径的定义，其主要考虑了从环境介质直接暴露，以及通过食物链作用的膳食暴露两方面的过程。</w:t>
      </w:r>
    </w:p>
    <w:p w:rsidR="00E17964"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kern w:val="2"/>
          <w:sz w:val="28"/>
          <w:szCs w:val="28"/>
        </w:rPr>
        <w:t>5.</w:t>
      </w:r>
      <w:r w:rsidR="00E17964" w:rsidRPr="00721B78">
        <w:rPr>
          <w:rFonts w:ascii="Times New Roman" w:eastAsiaTheme="minorEastAsia" w:hAnsi="Times New Roman"/>
          <w:kern w:val="2"/>
          <w:sz w:val="28"/>
          <w:szCs w:val="28"/>
        </w:rPr>
        <w:t>直接暴露</w:t>
      </w:r>
    </w:p>
    <w:p w:rsidR="00093278" w:rsidRPr="00721B78" w:rsidRDefault="00E1796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《建设用地土壤污染风险评估技术导则》中</w:t>
      </w:r>
      <w:r w:rsidR="0026147E" w:rsidRPr="00721B78">
        <w:rPr>
          <w:rFonts w:ascii="Times New Roman" w:eastAsiaTheme="minorEastAsia" w:hAnsi="Times New Roman"/>
          <w:kern w:val="2"/>
          <w:sz w:val="28"/>
          <w:szCs w:val="28"/>
        </w:rPr>
        <w:t>主要考察了人群暴露于环境介质中污染物而受到危害的风险，</w:t>
      </w:r>
      <w:r w:rsidR="00367E2C" w:rsidRPr="00721B78">
        <w:rPr>
          <w:rFonts w:ascii="Times New Roman" w:eastAsiaTheme="minorEastAsia" w:hAnsi="Times New Roman"/>
          <w:kern w:val="2"/>
          <w:sz w:val="28"/>
          <w:szCs w:val="28"/>
        </w:rPr>
        <w:t>为区别通过膳食等其他间接接触方式暴露于污染物的情况，将由于农事活动和日常生活行为，村镇居民接触本地土壤、水体、空气等环境介质中的污染物，经皮肤、经口摄入和经呼吸摄入产生的暴露，定义为直接暴露。其主要描述村镇居民通过与环境介质的接触而产生的对污染物的暴露。</w:t>
      </w:r>
    </w:p>
    <w:p w:rsidR="00367E2C"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6</w:t>
      </w:r>
      <w:r>
        <w:rPr>
          <w:rFonts w:ascii="Times New Roman" w:eastAsiaTheme="minorEastAsia" w:hAnsi="Times New Roman"/>
          <w:kern w:val="2"/>
          <w:sz w:val="28"/>
          <w:szCs w:val="28"/>
        </w:rPr>
        <w:t>.</w:t>
      </w:r>
      <w:r w:rsidR="00367E2C" w:rsidRPr="00721B78">
        <w:rPr>
          <w:rFonts w:ascii="Times New Roman" w:eastAsiaTheme="minorEastAsia" w:hAnsi="Times New Roman"/>
          <w:kern w:val="2"/>
          <w:sz w:val="28"/>
          <w:szCs w:val="28"/>
        </w:rPr>
        <w:t>间接暴露</w:t>
      </w:r>
    </w:p>
    <w:p w:rsidR="00760B7A" w:rsidRPr="00721B78" w:rsidRDefault="006E66AF"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虽然《环境健康风险评估指南总纲》中指出了对各种暴露途径的考量，但是现有的技术导则文本针对环境介质和膳食暴露归属于不同部门，但村镇地区的环境既是居民的居住空间，同样也是居民的生产空间，其包含了建设用地和农用地的双重属性。同时，基于项目调查研究发现，通过摄入自用农产品所产生的污染物暴露量在实际村镇条件下污染物暴露总量中的占比不容忽视。因此，为区别与环境介质直接接触产生的</w:t>
      </w:r>
      <w:r w:rsidR="00E52EB5" w:rsidRPr="00721B78">
        <w:rPr>
          <w:rFonts w:ascii="Times New Roman" w:eastAsiaTheme="minorEastAsia" w:hAnsi="Times New Roman"/>
          <w:kern w:val="2"/>
          <w:sz w:val="28"/>
          <w:szCs w:val="28"/>
        </w:rPr>
        <w:t>污染暴露途径，本文件将通过食物链暴露的主要途径定义为间接暴露。</w:t>
      </w:r>
    </w:p>
    <w:p w:rsidR="00E52EB5"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7</w:t>
      </w:r>
      <w:r>
        <w:rPr>
          <w:rFonts w:ascii="Times New Roman" w:eastAsiaTheme="minorEastAsia" w:hAnsi="Times New Roman"/>
          <w:kern w:val="2"/>
          <w:sz w:val="28"/>
          <w:szCs w:val="28"/>
        </w:rPr>
        <w:t>.</w:t>
      </w:r>
      <w:r w:rsidR="00E52EB5" w:rsidRPr="00721B78">
        <w:rPr>
          <w:rFonts w:ascii="Times New Roman" w:eastAsiaTheme="minorEastAsia" w:hAnsi="Times New Roman"/>
          <w:kern w:val="2"/>
          <w:sz w:val="28"/>
          <w:szCs w:val="28"/>
        </w:rPr>
        <w:t>污染风险评估</w:t>
      </w:r>
    </w:p>
    <w:p w:rsidR="0006597F" w:rsidRPr="00721B78" w:rsidRDefault="0057709B"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也作“污染健康风险评估”，</w:t>
      </w:r>
      <w:r w:rsidR="002D1640">
        <w:rPr>
          <w:rFonts w:ascii="Times New Roman" w:eastAsiaTheme="minorEastAsia" w:hAnsi="Times New Roman" w:hint="eastAsia"/>
          <w:kern w:val="2"/>
          <w:sz w:val="28"/>
          <w:szCs w:val="28"/>
        </w:rPr>
        <w:t>本文件最终分析村镇社区污染对社区居民健康的风险，</w:t>
      </w:r>
      <w:r w:rsidR="000068CD" w:rsidRPr="00721B78">
        <w:rPr>
          <w:rFonts w:ascii="Times New Roman" w:eastAsiaTheme="minorEastAsia" w:hAnsi="Times New Roman"/>
          <w:kern w:val="2"/>
          <w:sz w:val="28"/>
          <w:szCs w:val="28"/>
        </w:rPr>
        <w:t>参考《建设用地土壤污染风险评估技术导则》中</w:t>
      </w:r>
      <w:r w:rsidR="000068CD" w:rsidRPr="00721B78">
        <w:rPr>
          <w:rFonts w:ascii="Times New Roman" w:eastAsiaTheme="minorEastAsia" w:hAnsi="Times New Roman"/>
          <w:kern w:val="2"/>
          <w:sz w:val="28"/>
          <w:szCs w:val="28"/>
        </w:rPr>
        <w:lastRenderedPageBreak/>
        <w:t>对建设用地健康风险评估的定义</w:t>
      </w:r>
      <w:r w:rsidR="000068CD" w:rsidRPr="00721B78">
        <w:rPr>
          <w:rFonts w:ascii="Times New Roman" w:eastAsiaTheme="minorEastAsia" w:hAnsi="Times New Roman"/>
          <w:kern w:val="2"/>
          <w:sz w:val="28"/>
          <w:szCs w:val="28"/>
        </w:rPr>
        <w:t>“</w:t>
      </w:r>
      <w:r w:rsidR="000068CD" w:rsidRPr="00721B78">
        <w:rPr>
          <w:rFonts w:ascii="Times New Roman" w:eastAsiaTheme="minorEastAsia" w:hAnsi="Times New Roman"/>
          <w:kern w:val="2"/>
          <w:sz w:val="28"/>
          <w:szCs w:val="28"/>
        </w:rPr>
        <w:t>在土壤污染状况调查的基础上，分析地块土壤和地下水中污染物对人群的主要暴露途径，评估污染物对人体健康的致癌风险或危害水平</w:t>
      </w:r>
      <w:r w:rsidR="000068CD" w:rsidRPr="00721B78">
        <w:rPr>
          <w:rFonts w:ascii="Times New Roman" w:eastAsiaTheme="minorEastAsia" w:hAnsi="Times New Roman"/>
          <w:kern w:val="2"/>
          <w:sz w:val="28"/>
          <w:szCs w:val="28"/>
        </w:rPr>
        <w:t>”</w:t>
      </w:r>
      <w:r w:rsidR="000068CD" w:rsidRPr="00721B78">
        <w:rPr>
          <w:rFonts w:ascii="Times New Roman" w:eastAsiaTheme="minorEastAsia" w:hAnsi="Times New Roman"/>
          <w:kern w:val="2"/>
          <w:sz w:val="28"/>
          <w:szCs w:val="28"/>
        </w:rPr>
        <w:t>，对污染风险评估进行了定义。该定义主要考虑了针对村镇社区环境的特殊性，在《建设用地土壤污染风险评估技术导则》定义的主要暴露途径和调查对象上进行了针对性改写和补充。</w:t>
      </w:r>
    </w:p>
    <w:p w:rsidR="00706641" w:rsidRPr="00721B78" w:rsidRDefault="0070664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以上术语定义在借鉴相关文献资料的基础上，经标准编制组</w:t>
      </w:r>
      <w:r w:rsidR="00912F64" w:rsidRPr="00721B78">
        <w:rPr>
          <w:rFonts w:ascii="Times New Roman" w:eastAsiaTheme="minorEastAsia" w:hAnsi="Times New Roman"/>
          <w:kern w:val="2"/>
          <w:sz w:val="28"/>
          <w:szCs w:val="28"/>
        </w:rPr>
        <w:t>会同</w:t>
      </w:r>
      <w:r w:rsidRPr="00721B78">
        <w:rPr>
          <w:rFonts w:ascii="Times New Roman" w:eastAsiaTheme="minorEastAsia" w:hAnsi="Times New Roman"/>
          <w:kern w:val="2"/>
          <w:sz w:val="28"/>
          <w:szCs w:val="28"/>
        </w:rPr>
        <w:t>相关专业人员编写而成。</w:t>
      </w:r>
    </w:p>
    <w:p w:rsidR="0006597F"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7" w:name="_Toc119660581"/>
      <w:r w:rsidRPr="002D35B8">
        <w:rPr>
          <w:rFonts w:hint="eastAsia"/>
          <w:b/>
          <w:bCs/>
          <w:kern w:val="2"/>
          <w:sz w:val="28"/>
          <w:szCs w:val="28"/>
        </w:rPr>
        <w:t>（五）</w:t>
      </w:r>
      <w:r w:rsidR="00850C24" w:rsidRPr="002D35B8">
        <w:rPr>
          <w:rFonts w:hint="eastAsia"/>
          <w:b/>
          <w:bCs/>
          <w:kern w:val="2"/>
          <w:sz w:val="28"/>
          <w:szCs w:val="28"/>
        </w:rPr>
        <w:t>评估原则</w:t>
      </w:r>
      <w:bookmarkEnd w:id="27"/>
    </w:p>
    <w:p w:rsidR="00850C24" w:rsidRPr="002D35B8" w:rsidRDefault="003127AA" w:rsidP="00CA1BE4">
      <w:pPr>
        <w:pStyle w:val="ac"/>
        <w:spacing w:before="0" w:beforeAutospacing="0" w:after="0" w:afterAutospacing="0" w:line="360" w:lineRule="auto"/>
        <w:ind w:firstLineChars="200" w:firstLine="562"/>
        <w:jc w:val="both"/>
        <w:rPr>
          <w:b/>
          <w:bCs/>
          <w:kern w:val="2"/>
          <w:sz w:val="28"/>
          <w:szCs w:val="28"/>
        </w:rPr>
      </w:pPr>
      <w:r>
        <w:rPr>
          <w:rFonts w:hint="eastAsia"/>
          <w:b/>
          <w:bCs/>
          <w:kern w:val="2"/>
          <w:sz w:val="28"/>
          <w:szCs w:val="28"/>
        </w:rPr>
        <w:t>1</w:t>
      </w:r>
      <w:r>
        <w:rPr>
          <w:b/>
          <w:bCs/>
          <w:kern w:val="2"/>
          <w:sz w:val="28"/>
          <w:szCs w:val="28"/>
        </w:rPr>
        <w:t>.</w:t>
      </w:r>
      <w:r w:rsidR="00850C24" w:rsidRPr="002D35B8">
        <w:rPr>
          <w:rFonts w:hint="eastAsia"/>
          <w:b/>
          <w:bCs/>
          <w:kern w:val="2"/>
          <w:sz w:val="28"/>
          <w:szCs w:val="28"/>
        </w:rPr>
        <w:t>科学性原则</w:t>
      </w:r>
    </w:p>
    <w:p w:rsidR="00850C24" w:rsidRPr="00721B78" w:rsidRDefault="0063620E"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中对风险评估的科学性原则的规定，本文件同样要求村镇社区评估应当基于现有最新研究结果，合理使用科学的评估技术。应当</w:t>
      </w:r>
      <w:r w:rsidR="00850C24" w:rsidRPr="00721B78">
        <w:rPr>
          <w:rFonts w:ascii="Times New Roman" w:eastAsiaTheme="minorEastAsia" w:hAnsi="Times New Roman"/>
          <w:kern w:val="2"/>
          <w:sz w:val="28"/>
          <w:szCs w:val="28"/>
        </w:rPr>
        <w:t>充分收集已有数据和信息，基于最新科学证据，根据村镇社区环境管理关于公众健康保护的需求和目标，科学合理的确定调查和评估方案，确保村镇社区环境污染状况调查和风险评估过程和评估结果的系统性、完整性和客观性。</w:t>
      </w:r>
    </w:p>
    <w:p w:rsidR="00850C24" w:rsidRPr="002D35B8" w:rsidRDefault="003127AA" w:rsidP="00CA1BE4">
      <w:pPr>
        <w:pStyle w:val="ac"/>
        <w:spacing w:before="0" w:beforeAutospacing="0" w:after="0" w:afterAutospacing="0" w:line="360" w:lineRule="auto"/>
        <w:ind w:firstLineChars="200" w:firstLine="562"/>
        <w:jc w:val="both"/>
        <w:rPr>
          <w:b/>
          <w:bCs/>
          <w:kern w:val="2"/>
          <w:sz w:val="28"/>
          <w:szCs w:val="28"/>
        </w:rPr>
      </w:pPr>
      <w:r>
        <w:rPr>
          <w:rFonts w:hint="eastAsia"/>
          <w:b/>
          <w:bCs/>
          <w:kern w:val="2"/>
          <w:sz w:val="28"/>
          <w:szCs w:val="28"/>
        </w:rPr>
        <w:t>2</w:t>
      </w:r>
      <w:r>
        <w:rPr>
          <w:b/>
          <w:bCs/>
          <w:kern w:val="2"/>
          <w:sz w:val="28"/>
          <w:szCs w:val="28"/>
        </w:rPr>
        <w:t>.</w:t>
      </w:r>
      <w:r w:rsidR="00850C24" w:rsidRPr="002D35B8">
        <w:rPr>
          <w:rFonts w:hint="eastAsia"/>
          <w:b/>
          <w:bCs/>
          <w:kern w:val="2"/>
          <w:sz w:val="28"/>
          <w:szCs w:val="28"/>
        </w:rPr>
        <w:t>针对性原则</w:t>
      </w:r>
    </w:p>
    <w:p w:rsidR="00850C24" w:rsidRPr="00721B78" w:rsidRDefault="0063620E"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在调查过程中发现，不同地区不同类型的村镇间存在较大差异，其环境管理目标不同、对象不同、政策方法不同，因此</w:t>
      </w:r>
      <w:r w:rsidR="008B658F" w:rsidRPr="00721B78">
        <w:rPr>
          <w:rFonts w:ascii="Times New Roman" w:eastAsiaTheme="minorEastAsia" w:hAnsi="Times New Roman"/>
          <w:kern w:val="2"/>
          <w:sz w:val="28"/>
          <w:szCs w:val="28"/>
        </w:rPr>
        <w:t>为保证技术规范的普适性和针对性，本文件特别强调了评估的针对性原则，要求开展村镇污染风险评估应当一村一方案</w:t>
      </w:r>
      <w:r w:rsidR="003F1127" w:rsidRPr="00721B78">
        <w:rPr>
          <w:rFonts w:ascii="Times New Roman" w:eastAsiaTheme="minorEastAsia" w:hAnsi="Times New Roman"/>
          <w:kern w:val="2"/>
          <w:sz w:val="28"/>
          <w:szCs w:val="28"/>
        </w:rPr>
        <w:t>，应当</w:t>
      </w:r>
      <w:r w:rsidR="00850C24" w:rsidRPr="00721B78">
        <w:rPr>
          <w:rFonts w:ascii="Times New Roman" w:eastAsiaTheme="minorEastAsia" w:hAnsi="Times New Roman"/>
          <w:kern w:val="2"/>
          <w:sz w:val="28"/>
          <w:szCs w:val="28"/>
        </w:rPr>
        <w:t>针对村镇社区水土关系、污染因子、膳食组成等环境和文化因素，充分考虑不同地区村镇环境</w:t>
      </w:r>
      <w:r w:rsidR="00850C24" w:rsidRPr="00721B78">
        <w:rPr>
          <w:rFonts w:ascii="Times New Roman" w:eastAsiaTheme="minorEastAsia" w:hAnsi="Times New Roman"/>
          <w:kern w:val="2"/>
          <w:sz w:val="28"/>
          <w:szCs w:val="28"/>
        </w:rPr>
        <w:lastRenderedPageBreak/>
        <w:t>和社会特征的差异性，最终评估结果为后期环境监管提供针对性的指导建议。</w:t>
      </w:r>
    </w:p>
    <w:p w:rsidR="00850C24" w:rsidRPr="002D35B8" w:rsidRDefault="003127AA" w:rsidP="00CA1BE4">
      <w:pPr>
        <w:pStyle w:val="ac"/>
        <w:spacing w:before="0" w:beforeAutospacing="0" w:after="0" w:afterAutospacing="0" w:line="360" w:lineRule="auto"/>
        <w:ind w:firstLineChars="200" w:firstLine="562"/>
        <w:jc w:val="both"/>
        <w:rPr>
          <w:b/>
          <w:bCs/>
          <w:kern w:val="2"/>
          <w:sz w:val="28"/>
          <w:szCs w:val="28"/>
        </w:rPr>
      </w:pPr>
      <w:r w:rsidRPr="002D35B8">
        <w:rPr>
          <w:b/>
          <w:bCs/>
          <w:kern w:val="2"/>
          <w:sz w:val="28"/>
          <w:szCs w:val="28"/>
        </w:rPr>
        <w:t>3.</w:t>
      </w:r>
      <w:r w:rsidR="00593306" w:rsidRPr="002D35B8">
        <w:rPr>
          <w:rFonts w:hint="eastAsia"/>
          <w:b/>
          <w:bCs/>
          <w:kern w:val="2"/>
          <w:sz w:val="28"/>
          <w:szCs w:val="28"/>
        </w:rPr>
        <w:t>保守</w:t>
      </w:r>
      <w:r w:rsidR="00850C24" w:rsidRPr="002D35B8">
        <w:rPr>
          <w:rFonts w:hint="eastAsia"/>
          <w:b/>
          <w:bCs/>
          <w:kern w:val="2"/>
          <w:sz w:val="28"/>
          <w:szCs w:val="28"/>
        </w:rPr>
        <w:t>性原则</w:t>
      </w:r>
    </w:p>
    <w:p w:rsidR="00850C24" w:rsidRPr="00721B78" w:rsidRDefault="00420F4F"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中的保守性原则，同样要求在村镇污染风险评估中应当考虑最不利的情景下的风险，以及</w:t>
      </w:r>
      <w:r w:rsidR="00850C24" w:rsidRPr="00721B78">
        <w:rPr>
          <w:rFonts w:ascii="Times New Roman" w:eastAsiaTheme="minorEastAsia" w:hAnsi="Times New Roman"/>
          <w:kern w:val="2"/>
          <w:sz w:val="28"/>
          <w:szCs w:val="28"/>
        </w:rPr>
        <w:t>敏感人群或高暴露人群暴露于环境中污染因素的健康风险。</w:t>
      </w:r>
    </w:p>
    <w:p w:rsidR="00850C24" w:rsidRPr="002D35B8" w:rsidRDefault="003127AA" w:rsidP="00CA1BE4">
      <w:pPr>
        <w:pStyle w:val="ac"/>
        <w:spacing w:before="0" w:beforeAutospacing="0" w:after="0" w:afterAutospacing="0" w:line="360" w:lineRule="auto"/>
        <w:ind w:firstLineChars="200" w:firstLine="562"/>
        <w:jc w:val="both"/>
        <w:rPr>
          <w:b/>
          <w:bCs/>
          <w:kern w:val="2"/>
          <w:sz w:val="28"/>
          <w:szCs w:val="28"/>
        </w:rPr>
      </w:pPr>
      <w:r w:rsidRPr="002D35B8">
        <w:rPr>
          <w:b/>
          <w:bCs/>
          <w:kern w:val="2"/>
          <w:sz w:val="28"/>
          <w:szCs w:val="28"/>
        </w:rPr>
        <w:t>4.</w:t>
      </w:r>
      <w:r w:rsidR="00850C24" w:rsidRPr="002D35B8">
        <w:rPr>
          <w:rFonts w:hint="eastAsia"/>
          <w:b/>
          <w:bCs/>
          <w:kern w:val="2"/>
          <w:sz w:val="28"/>
          <w:szCs w:val="28"/>
        </w:rPr>
        <w:t>可溯性原则</w:t>
      </w:r>
    </w:p>
    <w:p w:rsidR="00A47E7A" w:rsidRPr="00721B78" w:rsidRDefault="00300732"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中的相关要求，</w:t>
      </w:r>
      <w:r w:rsidR="00850C24" w:rsidRPr="00721B78">
        <w:rPr>
          <w:rFonts w:ascii="Times New Roman" w:eastAsiaTheme="minorEastAsia" w:hAnsi="Times New Roman"/>
          <w:kern w:val="2"/>
          <w:sz w:val="28"/>
          <w:szCs w:val="28"/>
        </w:rPr>
        <w:t>对风险评估的整个过程应当进行完整的记录和保存。</w:t>
      </w:r>
      <w:r w:rsidRPr="00721B78">
        <w:rPr>
          <w:rFonts w:ascii="Times New Roman" w:eastAsiaTheme="minorEastAsia" w:hAnsi="Times New Roman"/>
          <w:kern w:val="2"/>
          <w:sz w:val="28"/>
          <w:szCs w:val="28"/>
        </w:rPr>
        <w:t>可溯性原则是确保评估工作有迹可循，相关部门可监管，村镇居民可参与的基本保障，同时也能为支撑村镇环境管理提供丰富的基本素材。</w:t>
      </w:r>
    </w:p>
    <w:p w:rsidR="00E907D5"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8" w:name="_Toc119660582"/>
      <w:r w:rsidRPr="002D35B8">
        <w:rPr>
          <w:rFonts w:hint="eastAsia"/>
          <w:b/>
          <w:bCs/>
          <w:kern w:val="2"/>
          <w:sz w:val="28"/>
          <w:szCs w:val="28"/>
        </w:rPr>
        <w:t>（六）</w:t>
      </w:r>
      <w:r w:rsidR="00E907D5" w:rsidRPr="002D35B8">
        <w:rPr>
          <w:rFonts w:hint="eastAsia"/>
          <w:b/>
          <w:bCs/>
          <w:kern w:val="2"/>
          <w:sz w:val="28"/>
          <w:szCs w:val="28"/>
        </w:rPr>
        <w:t>工作流程和内容</w:t>
      </w:r>
      <w:bookmarkEnd w:id="28"/>
    </w:p>
    <w:p w:rsidR="00F830AF" w:rsidRPr="00721B78" w:rsidRDefault="00E907D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标准主要参考美国科学院提出的传统的健康风险评估四步法，以及《环境健康风险评估技术指南总纲》中的技术流程，确定了村镇污染风险评估的程序。将村镇污染风险评估划分为数据收集与危害识别、毒性评估、暴露评估、风险表征四个相互联系的部分</w:t>
      </w:r>
      <w:r w:rsidR="009B38BF"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与国内外环境健康风险评估框架的进展</w:t>
      </w:r>
      <w:r w:rsidR="009B38BF" w:rsidRPr="00721B78">
        <w:rPr>
          <w:rFonts w:ascii="Times New Roman" w:eastAsiaTheme="minorEastAsia" w:hAnsi="Times New Roman"/>
          <w:kern w:val="2"/>
          <w:sz w:val="28"/>
          <w:szCs w:val="28"/>
        </w:rPr>
        <w:t>基本</w:t>
      </w:r>
      <w:r w:rsidRPr="00721B78">
        <w:rPr>
          <w:rFonts w:ascii="Times New Roman" w:eastAsiaTheme="minorEastAsia" w:hAnsi="Times New Roman"/>
          <w:kern w:val="2"/>
          <w:sz w:val="28"/>
          <w:szCs w:val="28"/>
        </w:rPr>
        <w:t>相一致。</w:t>
      </w:r>
      <w:r w:rsidR="009B38BF" w:rsidRPr="00721B78">
        <w:rPr>
          <w:rFonts w:ascii="Times New Roman" w:eastAsiaTheme="minorEastAsia" w:hAnsi="Times New Roman"/>
          <w:kern w:val="2"/>
          <w:sz w:val="28"/>
          <w:szCs w:val="28"/>
        </w:rPr>
        <w:t>第一部分改写了</w:t>
      </w:r>
      <w:r w:rsidR="002E7BC6" w:rsidRPr="00721B78">
        <w:rPr>
          <w:rFonts w:ascii="Times New Roman" w:eastAsiaTheme="minorEastAsia" w:hAnsi="Times New Roman"/>
          <w:kern w:val="2"/>
          <w:sz w:val="28"/>
          <w:szCs w:val="28"/>
        </w:rPr>
        <w:t>HJ 1111</w:t>
      </w:r>
      <w:r w:rsidR="009B38BF" w:rsidRPr="00721B78">
        <w:rPr>
          <w:rFonts w:ascii="Times New Roman" w:eastAsiaTheme="minorEastAsia" w:hAnsi="Times New Roman"/>
          <w:kern w:val="2"/>
          <w:sz w:val="28"/>
          <w:szCs w:val="28"/>
        </w:rPr>
        <w:t>中的</w:t>
      </w:r>
      <w:r w:rsidR="009B38BF" w:rsidRPr="00721B78">
        <w:rPr>
          <w:rFonts w:ascii="Times New Roman" w:eastAsiaTheme="minorEastAsia" w:hAnsi="Times New Roman"/>
          <w:kern w:val="2"/>
          <w:sz w:val="28"/>
          <w:szCs w:val="28"/>
        </w:rPr>
        <w:t>“</w:t>
      </w:r>
      <w:r w:rsidR="009B38BF" w:rsidRPr="00721B78">
        <w:rPr>
          <w:rFonts w:ascii="Times New Roman" w:eastAsiaTheme="minorEastAsia" w:hAnsi="Times New Roman"/>
          <w:kern w:val="2"/>
          <w:sz w:val="28"/>
          <w:szCs w:val="28"/>
        </w:rPr>
        <w:t>危害识别</w:t>
      </w:r>
      <w:r w:rsidR="009B38BF" w:rsidRPr="00721B78">
        <w:rPr>
          <w:rFonts w:ascii="Times New Roman" w:eastAsiaTheme="minorEastAsia" w:hAnsi="Times New Roman"/>
          <w:kern w:val="2"/>
          <w:sz w:val="28"/>
          <w:szCs w:val="28"/>
        </w:rPr>
        <w:t>”</w:t>
      </w:r>
      <w:r w:rsidR="009B38BF" w:rsidRPr="00721B78">
        <w:rPr>
          <w:rFonts w:ascii="Times New Roman" w:eastAsiaTheme="minorEastAsia" w:hAnsi="Times New Roman"/>
          <w:kern w:val="2"/>
          <w:sz w:val="28"/>
          <w:szCs w:val="28"/>
        </w:rPr>
        <w:t>的内容，将前期数据收集工作和危害识别结合在了一起</w:t>
      </w:r>
      <w:r w:rsidR="00992EE5" w:rsidRPr="00721B78">
        <w:rPr>
          <w:rFonts w:ascii="Times New Roman" w:eastAsiaTheme="minorEastAsia" w:hAnsi="Times New Roman"/>
          <w:kern w:val="2"/>
          <w:sz w:val="28"/>
          <w:szCs w:val="28"/>
        </w:rPr>
        <w:t>，强调了村镇环境管理基本资料和关注污染物理化性质和毒性效应基本资料的同步收集，同步分析，防止两部分信息收集工作的割裂，提高了对后续评估工作的支撑性。此外，参考了</w:t>
      </w:r>
      <w:r w:rsidR="002E7BC6" w:rsidRPr="00721B78">
        <w:rPr>
          <w:rFonts w:ascii="Times New Roman" w:eastAsiaTheme="minorEastAsia" w:hAnsi="Times New Roman"/>
          <w:kern w:val="2"/>
          <w:sz w:val="28"/>
          <w:szCs w:val="28"/>
        </w:rPr>
        <w:t>HJ 1111</w:t>
      </w:r>
      <w:r w:rsidR="00992EE5" w:rsidRPr="00721B78">
        <w:rPr>
          <w:rFonts w:ascii="Times New Roman" w:eastAsiaTheme="minorEastAsia" w:hAnsi="Times New Roman"/>
          <w:kern w:val="2"/>
          <w:sz w:val="28"/>
          <w:szCs w:val="28"/>
        </w:rPr>
        <w:t>中对</w:t>
      </w:r>
      <w:r w:rsidR="00992EE5" w:rsidRPr="00721B78">
        <w:rPr>
          <w:rFonts w:ascii="Times New Roman" w:eastAsiaTheme="minorEastAsia" w:hAnsi="Times New Roman"/>
          <w:kern w:val="2"/>
          <w:sz w:val="28"/>
          <w:szCs w:val="28"/>
        </w:rPr>
        <w:t>“</w:t>
      </w:r>
      <w:r w:rsidR="00992EE5" w:rsidRPr="00721B78">
        <w:rPr>
          <w:rFonts w:ascii="Times New Roman" w:eastAsiaTheme="minorEastAsia" w:hAnsi="Times New Roman"/>
          <w:kern w:val="2"/>
          <w:sz w:val="28"/>
          <w:szCs w:val="28"/>
        </w:rPr>
        <w:t>风险评估是实施环境健康风险管理的手段，开展评估的目的是解决环境管</w:t>
      </w:r>
      <w:r w:rsidR="00992EE5" w:rsidRPr="00721B78">
        <w:rPr>
          <w:rFonts w:ascii="Times New Roman" w:eastAsiaTheme="minorEastAsia" w:hAnsi="Times New Roman"/>
          <w:kern w:val="2"/>
          <w:sz w:val="28"/>
          <w:szCs w:val="28"/>
        </w:rPr>
        <w:lastRenderedPageBreak/>
        <w:t>理中的问题</w:t>
      </w:r>
      <w:r w:rsidR="00992EE5" w:rsidRPr="00721B78">
        <w:rPr>
          <w:rFonts w:ascii="Times New Roman" w:eastAsiaTheme="minorEastAsia" w:hAnsi="Times New Roman"/>
          <w:kern w:val="2"/>
          <w:sz w:val="28"/>
          <w:szCs w:val="28"/>
        </w:rPr>
        <w:t>”</w:t>
      </w:r>
      <w:r w:rsidR="00992EE5" w:rsidRPr="00721B78">
        <w:rPr>
          <w:rFonts w:ascii="Times New Roman" w:eastAsiaTheme="minorEastAsia" w:hAnsi="Times New Roman"/>
          <w:kern w:val="2"/>
          <w:sz w:val="28"/>
          <w:szCs w:val="28"/>
        </w:rPr>
        <w:t>的论述，</w:t>
      </w:r>
      <w:r w:rsidR="009B38BF" w:rsidRPr="00721B78">
        <w:rPr>
          <w:rFonts w:ascii="Times New Roman" w:eastAsiaTheme="minorEastAsia" w:hAnsi="Times New Roman"/>
          <w:kern w:val="2"/>
          <w:sz w:val="28"/>
          <w:szCs w:val="28"/>
        </w:rPr>
        <w:t>为了突出风险评估的目的性，本文件在</w:t>
      </w:r>
      <w:r w:rsidR="009B38BF" w:rsidRPr="00721B78">
        <w:rPr>
          <w:rFonts w:ascii="Times New Roman" w:eastAsiaTheme="minorEastAsia" w:hAnsi="Times New Roman"/>
          <w:kern w:val="2"/>
          <w:sz w:val="28"/>
          <w:szCs w:val="28"/>
        </w:rPr>
        <w:t>“</w:t>
      </w:r>
      <w:r w:rsidR="009B38BF" w:rsidRPr="00721B78">
        <w:rPr>
          <w:rFonts w:ascii="Times New Roman" w:eastAsiaTheme="minorEastAsia" w:hAnsi="Times New Roman"/>
          <w:kern w:val="2"/>
          <w:sz w:val="28"/>
          <w:szCs w:val="28"/>
        </w:rPr>
        <w:t>四步法</w:t>
      </w:r>
      <w:r w:rsidR="009B38BF" w:rsidRPr="00721B78">
        <w:rPr>
          <w:rFonts w:ascii="Times New Roman" w:eastAsiaTheme="minorEastAsia" w:hAnsi="Times New Roman"/>
          <w:kern w:val="2"/>
          <w:sz w:val="28"/>
          <w:szCs w:val="28"/>
        </w:rPr>
        <w:t>”</w:t>
      </w:r>
      <w:r w:rsidR="009B38BF" w:rsidRPr="00721B78">
        <w:rPr>
          <w:rFonts w:ascii="Times New Roman" w:eastAsiaTheme="minorEastAsia" w:hAnsi="Times New Roman"/>
          <w:kern w:val="2"/>
          <w:sz w:val="28"/>
          <w:szCs w:val="28"/>
        </w:rPr>
        <w:t>的基础上，增加了方案制定和报告编写两个部分。</w:t>
      </w:r>
    </w:p>
    <w:p w:rsidR="00F830AF"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29" w:name="_Toc119660583"/>
      <w:r w:rsidRPr="002D35B8">
        <w:rPr>
          <w:rFonts w:hint="eastAsia"/>
          <w:b/>
          <w:bCs/>
          <w:kern w:val="2"/>
          <w:sz w:val="28"/>
          <w:szCs w:val="28"/>
        </w:rPr>
        <w:t>（七）</w:t>
      </w:r>
      <w:r w:rsidR="00161CEE" w:rsidRPr="002D35B8">
        <w:rPr>
          <w:rFonts w:hint="eastAsia"/>
          <w:b/>
          <w:bCs/>
          <w:kern w:val="2"/>
          <w:sz w:val="28"/>
          <w:szCs w:val="28"/>
        </w:rPr>
        <w:t>评估</w:t>
      </w:r>
      <w:r w:rsidR="00F830AF" w:rsidRPr="002D35B8">
        <w:rPr>
          <w:rFonts w:hint="eastAsia"/>
          <w:b/>
          <w:bCs/>
          <w:kern w:val="2"/>
          <w:sz w:val="28"/>
          <w:szCs w:val="28"/>
        </w:rPr>
        <w:t>方案制定</w:t>
      </w:r>
      <w:bookmarkEnd w:id="29"/>
    </w:p>
    <w:p w:rsidR="008C18DD" w:rsidRPr="00721B78" w:rsidRDefault="00962CCE"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中的要求，</w:t>
      </w:r>
      <w:r w:rsidR="008C18DD" w:rsidRPr="00721B78">
        <w:rPr>
          <w:rFonts w:ascii="Times New Roman" w:eastAsiaTheme="minorEastAsia" w:hAnsi="Times New Roman"/>
          <w:kern w:val="2"/>
          <w:sz w:val="28"/>
          <w:szCs w:val="28"/>
        </w:rPr>
        <w:t>制定评估方案是开展</w:t>
      </w:r>
      <w:r w:rsidRPr="00721B78">
        <w:rPr>
          <w:rFonts w:ascii="Times New Roman" w:eastAsiaTheme="minorEastAsia" w:hAnsi="Times New Roman"/>
          <w:kern w:val="2"/>
          <w:sz w:val="28"/>
          <w:szCs w:val="28"/>
        </w:rPr>
        <w:t>村镇污染</w:t>
      </w:r>
      <w:r w:rsidR="008C18DD" w:rsidRPr="00721B78">
        <w:rPr>
          <w:rFonts w:ascii="Times New Roman" w:eastAsiaTheme="minorEastAsia" w:hAnsi="Times New Roman"/>
          <w:kern w:val="2"/>
          <w:sz w:val="28"/>
          <w:szCs w:val="28"/>
        </w:rPr>
        <w:t>风险评估的准备阶段，也是最为重要的阶段</w:t>
      </w:r>
      <w:r w:rsidR="00C0704C" w:rsidRPr="00721B78">
        <w:rPr>
          <w:rFonts w:ascii="Times New Roman" w:eastAsiaTheme="minorEastAsia" w:hAnsi="Times New Roman"/>
          <w:kern w:val="2"/>
          <w:sz w:val="28"/>
          <w:szCs w:val="28"/>
        </w:rPr>
        <w:t>之一，</w:t>
      </w:r>
      <w:r w:rsidR="008C18DD" w:rsidRPr="00721B78">
        <w:rPr>
          <w:rFonts w:ascii="Times New Roman" w:eastAsiaTheme="minorEastAsia" w:hAnsi="Times New Roman"/>
          <w:kern w:val="2"/>
          <w:sz w:val="28"/>
          <w:szCs w:val="28"/>
        </w:rPr>
        <w:t>方案制定的好坏直接决定了风险评估</w:t>
      </w:r>
      <w:r w:rsidR="00C0704C" w:rsidRPr="00721B78">
        <w:rPr>
          <w:rFonts w:ascii="Times New Roman" w:eastAsiaTheme="minorEastAsia" w:hAnsi="Times New Roman"/>
          <w:kern w:val="2"/>
          <w:sz w:val="28"/>
          <w:szCs w:val="28"/>
        </w:rPr>
        <w:t>的结果</w:t>
      </w:r>
      <w:r w:rsidR="00C953CA" w:rsidRPr="00721B78">
        <w:rPr>
          <w:rFonts w:ascii="Times New Roman" w:eastAsiaTheme="minorEastAsia" w:hAnsi="Times New Roman"/>
          <w:kern w:val="2"/>
          <w:sz w:val="28"/>
          <w:szCs w:val="28"/>
        </w:rPr>
        <w:t>，在方案中应当明确风险评估的目的、范围、类型、内容、方法和技术路线等内容</w:t>
      </w:r>
      <w:r w:rsidR="008C18DD" w:rsidRPr="00721B78">
        <w:rPr>
          <w:rFonts w:ascii="Times New Roman" w:eastAsiaTheme="minorEastAsia" w:hAnsi="Times New Roman"/>
          <w:kern w:val="2"/>
          <w:sz w:val="28"/>
          <w:szCs w:val="28"/>
        </w:rPr>
        <w:t>。通过制定评估方案，重点确定</w:t>
      </w:r>
      <w:r w:rsidR="00AF0F3D" w:rsidRPr="00721B78">
        <w:rPr>
          <w:rFonts w:ascii="Times New Roman" w:eastAsiaTheme="minorEastAsia" w:hAnsi="Times New Roman"/>
          <w:kern w:val="2"/>
          <w:sz w:val="28"/>
          <w:szCs w:val="28"/>
        </w:rPr>
        <w:t>以下</w:t>
      </w:r>
      <w:r w:rsidR="008C18DD" w:rsidRPr="00721B78">
        <w:rPr>
          <w:rFonts w:ascii="Times New Roman" w:eastAsiaTheme="minorEastAsia" w:hAnsi="Times New Roman"/>
          <w:kern w:val="2"/>
          <w:sz w:val="28"/>
          <w:szCs w:val="28"/>
        </w:rPr>
        <w:t>方面的问题：</w:t>
      </w:r>
    </w:p>
    <w:p w:rsidR="00AF0F3D"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1</w:t>
      </w:r>
      <w:r>
        <w:rPr>
          <w:rFonts w:ascii="Times New Roman" w:eastAsiaTheme="minorEastAsia" w:hAnsi="Times New Roman"/>
          <w:kern w:val="2"/>
          <w:sz w:val="28"/>
          <w:szCs w:val="28"/>
        </w:rPr>
        <w:t>.</w:t>
      </w:r>
      <w:r w:rsidR="00AF0F3D" w:rsidRPr="00721B78">
        <w:rPr>
          <w:rFonts w:ascii="Times New Roman" w:eastAsiaTheme="minorEastAsia" w:hAnsi="Times New Roman"/>
          <w:kern w:val="2"/>
          <w:sz w:val="28"/>
          <w:szCs w:val="28"/>
        </w:rPr>
        <w:t>明确评估目的。明确风险评估的环境管理需求，确定风险评估需要解决的问题。美国科学院在《科学与决策：推进风险评估》报告中尤其强调在风险评估方案的制订阶段，风险评估者与风险管理者和利益相关方共同讨论确定风险评估的目的和需要解决的问题。这一建议在美国环保局《支持决策的人体健康风险评估框架》和澳大利亚《环境健康风险评估：环境危害的人体健康风险评估指南》中得到充分体现。开展村镇社区环境评估前，应当充分听取风险管理者与利益相关方人员的意见建议，明确风险评估所要支撑的决策工作目标和需求；</w:t>
      </w:r>
    </w:p>
    <w:p w:rsidR="00AF0F3D"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2</w:t>
      </w:r>
      <w:r>
        <w:rPr>
          <w:rFonts w:ascii="Times New Roman" w:eastAsiaTheme="minorEastAsia" w:hAnsi="Times New Roman"/>
          <w:kern w:val="2"/>
          <w:sz w:val="28"/>
          <w:szCs w:val="28"/>
        </w:rPr>
        <w:t>.</w:t>
      </w:r>
      <w:r w:rsidR="00AF0F3D" w:rsidRPr="00721B78">
        <w:rPr>
          <w:rFonts w:ascii="Times New Roman" w:eastAsiaTheme="minorEastAsia" w:hAnsi="Times New Roman"/>
          <w:kern w:val="2"/>
          <w:sz w:val="28"/>
          <w:szCs w:val="28"/>
        </w:rPr>
        <w:t>确定评估范围。</w:t>
      </w:r>
      <w:r w:rsidR="002D04C6" w:rsidRPr="00721B78">
        <w:rPr>
          <w:rFonts w:ascii="Times New Roman" w:eastAsiaTheme="minorEastAsia" w:hAnsi="Times New Roman"/>
          <w:kern w:val="2"/>
          <w:sz w:val="28"/>
          <w:szCs w:val="28"/>
        </w:rPr>
        <w:t>包括识别确定风险评估针对的目标环境因素，评估的时间范围、空间范围以及目标人群。应针对环境管理需求和评估目的，通过现场调查和情景分析等，初步建立暴露情景，为风险评估类型和内容、方法的选择提供基础。本标准中原则性的规定了目标环境因素和时间、空间、人群范围的确定原则或考虑因素。</w:t>
      </w:r>
      <w:r w:rsidR="00AF0F3D" w:rsidRPr="00721B78">
        <w:rPr>
          <w:rFonts w:ascii="Times New Roman" w:eastAsiaTheme="minorEastAsia" w:hAnsi="Times New Roman"/>
          <w:kern w:val="2"/>
          <w:sz w:val="28"/>
          <w:szCs w:val="28"/>
        </w:rPr>
        <w:t>按照</w:t>
      </w:r>
      <w:r w:rsidR="002E7BC6" w:rsidRPr="00721B78">
        <w:rPr>
          <w:rFonts w:ascii="Times New Roman" w:eastAsiaTheme="minorEastAsia" w:hAnsi="Times New Roman"/>
          <w:kern w:val="2"/>
          <w:sz w:val="28"/>
          <w:szCs w:val="28"/>
        </w:rPr>
        <w:t xml:space="preserve">HJ </w:t>
      </w:r>
      <w:r w:rsidR="002E7BC6" w:rsidRPr="00721B78">
        <w:rPr>
          <w:rFonts w:ascii="Times New Roman" w:eastAsiaTheme="minorEastAsia" w:hAnsi="Times New Roman"/>
          <w:kern w:val="2"/>
          <w:sz w:val="28"/>
          <w:szCs w:val="28"/>
        </w:rPr>
        <w:lastRenderedPageBreak/>
        <w:t>1111</w:t>
      </w:r>
      <w:r w:rsidR="00AF0F3D" w:rsidRPr="00721B78">
        <w:rPr>
          <w:rFonts w:ascii="Times New Roman" w:eastAsiaTheme="minorEastAsia" w:hAnsi="Times New Roman"/>
          <w:kern w:val="2"/>
          <w:sz w:val="28"/>
          <w:szCs w:val="28"/>
        </w:rPr>
        <w:t>的相关要求，划定评估范围，包括评估的空间尺度、时间范围、重点人群、重点村镇产业等。</w:t>
      </w:r>
    </w:p>
    <w:p w:rsidR="004153F0" w:rsidRPr="00721B78" w:rsidRDefault="003127A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Pr>
          <w:rFonts w:ascii="Times New Roman" w:eastAsiaTheme="minorEastAsia" w:hAnsi="Times New Roman" w:hint="eastAsia"/>
          <w:kern w:val="2"/>
          <w:sz w:val="28"/>
          <w:szCs w:val="28"/>
        </w:rPr>
        <w:t>3</w:t>
      </w:r>
      <w:r>
        <w:rPr>
          <w:rFonts w:ascii="Times New Roman" w:eastAsiaTheme="minorEastAsia" w:hAnsi="Times New Roman"/>
          <w:kern w:val="2"/>
          <w:sz w:val="28"/>
          <w:szCs w:val="28"/>
        </w:rPr>
        <w:t>.</w:t>
      </w:r>
      <w:r w:rsidR="00AF0F3D" w:rsidRPr="00721B78">
        <w:rPr>
          <w:rFonts w:ascii="Times New Roman" w:eastAsiaTheme="minorEastAsia" w:hAnsi="Times New Roman"/>
          <w:kern w:val="2"/>
          <w:sz w:val="28"/>
          <w:szCs w:val="28"/>
        </w:rPr>
        <w:t>确定评估内容及要求。根据评估目的和范围，确定环境污染数据和毒性暴露数据的获取方法，充分收集已有相关数据资料，条件允许时充分开展现场调查和实验分析，确定个工作日流程的具体技术细节和要求，制定评估技术路线图和实施方案细则。</w:t>
      </w:r>
      <w:r w:rsidR="005C1BE0" w:rsidRPr="00721B78">
        <w:rPr>
          <w:rFonts w:ascii="Times New Roman" w:eastAsiaTheme="minorEastAsia" w:hAnsi="Times New Roman"/>
          <w:kern w:val="2"/>
          <w:sz w:val="28"/>
          <w:szCs w:val="28"/>
        </w:rPr>
        <w:t>应当充分明确对内容、风险类型、数据、方法、质量控制等方面的要求。</w:t>
      </w:r>
    </w:p>
    <w:p w:rsidR="007F02AC"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30" w:name="_Toc119660584"/>
      <w:r w:rsidRPr="002D35B8">
        <w:rPr>
          <w:rFonts w:hint="eastAsia"/>
          <w:b/>
          <w:bCs/>
          <w:kern w:val="2"/>
          <w:sz w:val="28"/>
          <w:szCs w:val="28"/>
        </w:rPr>
        <w:t>（八）</w:t>
      </w:r>
      <w:r w:rsidR="007F02AC" w:rsidRPr="002D35B8">
        <w:rPr>
          <w:rFonts w:hint="eastAsia"/>
          <w:b/>
          <w:bCs/>
          <w:kern w:val="2"/>
          <w:sz w:val="28"/>
          <w:szCs w:val="28"/>
        </w:rPr>
        <w:t>数据收集与危害识别技术要求</w:t>
      </w:r>
      <w:bookmarkEnd w:id="30"/>
    </w:p>
    <w:p w:rsidR="007F02AC" w:rsidRPr="00721B78" w:rsidRDefault="0048067D"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我国《环境健康风险评估技术指南总纲》、美国环保局《支持决策的人体健康风险评估框架》、澳大利亚《环境健康风险评估：环境危害的人体健康风险评估指南》和世界卫生组织《化学物质暴露致人体健康风险评估原则》等技术文件，</w:t>
      </w:r>
      <w:r w:rsidR="00F60AEB" w:rsidRPr="00721B78">
        <w:rPr>
          <w:rFonts w:ascii="Times New Roman" w:eastAsiaTheme="minorEastAsia" w:hAnsi="Times New Roman"/>
          <w:kern w:val="2"/>
          <w:sz w:val="28"/>
          <w:szCs w:val="28"/>
        </w:rPr>
        <w:t>针对村镇条件，本文件整合了对前期村镇数据以及关注污染物的</w:t>
      </w:r>
      <w:r w:rsidR="007708C8" w:rsidRPr="00721B78">
        <w:rPr>
          <w:rFonts w:ascii="Times New Roman" w:eastAsiaTheme="minorEastAsia" w:hAnsi="Times New Roman"/>
          <w:kern w:val="2"/>
          <w:sz w:val="28"/>
          <w:szCs w:val="28"/>
        </w:rPr>
        <w:t>相关毒性数据的收集工作的技术要求。</w:t>
      </w:r>
    </w:p>
    <w:p w:rsidR="0026094B" w:rsidRPr="00721B78" w:rsidRDefault="007708C8"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数据收集与危害识别是村镇风险评估的第一步，其得到的结果直接关系到后续评估工作的走向和最终结果。在</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要求的基础上，本文进一步细化了对村镇基本资料和数据收集应该关注的内容。此外关注污染物的危害识别主要引用了国内外政府机构或国际组织发布的相关毒性参数，如美国环保局综合风险信息系统（</w:t>
      </w:r>
      <w:r w:rsidRPr="00721B78">
        <w:rPr>
          <w:rFonts w:ascii="Times New Roman" w:eastAsiaTheme="minorEastAsia" w:hAnsi="Times New Roman"/>
          <w:kern w:val="2"/>
          <w:sz w:val="28"/>
          <w:szCs w:val="28"/>
        </w:rPr>
        <w:t>IRIS</w:t>
      </w:r>
      <w:r w:rsidRPr="00721B78">
        <w:rPr>
          <w:rFonts w:ascii="Times New Roman" w:eastAsiaTheme="minorEastAsia" w:hAnsi="Times New Roman"/>
          <w:kern w:val="2"/>
          <w:sz w:val="28"/>
          <w:szCs w:val="28"/>
        </w:rPr>
        <w:t>）、国际化学品安全规划署（</w:t>
      </w:r>
      <w:r w:rsidRPr="00721B78">
        <w:rPr>
          <w:rFonts w:ascii="Times New Roman" w:eastAsiaTheme="minorEastAsia" w:hAnsi="Times New Roman"/>
          <w:kern w:val="2"/>
          <w:sz w:val="28"/>
          <w:szCs w:val="28"/>
        </w:rPr>
        <w:t>IPCS</w:t>
      </w:r>
      <w:r w:rsidRPr="00721B78">
        <w:rPr>
          <w:rFonts w:ascii="Times New Roman" w:eastAsiaTheme="minorEastAsia" w:hAnsi="Times New Roman"/>
          <w:kern w:val="2"/>
          <w:sz w:val="28"/>
          <w:szCs w:val="28"/>
        </w:rPr>
        <w:t>）等发布的相关毒性参数</w:t>
      </w:r>
      <w:r w:rsidR="005414A8" w:rsidRPr="00721B78">
        <w:rPr>
          <w:rFonts w:ascii="Times New Roman" w:eastAsiaTheme="minorEastAsia" w:hAnsi="Times New Roman"/>
          <w:kern w:val="2"/>
          <w:sz w:val="28"/>
          <w:szCs w:val="28"/>
        </w:rPr>
        <w:t>等</w:t>
      </w:r>
      <w:r w:rsidR="00CB18BA" w:rsidRPr="00721B78">
        <w:rPr>
          <w:rFonts w:ascii="Times New Roman" w:eastAsiaTheme="minorEastAsia" w:hAnsi="Times New Roman"/>
          <w:kern w:val="2"/>
          <w:sz w:val="28"/>
          <w:szCs w:val="28"/>
        </w:rPr>
        <w:t>。虽然考虑到直接引用的不确定性，但基于现有条件和管理的需求，充分参考了</w:t>
      </w:r>
      <w:r w:rsidR="002E7BC6" w:rsidRPr="00721B78">
        <w:rPr>
          <w:rFonts w:ascii="Times New Roman" w:eastAsiaTheme="minorEastAsia" w:hAnsi="Times New Roman"/>
          <w:kern w:val="2"/>
          <w:sz w:val="28"/>
          <w:szCs w:val="28"/>
        </w:rPr>
        <w:t>HJ 1111</w:t>
      </w:r>
      <w:r w:rsidR="00CB18BA" w:rsidRPr="00721B78">
        <w:rPr>
          <w:rFonts w:ascii="Times New Roman" w:eastAsiaTheme="minorEastAsia" w:hAnsi="Times New Roman"/>
          <w:kern w:val="2"/>
          <w:sz w:val="28"/>
          <w:szCs w:val="28"/>
        </w:rPr>
        <w:lastRenderedPageBreak/>
        <w:t>的论述，对于已有数据进行充分的利用，一方面可降低工作的成本，一方面可确保管理决策工作的顺利实施。</w:t>
      </w:r>
    </w:p>
    <w:p w:rsidR="00CB18BA" w:rsidRPr="003127AA" w:rsidRDefault="00080BD7"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1.</w:t>
      </w:r>
      <w:r w:rsidR="00CB18BA" w:rsidRPr="003127AA">
        <w:rPr>
          <w:rFonts w:ascii="宋体" w:hAnsi="宋体"/>
          <w:b/>
          <w:bCs/>
          <w:sz w:val="28"/>
          <w:szCs w:val="28"/>
        </w:rPr>
        <w:t>基本资料收集</w:t>
      </w:r>
    </w:p>
    <w:p w:rsidR="0064427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基本数据收集是摸清村镇环境整体情况，并确定应当关注的污染物的前期基本工作。本文件在</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的基础上针对村镇条件，对应当收集的数据信息进行了进一步的细化，规定充分收集评估村镇的自然条件、环境资料、卫生健康资料、产业活动资料等：</w:t>
      </w:r>
    </w:p>
    <w:p w:rsidR="0064427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a)</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村镇社区所在地区气候、水文、地质、水土过程等特征信息和数据；</w:t>
      </w:r>
    </w:p>
    <w:p w:rsidR="0064427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b)</w:t>
      </w:r>
      <w:r w:rsidRPr="00721B78">
        <w:rPr>
          <w:rFonts w:ascii="Times New Roman" w:eastAsiaTheme="minorEastAsia" w:hAnsi="Times New Roman"/>
          <w:kern w:val="2"/>
          <w:sz w:val="28"/>
          <w:szCs w:val="28"/>
        </w:rPr>
        <w:t>村镇主要污染源排放特征、污染物类型、环境介质基本情况等；</w:t>
      </w:r>
    </w:p>
    <w:p w:rsidR="0064427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c)</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村镇居民健康状况、卫生条件、污水和废弃物处置状况等；</w:t>
      </w:r>
    </w:p>
    <w:p w:rsidR="0064427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d)</w:t>
      </w:r>
      <w:r w:rsidRPr="00721B78">
        <w:rPr>
          <w:rFonts w:ascii="Times New Roman" w:eastAsiaTheme="minorEastAsia" w:hAnsi="Times New Roman"/>
          <w:kern w:val="2"/>
          <w:sz w:val="28"/>
          <w:szCs w:val="28"/>
        </w:rPr>
        <w:t>村镇社区范围及周边区域主要产业分布、土地利用方式、敏感人群及建筑物分布等相关信息。</w:t>
      </w:r>
    </w:p>
    <w:p w:rsidR="008D62D1" w:rsidRPr="00721B78" w:rsidRDefault="00644271"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同时考虑到村镇地区开展工作的条件有限，强调基本资料收集应当充分利用现有发布的相关公报、数据集、环境影响评价报告等。</w:t>
      </w:r>
    </w:p>
    <w:p w:rsidR="008D62D1"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2.</w:t>
      </w:r>
      <w:r w:rsidR="008D62D1" w:rsidRPr="002D35B8">
        <w:rPr>
          <w:rFonts w:ascii="宋体" w:hAnsi="宋体" w:hint="eastAsia"/>
          <w:b/>
          <w:bCs/>
          <w:sz w:val="28"/>
          <w:szCs w:val="28"/>
        </w:rPr>
        <w:t>环境监测数据获取和现场调查</w:t>
      </w:r>
    </w:p>
    <w:p w:rsidR="008D62D1" w:rsidRPr="00721B78" w:rsidRDefault="0017423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监测数据和现场调查主要为了获取关注污染物的基本污染信息和污染状况，</w:t>
      </w:r>
      <w:r w:rsidR="002E7BC6" w:rsidRPr="00721B78">
        <w:rPr>
          <w:rFonts w:ascii="Times New Roman" w:eastAsiaTheme="minorEastAsia" w:hAnsi="Times New Roman"/>
          <w:kern w:val="2"/>
          <w:sz w:val="28"/>
          <w:szCs w:val="28"/>
        </w:rPr>
        <w:t>HJ 1111</w:t>
      </w:r>
      <w:r w:rsidR="00600151" w:rsidRPr="00721B78">
        <w:rPr>
          <w:rFonts w:ascii="Times New Roman" w:eastAsiaTheme="minorEastAsia" w:hAnsi="Times New Roman"/>
          <w:kern w:val="2"/>
          <w:sz w:val="28"/>
          <w:szCs w:val="28"/>
        </w:rPr>
        <w:t>中提出了证据充分性评价的内容，但并未针对污染物状况调查进行针对性约束。本文件考虑到村镇地区相关监测数据较少的情况，强调了现场污染调查工作的重要性，</w:t>
      </w:r>
      <w:r w:rsidR="00B72033" w:rsidRPr="00721B78">
        <w:rPr>
          <w:rFonts w:ascii="Times New Roman" w:eastAsiaTheme="minorEastAsia" w:hAnsi="Times New Roman"/>
          <w:kern w:val="2"/>
          <w:sz w:val="28"/>
          <w:szCs w:val="28"/>
        </w:rPr>
        <w:t>应当按照</w:t>
      </w:r>
      <w:r w:rsidR="00B72033" w:rsidRPr="00721B78">
        <w:rPr>
          <w:rFonts w:ascii="Times New Roman" w:eastAsiaTheme="minorEastAsia" w:hAnsi="Times New Roman"/>
          <w:kern w:val="2"/>
          <w:sz w:val="28"/>
          <w:szCs w:val="28"/>
        </w:rPr>
        <w:t>HJ 2.2</w:t>
      </w:r>
      <w:r w:rsidR="00B72033" w:rsidRPr="00721B78">
        <w:rPr>
          <w:rFonts w:ascii="Times New Roman" w:eastAsiaTheme="minorEastAsia" w:hAnsi="Times New Roman"/>
          <w:kern w:val="2"/>
          <w:sz w:val="28"/>
          <w:szCs w:val="28"/>
        </w:rPr>
        <w:t>、</w:t>
      </w:r>
      <w:r w:rsidR="00B72033" w:rsidRPr="00721B78">
        <w:rPr>
          <w:rFonts w:ascii="Times New Roman" w:eastAsiaTheme="minorEastAsia" w:hAnsi="Times New Roman"/>
          <w:kern w:val="2"/>
          <w:sz w:val="28"/>
          <w:szCs w:val="28"/>
        </w:rPr>
        <w:t>HJ 2.3</w:t>
      </w:r>
      <w:r w:rsidR="00B72033" w:rsidRPr="00721B78">
        <w:rPr>
          <w:rFonts w:ascii="Times New Roman" w:eastAsiaTheme="minorEastAsia" w:hAnsi="Times New Roman"/>
          <w:kern w:val="2"/>
          <w:sz w:val="28"/>
          <w:szCs w:val="28"/>
        </w:rPr>
        <w:t>、</w:t>
      </w:r>
      <w:r w:rsidR="00B72033" w:rsidRPr="00721B78">
        <w:rPr>
          <w:rFonts w:ascii="Times New Roman" w:eastAsiaTheme="minorEastAsia" w:hAnsi="Times New Roman"/>
          <w:kern w:val="2"/>
          <w:sz w:val="28"/>
          <w:szCs w:val="28"/>
        </w:rPr>
        <w:t>HJ/T 166</w:t>
      </w:r>
      <w:r w:rsidR="00B72033" w:rsidRPr="00721B78">
        <w:rPr>
          <w:rFonts w:ascii="Times New Roman" w:eastAsiaTheme="minorEastAsia" w:hAnsi="Times New Roman"/>
          <w:kern w:val="2"/>
          <w:sz w:val="28"/>
          <w:szCs w:val="28"/>
        </w:rPr>
        <w:t>、</w:t>
      </w:r>
      <w:r w:rsidR="00B72033" w:rsidRPr="00721B78">
        <w:rPr>
          <w:rFonts w:ascii="Times New Roman" w:eastAsiaTheme="minorEastAsia" w:hAnsi="Times New Roman"/>
          <w:kern w:val="2"/>
          <w:sz w:val="28"/>
          <w:szCs w:val="28"/>
        </w:rPr>
        <w:t>HJ 25.1</w:t>
      </w:r>
      <w:r w:rsidR="00B72033" w:rsidRPr="00721B78">
        <w:rPr>
          <w:rFonts w:ascii="Times New Roman" w:eastAsiaTheme="minorEastAsia" w:hAnsi="Times New Roman"/>
          <w:kern w:val="2"/>
          <w:sz w:val="28"/>
          <w:szCs w:val="28"/>
        </w:rPr>
        <w:t>、</w:t>
      </w:r>
      <w:r w:rsidR="00B72033" w:rsidRPr="00721B78">
        <w:rPr>
          <w:rFonts w:ascii="Times New Roman" w:eastAsiaTheme="minorEastAsia" w:hAnsi="Times New Roman"/>
          <w:kern w:val="2"/>
          <w:sz w:val="28"/>
          <w:szCs w:val="28"/>
        </w:rPr>
        <w:t>HJ/T 91</w:t>
      </w:r>
      <w:r w:rsidR="00B72033" w:rsidRPr="00721B78">
        <w:rPr>
          <w:rFonts w:ascii="Times New Roman" w:eastAsiaTheme="minorEastAsia" w:hAnsi="Times New Roman"/>
          <w:kern w:val="2"/>
          <w:sz w:val="28"/>
          <w:szCs w:val="28"/>
        </w:rPr>
        <w:t>、</w:t>
      </w:r>
      <w:r w:rsidR="00B72033" w:rsidRPr="00721B78">
        <w:rPr>
          <w:rFonts w:ascii="Times New Roman" w:eastAsiaTheme="minorEastAsia" w:hAnsi="Times New Roman"/>
          <w:kern w:val="2"/>
          <w:sz w:val="28"/>
          <w:szCs w:val="28"/>
        </w:rPr>
        <w:t xml:space="preserve">HJ 91.2 </w:t>
      </w:r>
      <w:r w:rsidR="00B72033" w:rsidRPr="00721B78">
        <w:rPr>
          <w:rFonts w:ascii="Times New Roman" w:eastAsiaTheme="minorEastAsia" w:hAnsi="Times New Roman"/>
          <w:kern w:val="2"/>
          <w:sz w:val="28"/>
          <w:szCs w:val="28"/>
        </w:rPr>
        <w:t>和</w:t>
      </w:r>
      <w:r w:rsidR="00B72033" w:rsidRPr="00721B78">
        <w:rPr>
          <w:rFonts w:ascii="Times New Roman" w:eastAsiaTheme="minorEastAsia" w:hAnsi="Times New Roman"/>
          <w:kern w:val="2"/>
          <w:sz w:val="28"/>
          <w:szCs w:val="28"/>
        </w:rPr>
        <w:t>HJ 839</w:t>
      </w:r>
      <w:r w:rsidR="00B72033" w:rsidRPr="00721B78">
        <w:rPr>
          <w:rFonts w:ascii="Times New Roman" w:eastAsiaTheme="minorEastAsia" w:hAnsi="Times New Roman"/>
          <w:kern w:val="2"/>
          <w:sz w:val="28"/>
          <w:szCs w:val="28"/>
        </w:rPr>
        <w:t>等标准文件的相关要求对村镇社区水、土、气环境污染状况开展调查。其中应当</w:t>
      </w:r>
      <w:r w:rsidR="00B72033" w:rsidRPr="00721B78">
        <w:rPr>
          <w:rFonts w:ascii="Times New Roman" w:eastAsiaTheme="minorEastAsia" w:hAnsi="Times New Roman"/>
          <w:kern w:val="2"/>
          <w:sz w:val="28"/>
          <w:szCs w:val="28"/>
        </w:rPr>
        <w:lastRenderedPageBreak/>
        <w:t>重点调查村镇社区主要污染源及其周边可能受到影响的区域，以及特殊敏感人群集中居住的区域。基于污染物排放类型，选择重点关注的污染途径以及潜在的可能影响人群健康的传播途径。重点关注的污染物应当包括重金属、有机物以及与产业相关的新污染物等。</w:t>
      </w:r>
    </w:p>
    <w:p w:rsidR="00B72033" w:rsidRPr="00721B78" w:rsidRDefault="00B72033"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同时考虑到村镇监测条件的有限性，本文件规定当现有数据获取不充分，现场调查条件不满足的情况下，可考虑采用模型数据作为补充。模型预测数据通过主要排放源及村镇周边环境特征数据的收集，基于现有的成熟方法预测周边环境中污染物的分布特征，可参考</w:t>
      </w:r>
      <w:r w:rsidRPr="00721B78">
        <w:rPr>
          <w:rFonts w:ascii="Times New Roman" w:eastAsiaTheme="minorEastAsia" w:hAnsi="Times New Roman"/>
          <w:kern w:val="2"/>
          <w:sz w:val="28"/>
          <w:szCs w:val="28"/>
        </w:rPr>
        <w:t>HJ 2.2</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HJ 2.3</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610</w:t>
      </w:r>
      <w:r w:rsidRPr="00721B78">
        <w:rPr>
          <w:rFonts w:ascii="Times New Roman" w:eastAsiaTheme="minorEastAsia" w:hAnsi="Times New Roman"/>
          <w:kern w:val="2"/>
          <w:sz w:val="28"/>
          <w:szCs w:val="28"/>
        </w:rPr>
        <w:t>等文件推荐的大气、地表水、地下水和土壤中污染物迁移模拟方法。</w:t>
      </w:r>
    </w:p>
    <w:p w:rsidR="00676762" w:rsidRPr="00721B78" w:rsidRDefault="00676762"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通过但对现场调查的内容补充，本文件提高了</w:t>
      </w:r>
      <w:r w:rsidR="002E7BC6"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等在村镇地区的可操作性和适用性。</w:t>
      </w:r>
    </w:p>
    <w:p w:rsidR="00676762"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3.</w:t>
      </w:r>
      <w:r w:rsidR="00676762" w:rsidRPr="002D35B8">
        <w:rPr>
          <w:rFonts w:ascii="宋体" w:hAnsi="宋体" w:hint="eastAsia"/>
          <w:b/>
          <w:bCs/>
          <w:sz w:val="28"/>
          <w:szCs w:val="28"/>
        </w:rPr>
        <w:t>确定关注污染物</w:t>
      </w:r>
    </w:p>
    <w:p w:rsidR="00C86DB0" w:rsidRPr="00721B78" w:rsidRDefault="002E7BC6"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HJ 1111</w:t>
      </w:r>
      <w:r w:rsidR="008D27EE" w:rsidRPr="00721B78">
        <w:rPr>
          <w:rFonts w:ascii="Times New Roman" w:eastAsiaTheme="minorEastAsia" w:hAnsi="Times New Roman"/>
          <w:kern w:val="2"/>
          <w:sz w:val="28"/>
          <w:szCs w:val="28"/>
        </w:rPr>
        <w:t>危害识别部分中已经详细论述了关注污染物应当收集的数据类型、质量要求，以及最后数据结果的呈现要求。</w:t>
      </w:r>
      <w:r w:rsidR="00C86DB0" w:rsidRPr="00721B78">
        <w:rPr>
          <w:rFonts w:ascii="Times New Roman" w:eastAsiaTheme="minorEastAsia" w:hAnsi="Times New Roman"/>
          <w:kern w:val="2"/>
          <w:sz w:val="28"/>
          <w:szCs w:val="28"/>
        </w:rPr>
        <w:t>本文件主要提供了如何通过数据资料确定关注污染物的基本原则，确保在村镇风险评估中的可操作性</w:t>
      </w:r>
      <w:r w:rsidR="00B51687" w:rsidRPr="00721B78">
        <w:rPr>
          <w:rFonts w:ascii="Times New Roman" w:eastAsiaTheme="minorEastAsia" w:hAnsi="Times New Roman"/>
          <w:kern w:val="2"/>
          <w:sz w:val="28"/>
          <w:szCs w:val="28"/>
        </w:rPr>
        <w:t>，避免因为信息过多反而提升了村镇风险评估工作的难度</w:t>
      </w:r>
      <w:r w:rsidR="00C86DB0" w:rsidRPr="00721B78">
        <w:rPr>
          <w:rFonts w:ascii="Times New Roman" w:eastAsiaTheme="minorEastAsia" w:hAnsi="Times New Roman"/>
          <w:kern w:val="2"/>
          <w:sz w:val="28"/>
          <w:szCs w:val="28"/>
        </w:rPr>
        <w:t>。其基本原则包括：</w:t>
      </w:r>
    </w:p>
    <w:p w:rsidR="00C86DB0" w:rsidRPr="00721B78" w:rsidRDefault="00C86DB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a)</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优先关注村镇社区环境中检出率和环境浓度较高的污染物；</w:t>
      </w:r>
    </w:p>
    <w:p w:rsidR="00C86DB0" w:rsidRPr="00721B78" w:rsidRDefault="00C86DB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b)</w:t>
      </w:r>
      <w:r w:rsidRPr="00721B78">
        <w:rPr>
          <w:rFonts w:ascii="Times New Roman" w:eastAsiaTheme="minorEastAsia" w:hAnsi="Times New Roman"/>
          <w:kern w:val="2"/>
          <w:sz w:val="28"/>
          <w:szCs w:val="28"/>
        </w:rPr>
        <w:t>优先关注村镇社区居民生产和生活过程中主要排放的污染物；</w:t>
      </w:r>
    </w:p>
    <w:p w:rsidR="00C86DB0" w:rsidRPr="00721B78" w:rsidRDefault="00C86DB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c)</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优先关注具有潜在污染源，且具有生物累积性和环境持久性的污染物；</w:t>
      </w:r>
    </w:p>
    <w:p w:rsidR="0081724A" w:rsidRPr="00721B78" w:rsidRDefault="00C86DB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lastRenderedPageBreak/>
        <w:t>d)</w:t>
      </w:r>
      <w:r w:rsidRPr="00721B78">
        <w:rPr>
          <w:rFonts w:ascii="Times New Roman" w:eastAsiaTheme="minorEastAsia" w:hAnsi="Times New Roman"/>
          <w:kern w:val="2"/>
          <w:sz w:val="28"/>
          <w:szCs w:val="28"/>
        </w:rPr>
        <w:t>优先关注国内外发布的优先控制的毒性和危害作用较大的污染物。</w:t>
      </w:r>
    </w:p>
    <w:p w:rsidR="00672302"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31" w:name="_Toc119660585"/>
      <w:r w:rsidRPr="002D35B8">
        <w:rPr>
          <w:rFonts w:hint="eastAsia"/>
          <w:b/>
          <w:bCs/>
          <w:kern w:val="2"/>
          <w:sz w:val="28"/>
          <w:szCs w:val="28"/>
        </w:rPr>
        <w:t>（九）</w:t>
      </w:r>
      <w:r w:rsidR="00D026D5" w:rsidRPr="002D35B8">
        <w:rPr>
          <w:rFonts w:hint="eastAsia"/>
          <w:b/>
          <w:bCs/>
          <w:kern w:val="2"/>
          <w:sz w:val="28"/>
          <w:szCs w:val="28"/>
        </w:rPr>
        <w:t>毒性评估技术要求</w:t>
      </w:r>
      <w:bookmarkEnd w:id="31"/>
    </w:p>
    <w:p w:rsidR="008D020F" w:rsidRPr="00721B78" w:rsidRDefault="002E7BC6"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HJ 1111</w:t>
      </w:r>
      <w:r w:rsidR="008D020F" w:rsidRPr="00721B78">
        <w:rPr>
          <w:rFonts w:ascii="Times New Roman" w:eastAsiaTheme="minorEastAsia" w:hAnsi="Times New Roman"/>
          <w:kern w:val="2"/>
          <w:sz w:val="28"/>
          <w:szCs w:val="28"/>
        </w:rPr>
        <w:t>中将剂量</w:t>
      </w:r>
      <w:r w:rsidR="008D020F" w:rsidRPr="00721B78">
        <w:rPr>
          <w:rFonts w:ascii="Times New Roman" w:eastAsiaTheme="minorEastAsia" w:hAnsi="Times New Roman"/>
          <w:kern w:val="2"/>
          <w:sz w:val="28"/>
          <w:szCs w:val="28"/>
        </w:rPr>
        <w:t>-</w:t>
      </w:r>
      <w:r w:rsidR="008D020F" w:rsidRPr="00721B78">
        <w:rPr>
          <w:rFonts w:ascii="Times New Roman" w:eastAsiaTheme="minorEastAsia" w:hAnsi="Times New Roman"/>
          <w:kern w:val="2"/>
          <w:sz w:val="28"/>
          <w:szCs w:val="28"/>
        </w:rPr>
        <w:t>效应评估放在了危害识别之后作为风险评估的第二部，</w:t>
      </w:r>
      <w:r w:rsidR="004A35BA" w:rsidRPr="00721B78">
        <w:rPr>
          <w:rFonts w:ascii="Times New Roman" w:eastAsiaTheme="minorEastAsia" w:hAnsi="Times New Roman"/>
          <w:kern w:val="2"/>
          <w:sz w:val="28"/>
          <w:szCs w:val="28"/>
        </w:rPr>
        <w:t>为使得整个评估过程操作性更强，本文件参考了《建设用地污染风险评估指南》的流程方式，将毒性评估作为第二部分内容。村镇场景的环境管理对象与建设用地污染管理的对象基本相似，最终毒性评估结果的呈现也基本相似，因此本文件采用了《建设用地污染风险评估指南》中将毒性评估分为致癌效应和非致癌效应两个效应部分内容。其主要目标是收集污染物的毒性相关数据，确定污染物暴露量与毒性效应间的关系，即剂量</w:t>
      </w:r>
      <w:r w:rsidR="004A35BA" w:rsidRPr="00721B78">
        <w:rPr>
          <w:rFonts w:ascii="Times New Roman" w:eastAsiaTheme="minorEastAsia" w:hAnsi="Times New Roman"/>
          <w:kern w:val="2"/>
          <w:sz w:val="28"/>
          <w:szCs w:val="28"/>
        </w:rPr>
        <w:t>-</w:t>
      </w:r>
      <w:r w:rsidR="004A35BA" w:rsidRPr="00721B78">
        <w:rPr>
          <w:rFonts w:ascii="Times New Roman" w:eastAsiaTheme="minorEastAsia" w:hAnsi="Times New Roman"/>
          <w:kern w:val="2"/>
          <w:sz w:val="28"/>
          <w:szCs w:val="28"/>
        </w:rPr>
        <w:t>效应关系，进而为定量评估风险提供基础信息。</w:t>
      </w:r>
    </w:p>
    <w:p w:rsidR="004A35BA"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1.</w:t>
      </w:r>
      <w:r w:rsidR="00CB0FC4" w:rsidRPr="002D35B8">
        <w:rPr>
          <w:rFonts w:ascii="宋体" w:hAnsi="宋体" w:hint="eastAsia"/>
          <w:b/>
          <w:bCs/>
          <w:sz w:val="28"/>
          <w:szCs w:val="28"/>
        </w:rPr>
        <w:t>毒性评估的工作程序</w:t>
      </w:r>
    </w:p>
    <w:p w:rsidR="00CB0FC4" w:rsidRPr="00721B78" w:rsidRDefault="00CB0FC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参考</w:t>
      </w:r>
      <w:r w:rsidR="002E7BC6" w:rsidRPr="00721B78">
        <w:rPr>
          <w:rFonts w:ascii="Times New Roman" w:eastAsiaTheme="minorEastAsia" w:hAnsi="Times New Roman"/>
          <w:kern w:val="2"/>
          <w:sz w:val="28"/>
          <w:szCs w:val="28"/>
        </w:rPr>
        <w:t>HJ 1111</w:t>
      </w:r>
      <w:r w:rsidR="00001156" w:rsidRPr="00721B78">
        <w:rPr>
          <w:rFonts w:ascii="Times New Roman" w:eastAsiaTheme="minorEastAsia" w:hAnsi="Times New Roman"/>
          <w:kern w:val="2"/>
          <w:sz w:val="28"/>
          <w:szCs w:val="28"/>
        </w:rPr>
        <w:t>中剂量效应评估的三部，本文件在原有基础上进行了一定的调整，</w:t>
      </w:r>
      <w:r w:rsidR="00374B51" w:rsidRPr="00721B78">
        <w:rPr>
          <w:rFonts w:ascii="Times New Roman" w:eastAsiaTheme="minorEastAsia" w:hAnsi="Times New Roman"/>
          <w:kern w:val="2"/>
          <w:sz w:val="28"/>
          <w:szCs w:val="28"/>
        </w:rPr>
        <w:t>将已有评估终点的情况和需要进行剂量效应推导的情况进行了区分。由于在国内外的诸多文件中，针对部分关注的污染物已经给出了可用于风险表征的评估终点数据，在本文件中首先对该类数据的适用性进行分析，如果符合评估目的，则直接引用相关数据。当不符合应用场景时，才收集相关数据开展剂量</w:t>
      </w:r>
      <w:r w:rsidR="00374B51" w:rsidRPr="00721B78">
        <w:rPr>
          <w:rFonts w:ascii="Times New Roman" w:eastAsiaTheme="minorEastAsia" w:hAnsi="Times New Roman"/>
          <w:kern w:val="2"/>
          <w:sz w:val="28"/>
          <w:szCs w:val="28"/>
        </w:rPr>
        <w:t>-</w:t>
      </w:r>
      <w:r w:rsidR="00374B51" w:rsidRPr="00721B78">
        <w:rPr>
          <w:rFonts w:ascii="Times New Roman" w:eastAsiaTheme="minorEastAsia" w:hAnsi="Times New Roman"/>
          <w:kern w:val="2"/>
          <w:sz w:val="28"/>
          <w:szCs w:val="28"/>
        </w:rPr>
        <w:t>效应建模。</w:t>
      </w:r>
      <w:r w:rsidR="00645894" w:rsidRPr="00721B78">
        <w:rPr>
          <w:rFonts w:ascii="Times New Roman" w:eastAsiaTheme="minorEastAsia" w:hAnsi="Times New Roman"/>
          <w:kern w:val="2"/>
          <w:sz w:val="28"/>
          <w:szCs w:val="28"/>
        </w:rPr>
        <w:t>其基本步骤如下：</w:t>
      </w:r>
    </w:p>
    <w:p w:rsidR="00645894" w:rsidRPr="00721B78" w:rsidRDefault="0064589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a)</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收集分析国内外政府部门、国际组织等权威机构发布的目标污染物的毒性参数，评估其适用性。当毒性参数适用于村镇污染风险评</w:t>
      </w:r>
      <w:r w:rsidRPr="00721B78">
        <w:rPr>
          <w:rFonts w:ascii="Times New Roman" w:eastAsiaTheme="minorEastAsia" w:hAnsi="Times New Roman"/>
          <w:kern w:val="2"/>
          <w:sz w:val="28"/>
          <w:szCs w:val="28"/>
        </w:rPr>
        <w:lastRenderedPageBreak/>
        <w:t>估目标和内容时，可直接采纳；如果缺乏相关数据，或不适用于评估内容，根据具体条件组织利益相关方和管理部分商定是否开展剂量效应评估，或提供其他替代方案。</w:t>
      </w:r>
    </w:p>
    <w:p w:rsidR="00645894" w:rsidRPr="00721B78" w:rsidRDefault="0064589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b)</w:t>
      </w:r>
      <w:r w:rsidRPr="00721B78">
        <w:rPr>
          <w:rFonts w:ascii="Times New Roman" w:eastAsiaTheme="minorEastAsia" w:hAnsi="Times New Roman"/>
          <w:kern w:val="2"/>
          <w:sz w:val="28"/>
          <w:szCs w:val="28"/>
        </w:rPr>
        <w:t>如果开展剂量效应评估，则收集相关资料或通过开展实验等方式，获取关键毒性效应数据。</w:t>
      </w:r>
    </w:p>
    <w:p w:rsidR="00645894" w:rsidRPr="00721B78" w:rsidRDefault="0064589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c)</w:t>
      </w:r>
      <w:r w:rsidRPr="00721B78">
        <w:rPr>
          <w:rFonts w:ascii="Times New Roman" w:eastAsiaTheme="minorEastAsia" w:hAnsi="Times New Roman"/>
          <w:kern w:val="2"/>
          <w:sz w:val="28"/>
          <w:szCs w:val="28"/>
        </w:rPr>
        <w:tab/>
      </w:r>
      <w:r w:rsidRPr="00721B78">
        <w:rPr>
          <w:rFonts w:ascii="Times New Roman" w:eastAsiaTheme="minorEastAsia" w:hAnsi="Times New Roman"/>
          <w:kern w:val="2"/>
          <w:sz w:val="28"/>
          <w:szCs w:val="28"/>
        </w:rPr>
        <w:t>对剂量</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效应评估数据进行质量评价，如满足需要则开展剂量</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效应模型构建，推导毒性参数，如质量无法满足需求则进一步开展调查和实验工作，补充相应数据。</w:t>
      </w:r>
    </w:p>
    <w:p w:rsidR="00645894"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2.</w:t>
      </w:r>
      <w:r w:rsidR="00645894" w:rsidRPr="002D35B8">
        <w:rPr>
          <w:rFonts w:ascii="宋体" w:hAnsi="宋体" w:hint="eastAsia"/>
          <w:b/>
          <w:bCs/>
          <w:sz w:val="28"/>
          <w:szCs w:val="28"/>
        </w:rPr>
        <w:t>毒性数据收集和整理</w:t>
      </w:r>
    </w:p>
    <w:p w:rsidR="00913A67" w:rsidRPr="00721B78" w:rsidRDefault="00913A67"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针对毒性数据收集的技术要求主要引用了</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中对毒性评估数据的要求，在本文件中仅针对不同情况进行了分类说明。在存在合适数据时，可直接采用国内外标准文件和数据库中的相关数据；当数据不合适时，按照</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中的相关要求收集对应的剂量</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效应数据。</w:t>
      </w:r>
    </w:p>
    <w:p w:rsidR="00913A67"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3.</w:t>
      </w:r>
      <w:r w:rsidR="00913A67" w:rsidRPr="002D35B8">
        <w:rPr>
          <w:rFonts w:ascii="宋体" w:hAnsi="宋体" w:hint="eastAsia"/>
          <w:b/>
          <w:bCs/>
          <w:sz w:val="28"/>
          <w:szCs w:val="28"/>
        </w:rPr>
        <w:t>剂量效应分析</w:t>
      </w:r>
    </w:p>
    <w:p w:rsidR="00913A67" w:rsidRPr="00721B78" w:rsidRDefault="00913A67"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本文件直接引用了</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中的相关要求，针对致癌效应和非致癌效应分别开展相应的剂量</w:t>
      </w:r>
      <w:r w:rsidRPr="00721B78">
        <w:rPr>
          <w:rFonts w:ascii="Times New Roman" w:eastAsiaTheme="minorEastAsia" w:hAnsi="Times New Roman"/>
          <w:kern w:val="2"/>
          <w:sz w:val="28"/>
          <w:szCs w:val="28"/>
        </w:rPr>
        <w:t>-</w:t>
      </w:r>
      <w:r w:rsidRPr="00721B78">
        <w:rPr>
          <w:rFonts w:ascii="Times New Roman" w:eastAsiaTheme="minorEastAsia" w:hAnsi="Times New Roman"/>
          <w:kern w:val="2"/>
          <w:sz w:val="28"/>
          <w:szCs w:val="28"/>
        </w:rPr>
        <w:t>效应分析。对于非致癌效应，一般选择参考浓度或参考剂量；对于致癌效应，一般选择致癌斜率系数或单位风险度。非致癌效应毒性参数和致癌效应毒性参数推导的方法选择原则按照</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中规定的原则执行。本文件进一步指出了所需获得的致癌效应和非致癌效应分析应当得到的参数指标，方便风险评估人员开展评估工作。</w:t>
      </w:r>
    </w:p>
    <w:p w:rsidR="00913A67"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lastRenderedPageBreak/>
        <w:t>4.</w:t>
      </w:r>
      <w:r w:rsidR="00913A67" w:rsidRPr="002D35B8">
        <w:rPr>
          <w:rFonts w:ascii="宋体" w:hAnsi="宋体" w:hint="eastAsia"/>
          <w:b/>
          <w:bCs/>
          <w:sz w:val="28"/>
          <w:szCs w:val="28"/>
        </w:rPr>
        <w:t>确定毒性评估结果</w:t>
      </w:r>
    </w:p>
    <w:p w:rsidR="0081724A" w:rsidRPr="00721B78" w:rsidRDefault="00913A67"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为确保毒性评估结果的适用性、可溯性、合理性，方便后续工作的进一步进行，本文件在</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的基础上</w:t>
      </w:r>
      <w:r w:rsidR="0001470C" w:rsidRPr="00721B78">
        <w:rPr>
          <w:rFonts w:ascii="Times New Roman" w:eastAsiaTheme="minorEastAsia" w:hAnsi="Times New Roman"/>
          <w:kern w:val="2"/>
          <w:sz w:val="28"/>
          <w:szCs w:val="28"/>
        </w:rPr>
        <w:t>，按照</w:t>
      </w:r>
      <w:r w:rsidR="0001470C" w:rsidRPr="00721B78">
        <w:rPr>
          <w:rFonts w:ascii="Times New Roman" w:eastAsiaTheme="minorEastAsia" w:hAnsi="Times New Roman"/>
          <w:kern w:val="2"/>
          <w:sz w:val="28"/>
          <w:szCs w:val="28"/>
        </w:rPr>
        <w:t>HJ 1111</w:t>
      </w:r>
      <w:r w:rsidR="0001470C" w:rsidRPr="00721B78">
        <w:rPr>
          <w:rFonts w:ascii="Times New Roman" w:eastAsiaTheme="minorEastAsia" w:hAnsi="Times New Roman"/>
          <w:kern w:val="2"/>
          <w:sz w:val="28"/>
          <w:szCs w:val="28"/>
        </w:rPr>
        <w:t>的相关原则</w:t>
      </w:r>
      <w:r w:rsidRPr="00721B78">
        <w:rPr>
          <w:rFonts w:ascii="Times New Roman" w:eastAsiaTheme="minorEastAsia" w:hAnsi="Times New Roman"/>
          <w:kern w:val="2"/>
          <w:sz w:val="28"/>
          <w:szCs w:val="28"/>
        </w:rPr>
        <w:t>进一步针对性的提出了毒性评估结果呈现的要求。</w:t>
      </w:r>
    </w:p>
    <w:p w:rsidR="002C1D1E"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32" w:name="_Toc119660586"/>
      <w:r w:rsidRPr="002D35B8">
        <w:rPr>
          <w:rFonts w:hint="eastAsia"/>
          <w:b/>
          <w:bCs/>
          <w:kern w:val="2"/>
          <w:sz w:val="28"/>
          <w:szCs w:val="28"/>
        </w:rPr>
        <w:t>（十）</w:t>
      </w:r>
      <w:r w:rsidR="002C1D1E" w:rsidRPr="002D35B8">
        <w:rPr>
          <w:rFonts w:hint="eastAsia"/>
          <w:b/>
          <w:bCs/>
          <w:kern w:val="2"/>
          <w:sz w:val="28"/>
          <w:szCs w:val="28"/>
        </w:rPr>
        <w:t>暴露评估技术要求</w:t>
      </w:r>
      <w:bookmarkEnd w:id="32"/>
    </w:p>
    <w:p w:rsidR="002C1D1E" w:rsidRPr="00721B78" w:rsidRDefault="00D155A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暴露评估是风险评估的重要组成部分，它描述了人体或人群如何接触关注的污染物。暴露评估的关键是对潜在的易感人群、高暴露人群以及生命阶段等进行充分的考虑。人群对目标污染物的暴露主要通过暴露途径、暴露路径、暴露频率、持续时间、暴露人群以及生命阶段等特征进行定量表征。因此，确定暴露情景、建立暴露模型，是暴露评估的核心，应明确目标环境因素及其来源、暴露路径、暴露途径、暴露受体、评估终点等条件和假设，并对这些条件和假设的合理性和完整性进行评价。</w:t>
      </w:r>
    </w:p>
    <w:p w:rsidR="00D155A0" w:rsidRPr="00721B78" w:rsidRDefault="00D155A0"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因此本文件</w:t>
      </w:r>
      <w:r w:rsidR="00651FAB" w:rsidRPr="00721B78">
        <w:rPr>
          <w:rFonts w:ascii="Times New Roman" w:eastAsiaTheme="minorEastAsia" w:hAnsi="Times New Roman"/>
          <w:kern w:val="2"/>
          <w:sz w:val="28"/>
          <w:szCs w:val="28"/>
        </w:rPr>
        <w:t>在</w:t>
      </w:r>
      <w:r w:rsidR="00651FAB" w:rsidRPr="00721B78">
        <w:rPr>
          <w:rFonts w:ascii="Times New Roman" w:eastAsiaTheme="minorEastAsia" w:hAnsi="Times New Roman"/>
          <w:kern w:val="2"/>
          <w:sz w:val="28"/>
          <w:szCs w:val="28"/>
        </w:rPr>
        <w:t>HJ 1111</w:t>
      </w:r>
      <w:r w:rsidR="00651FAB" w:rsidRPr="00721B78">
        <w:rPr>
          <w:rFonts w:ascii="Times New Roman" w:eastAsiaTheme="minorEastAsia" w:hAnsi="Times New Roman"/>
          <w:kern w:val="2"/>
          <w:sz w:val="28"/>
          <w:szCs w:val="28"/>
        </w:rPr>
        <w:t>和</w:t>
      </w:r>
      <w:r w:rsidR="00651FAB" w:rsidRPr="00721B78">
        <w:rPr>
          <w:rFonts w:ascii="Times New Roman" w:eastAsiaTheme="minorEastAsia" w:hAnsi="Times New Roman"/>
          <w:kern w:val="2"/>
          <w:sz w:val="28"/>
          <w:szCs w:val="28"/>
        </w:rPr>
        <w:t>HJ 25.3</w:t>
      </w:r>
      <w:r w:rsidR="00651FAB" w:rsidRPr="00721B78">
        <w:rPr>
          <w:rFonts w:ascii="Times New Roman" w:eastAsiaTheme="minorEastAsia" w:hAnsi="Times New Roman"/>
          <w:kern w:val="2"/>
          <w:sz w:val="28"/>
          <w:szCs w:val="28"/>
        </w:rPr>
        <w:t>基础上，</w:t>
      </w:r>
      <w:r w:rsidRPr="00721B78">
        <w:rPr>
          <w:rFonts w:ascii="Times New Roman" w:eastAsiaTheme="minorEastAsia" w:hAnsi="Times New Roman"/>
          <w:kern w:val="2"/>
          <w:sz w:val="28"/>
          <w:szCs w:val="28"/>
        </w:rPr>
        <w:t>针对</w:t>
      </w:r>
      <w:r w:rsidR="00651FAB" w:rsidRPr="00721B78">
        <w:rPr>
          <w:rFonts w:ascii="Times New Roman" w:eastAsiaTheme="minorEastAsia" w:hAnsi="Times New Roman"/>
          <w:kern w:val="2"/>
          <w:sz w:val="28"/>
          <w:szCs w:val="28"/>
        </w:rPr>
        <w:t>暴露评估的工作流程、情景分析、暴露途径定量评估和参数的确定进行了进一步的补充说明。</w:t>
      </w:r>
    </w:p>
    <w:p w:rsidR="00651FAB"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1.</w:t>
      </w:r>
      <w:r w:rsidR="00651FAB" w:rsidRPr="002D35B8">
        <w:rPr>
          <w:rFonts w:ascii="宋体" w:hAnsi="宋体" w:hint="eastAsia"/>
          <w:b/>
          <w:bCs/>
          <w:sz w:val="28"/>
          <w:szCs w:val="28"/>
        </w:rPr>
        <w:t>暴露评估的工作程序</w:t>
      </w:r>
    </w:p>
    <w:p w:rsidR="00D97236" w:rsidRPr="00721B78" w:rsidRDefault="001A2CA7"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的基础上，本文件对暴露评估做了适当的调整</w:t>
      </w:r>
      <w:r w:rsidR="00C71132" w:rsidRPr="00721B78">
        <w:rPr>
          <w:rFonts w:ascii="Times New Roman" w:eastAsiaTheme="minorEastAsia" w:hAnsi="Times New Roman"/>
          <w:kern w:val="2"/>
          <w:sz w:val="28"/>
          <w:szCs w:val="28"/>
        </w:rPr>
        <w:t>和简化</w:t>
      </w:r>
      <w:r w:rsidRPr="00721B78">
        <w:rPr>
          <w:rFonts w:ascii="Times New Roman" w:eastAsiaTheme="minorEastAsia" w:hAnsi="Times New Roman"/>
          <w:kern w:val="2"/>
          <w:sz w:val="28"/>
          <w:szCs w:val="28"/>
        </w:rPr>
        <w:t>，以符合村镇社区环境的管理的需求</w:t>
      </w:r>
      <w:r w:rsidR="00AE268E" w:rsidRPr="00721B78">
        <w:rPr>
          <w:rFonts w:ascii="Times New Roman" w:eastAsiaTheme="minorEastAsia" w:hAnsi="Times New Roman"/>
          <w:kern w:val="2"/>
          <w:sz w:val="28"/>
          <w:szCs w:val="28"/>
        </w:rPr>
        <w:t>，明确指出了情景分析与现场调查，模型预测和人群暴露参数调查间的差异和适用情况。</w:t>
      </w:r>
    </w:p>
    <w:p w:rsidR="00D97236"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2.</w:t>
      </w:r>
      <w:r w:rsidR="00D97236" w:rsidRPr="002D35B8">
        <w:rPr>
          <w:rFonts w:ascii="宋体" w:hAnsi="宋体" w:hint="eastAsia"/>
          <w:b/>
          <w:bCs/>
          <w:sz w:val="28"/>
          <w:szCs w:val="28"/>
        </w:rPr>
        <w:t>村镇暴露情景分析</w:t>
      </w:r>
    </w:p>
    <w:p w:rsidR="00F9257C" w:rsidRPr="00721B78" w:rsidRDefault="00707E1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lastRenderedPageBreak/>
        <w:t>在</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的要求基础上，为增加本文件在村镇地区的可操作性。基于迁移工作成果，本文件直接针对性的给出了村镇地区的一般暴露情景，包括生活和生产场景下的暴露途径，并同时给出了针对村镇土地利用类型不同，应当考虑的主要暴露途径。</w:t>
      </w:r>
      <w:r w:rsidR="00F9257C" w:rsidRPr="00721B78">
        <w:rPr>
          <w:rFonts w:ascii="Times New Roman" w:eastAsiaTheme="minorEastAsia" w:hAnsi="Times New Roman"/>
          <w:kern w:val="2"/>
          <w:sz w:val="28"/>
          <w:szCs w:val="28"/>
        </w:rPr>
        <w:t>除</w:t>
      </w:r>
      <w:r w:rsidR="00F9257C" w:rsidRPr="00721B78">
        <w:rPr>
          <w:rFonts w:ascii="Times New Roman" w:eastAsiaTheme="minorEastAsia" w:hAnsi="Times New Roman"/>
          <w:kern w:val="2"/>
          <w:sz w:val="28"/>
          <w:szCs w:val="28"/>
        </w:rPr>
        <w:t>HJ 25.3</w:t>
      </w:r>
      <w:r w:rsidR="00F9257C" w:rsidRPr="00721B78">
        <w:rPr>
          <w:rFonts w:ascii="Times New Roman" w:eastAsiaTheme="minorEastAsia" w:hAnsi="Times New Roman"/>
          <w:kern w:val="2"/>
          <w:sz w:val="28"/>
          <w:szCs w:val="28"/>
        </w:rPr>
        <w:t>中规定的</w:t>
      </w:r>
      <w:r w:rsidR="00F9257C" w:rsidRPr="00721B78">
        <w:rPr>
          <w:rFonts w:ascii="Times New Roman" w:eastAsiaTheme="minorEastAsia" w:hAnsi="Times New Roman"/>
          <w:kern w:val="2"/>
          <w:sz w:val="28"/>
          <w:szCs w:val="28"/>
        </w:rPr>
        <w:t>9</w:t>
      </w:r>
      <w:r w:rsidR="00F9257C" w:rsidRPr="00721B78">
        <w:rPr>
          <w:rFonts w:ascii="Times New Roman" w:eastAsiaTheme="minorEastAsia" w:hAnsi="Times New Roman"/>
          <w:kern w:val="2"/>
          <w:sz w:val="28"/>
          <w:szCs w:val="28"/>
        </w:rPr>
        <w:t>种暴露途径外，还增加人群通过摄入作物、水产品、畜禽养殖产品等产生的污染物暴露。</w:t>
      </w:r>
    </w:p>
    <w:p w:rsidR="00F9257C"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3.</w:t>
      </w:r>
      <w:r w:rsidR="00F9257C" w:rsidRPr="002D35B8">
        <w:rPr>
          <w:rFonts w:ascii="宋体" w:hAnsi="宋体" w:hint="eastAsia"/>
          <w:b/>
          <w:bCs/>
          <w:sz w:val="28"/>
          <w:szCs w:val="28"/>
        </w:rPr>
        <w:t>暴露途径定量分析</w:t>
      </w:r>
    </w:p>
    <w:p w:rsidR="00F9257C" w:rsidRPr="00721B78" w:rsidRDefault="00A31F8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文件中给出的定量计算方法上，本文件对现有方法进行了分类总结，着重强调了经口、经皮肤接触以及经呼吸道产生的三类主要直接暴露途径，并提供了对应的计算方法，具体操作应当参照</w:t>
      </w:r>
      <w:r w:rsidRPr="00721B78">
        <w:rPr>
          <w:rFonts w:ascii="Times New Roman" w:eastAsiaTheme="minorEastAsia" w:hAnsi="Times New Roman"/>
          <w:kern w:val="2"/>
          <w:sz w:val="28"/>
          <w:szCs w:val="28"/>
        </w:rPr>
        <w:t>HJ 875</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中的技术流程，分别对不同类型的暴露途径进行计算，但最终均可汇总成经口、经皮肤、经呼吸道三大人体暴露途径。</w:t>
      </w:r>
    </w:p>
    <w:p w:rsidR="00A966A4" w:rsidRPr="00721B78" w:rsidRDefault="00A31F8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在此基础上，基于</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的要求，本文件中着重</w:t>
      </w:r>
      <w:r w:rsidR="001A67F8" w:rsidRPr="00721B78">
        <w:rPr>
          <w:rFonts w:ascii="Times New Roman" w:eastAsiaTheme="minorEastAsia" w:hAnsi="Times New Roman"/>
          <w:kern w:val="2"/>
          <w:sz w:val="28"/>
          <w:szCs w:val="28"/>
        </w:rPr>
        <w:t>提供</w:t>
      </w:r>
      <w:r w:rsidRPr="00721B78">
        <w:rPr>
          <w:rFonts w:ascii="Times New Roman" w:eastAsiaTheme="minorEastAsia" w:hAnsi="Times New Roman"/>
          <w:kern w:val="2"/>
          <w:sz w:val="28"/>
          <w:szCs w:val="28"/>
        </w:rPr>
        <w:t>了</w:t>
      </w:r>
      <w:r w:rsidR="001A67F8" w:rsidRPr="00721B78">
        <w:rPr>
          <w:rFonts w:ascii="Times New Roman" w:eastAsiaTheme="minorEastAsia" w:hAnsi="Times New Roman"/>
          <w:kern w:val="2"/>
          <w:sz w:val="28"/>
          <w:szCs w:val="28"/>
        </w:rPr>
        <w:t>经过食物链累积，通过自用农产品途径到达人体的暴露情况的计算方法。</w:t>
      </w:r>
      <w:r w:rsidR="00BA6079" w:rsidRPr="00721B78">
        <w:rPr>
          <w:rFonts w:ascii="Times New Roman" w:eastAsiaTheme="minorEastAsia" w:hAnsi="Times New Roman"/>
          <w:kern w:val="2"/>
          <w:sz w:val="28"/>
          <w:szCs w:val="28"/>
        </w:rPr>
        <w:t>基于前期项目考察工作，发现自用农产品的食物链暴露是村镇人群重要的暴露途径，但</w:t>
      </w:r>
      <w:r w:rsidR="00A97735">
        <w:rPr>
          <w:rFonts w:ascii="Times New Roman" w:eastAsiaTheme="minorEastAsia" w:hAnsi="Times New Roman" w:hint="eastAsia"/>
          <w:kern w:val="2"/>
          <w:sz w:val="28"/>
          <w:szCs w:val="28"/>
        </w:rPr>
        <w:t>国内</w:t>
      </w:r>
      <w:r w:rsidR="00BA6079" w:rsidRPr="00721B78">
        <w:rPr>
          <w:rFonts w:ascii="Times New Roman" w:eastAsiaTheme="minorEastAsia" w:hAnsi="Times New Roman"/>
          <w:kern w:val="2"/>
          <w:sz w:val="28"/>
          <w:szCs w:val="28"/>
        </w:rPr>
        <w:t>相关文件中并未给出明确的计算方法。</w:t>
      </w:r>
      <w:r w:rsidR="003935AE" w:rsidRPr="00721B78">
        <w:rPr>
          <w:rFonts w:ascii="Times New Roman" w:eastAsiaTheme="minorEastAsia" w:hAnsi="Times New Roman"/>
          <w:kern w:val="2"/>
          <w:sz w:val="28"/>
          <w:szCs w:val="28"/>
        </w:rPr>
        <w:t>因此本文件参考了美国环保总局、欧盟化学品管理委员会等发布的相关文件，提供了农产品等从土壤、水体中富集污染物的计算方法。</w:t>
      </w:r>
      <w:r w:rsidR="00A966A4" w:rsidRPr="00721B78">
        <w:rPr>
          <w:rFonts w:ascii="Times New Roman" w:eastAsiaTheme="minorEastAsia" w:hAnsi="Times New Roman"/>
          <w:kern w:val="2"/>
          <w:sz w:val="28"/>
          <w:szCs w:val="28"/>
        </w:rPr>
        <w:t>在此基础上，可参照</w:t>
      </w:r>
      <w:r w:rsidR="00A966A4" w:rsidRPr="00721B78">
        <w:rPr>
          <w:rFonts w:ascii="Times New Roman" w:eastAsiaTheme="minorEastAsia" w:hAnsi="Times New Roman"/>
          <w:kern w:val="2"/>
          <w:sz w:val="28"/>
          <w:szCs w:val="28"/>
        </w:rPr>
        <w:t>HJ 1111</w:t>
      </w:r>
      <w:r w:rsidR="00A966A4" w:rsidRPr="00721B78">
        <w:rPr>
          <w:rFonts w:ascii="Times New Roman" w:eastAsiaTheme="minorEastAsia" w:hAnsi="Times New Roman"/>
          <w:kern w:val="2"/>
          <w:sz w:val="28"/>
          <w:szCs w:val="28"/>
        </w:rPr>
        <w:t>中的相关规定估算最终污染物经过食物链经口暴露于人体的暴露量。</w:t>
      </w:r>
    </w:p>
    <w:p w:rsidR="00A966A4"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4.</w:t>
      </w:r>
      <w:r w:rsidR="00A966A4" w:rsidRPr="002D35B8">
        <w:rPr>
          <w:rFonts w:ascii="宋体" w:hAnsi="宋体" w:hint="eastAsia"/>
          <w:b/>
          <w:bCs/>
          <w:sz w:val="28"/>
          <w:szCs w:val="28"/>
        </w:rPr>
        <w:t>暴露参数的确定</w:t>
      </w:r>
    </w:p>
    <w:p w:rsidR="00907A26" w:rsidRPr="00721B78" w:rsidRDefault="00A966A4"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lastRenderedPageBreak/>
        <w:t>暴露参数的确定主要</w:t>
      </w:r>
      <w:r w:rsidR="004F1741" w:rsidRPr="00721B78">
        <w:rPr>
          <w:rFonts w:ascii="Times New Roman" w:eastAsiaTheme="minorEastAsia" w:hAnsi="Times New Roman"/>
          <w:kern w:val="2"/>
          <w:sz w:val="28"/>
          <w:szCs w:val="28"/>
        </w:rPr>
        <w:t>参照</w:t>
      </w:r>
      <w:r w:rsidR="004F1741" w:rsidRPr="00721B78">
        <w:rPr>
          <w:rFonts w:ascii="Times New Roman" w:eastAsiaTheme="minorEastAsia" w:hAnsi="Times New Roman"/>
          <w:kern w:val="2"/>
          <w:sz w:val="28"/>
          <w:szCs w:val="28"/>
        </w:rPr>
        <w:t>HJ 1111</w:t>
      </w:r>
      <w:r w:rsidR="004F1741" w:rsidRPr="00721B78">
        <w:rPr>
          <w:rFonts w:ascii="Times New Roman" w:eastAsiaTheme="minorEastAsia" w:hAnsi="Times New Roman"/>
          <w:kern w:val="2"/>
          <w:sz w:val="28"/>
          <w:szCs w:val="28"/>
        </w:rPr>
        <w:t>中的相关规定，按照一系列相关标准中推荐的方法进行，因此在本文件中仅给出了对应的参考信息以及不同情形下的工作流程和数据选择。</w:t>
      </w:r>
    </w:p>
    <w:p w:rsidR="00907A26"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33" w:name="_Toc119660587"/>
      <w:r w:rsidRPr="002D35B8">
        <w:rPr>
          <w:rFonts w:hint="eastAsia"/>
          <w:b/>
          <w:bCs/>
          <w:kern w:val="2"/>
          <w:sz w:val="28"/>
          <w:szCs w:val="28"/>
        </w:rPr>
        <w:t>（十一）</w:t>
      </w:r>
      <w:r w:rsidR="00907A26" w:rsidRPr="002D35B8">
        <w:rPr>
          <w:rFonts w:hint="eastAsia"/>
          <w:b/>
          <w:bCs/>
          <w:kern w:val="2"/>
          <w:sz w:val="28"/>
          <w:szCs w:val="28"/>
        </w:rPr>
        <w:t>风险表征技术要求</w:t>
      </w:r>
      <w:bookmarkEnd w:id="33"/>
    </w:p>
    <w:p w:rsidR="003E03F2" w:rsidRPr="00721B78" w:rsidRDefault="00A57D9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风险表征是风险评估的最后一步，</w:t>
      </w:r>
      <w:r w:rsidR="004879CF" w:rsidRPr="00721B78">
        <w:rPr>
          <w:rFonts w:ascii="Times New Roman" w:eastAsiaTheme="minorEastAsia" w:hAnsi="Times New Roman"/>
          <w:kern w:val="2"/>
          <w:sz w:val="28"/>
          <w:szCs w:val="28"/>
        </w:rPr>
        <w:t>是基于危害识别、毒性评估、暴露评估结果，综合分析并给出相应结论，为风险管理提供科学指导的基础。在《总纲》中，风险表征</w:t>
      </w:r>
      <w:r w:rsidR="007E1391" w:rsidRPr="00721B78">
        <w:rPr>
          <w:rFonts w:ascii="Times New Roman" w:eastAsiaTheme="minorEastAsia" w:hAnsi="Times New Roman"/>
          <w:kern w:val="2"/>
          <w:sz w:val="28"/>
          <w:szCs w:val="28"/>
        </w:rPr>
        <w:t>主要包含了信息汇总、风险估计、敏感性和不确定性分析、形成结论</w:t>
      </w:r>
      <w:r w:rsidR="007E1391" w:rsidRPr="00721B78">
        <w:rPr>
          <w:rFonts w:ascii="Times New Roman" w:eastAsiaTheme="minorEastAsia" w:hAnsi="Times New Roman"/>
          <w:kern w:val="2"/>
          <w:sz w:val="28"/>
          <w:szCs w:val="28"/>
        </w:rPr>
        <w:t>5</w:t>
      </w:r>
      <w:r w:rsidR="007E1391" w:rsidRPr="00721B78">
        <w:rPr>
          <w:rFonts w:ascii="Times New Roman" w:eastAsiaTheme="minorEastAsia" w:hAnsi="Times New Roman"/>
          <w:kern w:val="2"/>
          <w:sz w:val="28"/>
          <w:szCs w:val="28"/>
        </w:rPr>
        <w:t>个部分，同时要求</w:t>
      </w:r>
      <w:r w:rsidRPr="00721B78">
        <w:rPr>
          <w:rFonts w:ascii="Times New Roman" w:eastAsiaTheme="minorEastAsia" w:hAnsi="Times New Roman"/>
          <w:kern w:val="2"/>
          <w:sz w:val="28"/>
          <w:szCs w:val="28"/>
        </w:rPr>
        <w:t>遵循风险表征的透明性、清晰性、一致性和合理性的原则，定量、定性地描述健康风险，以评估各种暴露情况下可能对人体健康产生的危害性，并最终提出具有指导性的完整结论，为政策的制定提供可靠科学依据。</w:t>
      </w:r>
      <w:r w:rsidR="00E3751F" w:rsidRPr="00721B78">
        <w:rPr>
          <w:rFonts w:ascii="Times New Roman" w:eastAsiaTheme="minorEastAsia" w:hAnsi="Times New Roman"/>
          <w:kern w:val="2"/>
          <w:sz w:val="28"/>
          <w:szCs w:val="28"/>
        </w:rPr>
        <w:t>因此本文件中规定了风险表征的一般性规范、致癌和非致癌效应的分析方法、不确定性分析以及风险等级划分的技术要求。</w:t>
      </w:r>
    </w:p>
    <w:p w:rsidR="003E03F2" w:rsidRPr="002D35B8" w:rsidRDefault="0044664C"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1.</w:t>
      </w:r>
      <w:r w:rsidR="003E03F2" w:rsidRPr="002D35B8">
        <w:rPr>
          <w:rFonts w:ascii="宋体" w:hAnsi="宋体" w:hint="eastAsia"/>
          <w:b/>
          <w:bCs/>
          <w:sz w:val="28"/>
          <w:szCs w:val="28"/>
        </w:rPr>
        <w:t>一般性规范</w:t>
      </w:r>
      <w:r w:rsidR="00CF1ABE" w:rsidRPr="002D35B8">
        <w:rPr>
          <w:rFonts w:ascii="宋体" w:hAnsi="宋体" w:hint="eastAsia"/>
          <w:b/>
          <w:bCs/>
          <w:sz w:val="28"/>
          <w:szCs w:val="28"/>
        </w:rPr>
        <w:t>和计算方法</w:t>
      </w:r>
    </w:p>
    <w:p w:rsidR="00561688" w:rsidRPr="00721B78" w:rsidRDefault="00834153"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一般</w:t>
      </w:r>
      <w:r w:rsidR="00593306">
        <w:rPr>
          <w:rFonts w:ascii="Times New Roman" w:eastAsiaTheme="minorEastAsia" w:hAnsi="Times New Roman" w:hint="eastAsia"/>
          <w:kern w:val="2"/>
          <w:sz w:val="28"/>
          <w:szCs w:val="28"/>
        </w:rPr>
        <w:t>性</w:t>
      </w:r>
      <w:r w:rsidRPr="00721B78">
        <w:rPr>
          <w:rFonts w:ascii="Times New Roman" w:eastAsiaTheme="minorEastAsia" w:hAnsi="Times New Roman"/>
          <w:kern w:val="2"/>
          <w:sz w:val="28"/>
          <w:szCs w:val="28"/>
        </w:rPr>
        <w:t>规范中明确指出了对致癌和非致癌效应的风险表征的区别。</w:t>
      </w:r>
      <w:r w:rsidR="00561688" w:rsidRPr="00721B78">
        <w:rPr>
          <w:rFonts w:ascii="Times New Roman" w:eastAsiaTheme="minorEastAsia" w:hAnsi="Times New Roman"/>
          <w:kern w:val="2"/>
          <w:sz w:val="28"/>
          <w:szCs w:val="28"/>
        </w:rPr>
        <w:t>对于致癌效应使用致癌风险表征，即根据暴露水平数据和剂量</w:t>
      </w:r>
      <w:r w:rsidR="00561688" w:rsidRPr="00721B78">
        <w:rPr>
          <w:rFonts w:ascii="Times New Roman" w:eastAsiaTheme="minorEastAsia" w:hAnsi="Times New Roman"/>
          <w:kern w:val="2"/>
          <w:sz w:val="28"/>
          <w:szCs w:val="28"/>
        </w:rPr>
        <w:t>-</w:t>
      </w:r>
      <w:r w:rsidR="00561688" w:rsidRPr="00721B78">
        <w:rPr>
          <w:rFonts w:ascii="Times New Roman" w:eastAsiaTheme="minorEastAsia" w:hAnsi="Times New Roman"/>
          <w:kern w:val="2"/>
          <w:sz w:val="28"/>
          <w:szCs w:val="28"/>
        </w:rPr>
        <w:t>效应关系估算污染物暴露对个体或群体终生所产生的致癌概率；非致癌效应使用商值法以危害商表征，即将暴露量与参考剂量或参考浓度进行比较，得出危害商。</w:t>
      </w:r>
    </w:p>
    <w:p w:rsidR="003E03F2" w:rsidRDefault="00561688"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同时考虑到村镇社区污染分布的异质性，强调了对数据分布特征的考察，应根据每个采样点样品中关注污染物的检测数据，通过计算污染物的致癌风险和危害商进行风险表征。如某一地块内关注污染物</w:t>
      </w:r>
      <w:r w:rsidRPr="00721B78">
        <w:rPr>
          <w:rFonts w:ascii="Times New Roman" w:eastAsiaTheme="minorEastAsia" w:hAnsi="Times New Roman"/>
          <w:kern w:val="2"/>
          <w:sz w:val="28"/>
          <w:szCs w:val="28"/>
        </w:rPr>
        <w:lastRenderedPageBreak/>
        <w:t>的检测数据呈正态分布，可根据检测数据的平均值、平均值置信区间上限值或最大值计算致癌风险和危害商。</w:t>
      </w:r>
    </w:p>
    <w:p w:rsidR="00593306" w:rsidRPr="002D35B8" w:rsidRDefault="00DD7C3D" w:rsidP="002D35B8">
      <w:pPr>
        <w:spacing w:line="360" w:lineRule="auto"/>
        <w:ind w:firstLineChars="200" w:firstLine="562"/>
        <w:outlineLvl w:val="3"/>
        <w:rPr>
          <w:sz w:val="28"/>
          <w:szCs w:val="28"/>
        </w:rPr>
      </w:pPr>
      <w:r w:rsidRPr="002D35B8">
        <w:rPr>
          <w:rFonts w:ascii="宋体" w:hAnsi="宋体"/>
          <w:b/>
          <w:bCs/>
          <w:sz w:val="28"/>
          <w:szCs w:val="28"/>
        </w:rPr>
        <w:t>2.</w:t>
      </w:r>
      <w:r w:rsidRPr="002D35B8">
        <w:rPr>
          <w:rFonts w:ascii="宋体" w:hAnsi="宋体" w:hint="eastAsia"/>
          <w:b/>
          <w:bCs/>
          <w:sz w:val="28"/>
          <w:szCs w:val="28"/>
        </w:rPr>
        <w:t>致癌</w:t>
      </w:r>
      <w:r w:rsidRPr="002D35B8">
        <w:rPr>
          <w:rFonts w:ascii="宋体" w:hAnsi="宋体"/>
          <w:b/>
          <w:bCs/>
          <w:sz w:val="28"/>
          <w:szCs w:val="28"/>
        </w:rPr>
        <w:t>风险</w:t>
      </w:r>
      <w:r w:rsidRPr="002D35B8">
        <w:rPr>
          <w:rFonts w:ascii="宋体" w:hAnsi="宋体" w:hint="eastAsia"/>
          <w:b/>
          <w:bCs/>
          <w:sz w:val="28"/>
          <w:szCs w:val="28"/>
        </w:rPr>
        <w:t>分析</w:t>
      </w:r>
    </w:p>
    <w:p w:rsidR="00CF1ABE" w:rsidRDefault="00CF1ABE"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本文件中使用的</w:t>
      </w:r>
      <w:r w:rsidR="00DD7C3D">
        <w:rPr>
          <w:rFonts w:ascii="Times New Roman" w:eastAsiaTheme="minorEastAsia" w:hAnsi="Times New Roman" w:hint="eastAsia"/>
          <w:kern w:val="2"/>
          <w:sz w:val="28"/>
          <w:szCs w:val="28"/>
        </w:rPr>
        <w:t>致癌</w:t>
      </w:r>
      <w:r w:rsidRPr="00721B78">
        <w:rPr>
          <w:rFonts w:ascii="Times New Roman" w:eastAsiaTheme="minorEastAsia" w:hAnsi="Times New Roman"/>
          <w:kern w:val="2"/>
          <w:sz w:val="28"/>
          <w:szCs w:val="28"/>
        </w:rPr>
        <w:t>风险分析方法引用</w:t>
      </w:r>
      <w:r w:rsidR="00DD731F" w:rsidRPr="00DD731F">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标准文件中的相关规定。</w:t>
      </w:r>
    </w:p>
    <w:p w:rsidR="00593306" w:rsidRPr="002D35B8" w:rsidRDefault="00593306" w:rsidP="00593306">
      <w:pPr>
        <w:spacing w:line="360" w:lineRule="auto"/>
        <w:ind w:firstLineChars="200" w:firstLine="562"/>
        <w:outlineLvl w:val="3"/>
        <w:rPr>
          <w:rFonts w:ascii="宋体" w:hAnsi="宋体"/>
          <w:b/>
          <w:bCs/>
          <w:sz w:val="28"/>
          <w:szCs w:val="28"/>
        </w:rPr>
      </w:pPr>
      <w:r w:rsidRPr="002D35B8">
        <w:rPr>
          <w:rFonts w:ascii="宋体" w:hAnsi="宋体"/>
          <w:b/>
          <w:bCs/>
          <w:sz w:val="28"/>
          <w:szCs w:val="28"/>
        </w:rPr>
        <w:t>3.</w:t>
      </w:r>
      <w:r w:rsidRPr="002D35B8">
        <w:rPr>
          <w:rFonts w:ascii="宋体" w:hAnsi="宋体" w:hint="eastAsia"/>
          <w:b/>
          <w:bCs/>
          <w:sz w:val="28"/>
          <w:szCs w:val="28"/>
        </w:rPr>
        <w:t>非致癌风险分析</w:t>
      </w:r>
    </w:p>
    <w:p w:rsidR="00593306" w:rsidRPr="00593306" w:rsidRDefault="00593306" w:rsidP="00593306">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本文件中使用的</w:t>
      </w:r>
      <w:r w:rsidR="00DD7C3D">
        <w:rPr>
          <w:rFonts w:ascii="Times New Roman" w:eastAsiaTheme="minorEastAsia" w:hAnsi="Times New Roman" w:hint="eastAsia"/>
          <w:kern w:val="2"/>
          <w:sz w:val="28"/>
          <w:szCs w:val="28"/>
        </w:rPr>
        <w:t>非致癌</w:t>
      </w:r>
      <w:r w:rsidRPr="00721B78">
        <w:rPr>
          <w:rFonts w:ascii="Times New Roman" w:eastAsiaTheme="minorEastAsia" w:hAnsi="Times New Roman"/>
          <w:kern w:val="2"/>
          <w:sz w:val="28"/>
          <w:szCs w:val="28"/>
        </w:rPr>
        <w:t>风险分析方法引用</w:t>
      </w:r>
      <w:r w:rsidR="00DD731F" w:rsidRPr="00DD731F">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标准文件中的相关规定。</w:t>
      </w:r>
    </w:p>
    <w:p w:rsidR="00593306" w:rsidRPr="002D35B8" w:rsidRDefault="00593306" w:rsidP="00593306">
      <w:pPr>
        <w:spacing w:line="360" w:lineRule="auto"/>
        <w:ind w:firstLineChars="200" w:firstLine="562"/>
        <w:outlineLvl w:val="3"/>
        <w:rPr>
          <w:rFonts w:ascii="宋体" w:hAnsi="宋体"/>
          <w:b/>
          <w:bCs/>
          <w:sz w:val="28"/>
          <w:szCs w:val="28"/>
        </w:rPr>
      </w:pPr>
      <w:r w:rsidRPr="002D35B8">
        <w:rPr>
          <w:rFonts w:ascii="宋体" w:hAnsi="宋体"/>
          <w:b/>
          <w:bCs/>
          <w:sz w:val="28"/>
          <w:szCs w:val="28"/>
        </w:rPr>
        <w:t>4.</w:t>
      </w:r>
      <w:r w:rsidRPr="002D35B8">
        <w:rPr>
          <w:rFonts w:ascii="宋体" w:hAnsi="宋体" w:hint="eastAsia"/>
          <w:b/>
          <w:bCs/>
          <w:sz w:val="28"/>
          <w:szCs w:val="28"/>
        </w:rPr>
        <w:t>不确定性分析</w:t>
      </w:r>
    </w:p>
    <w:p w:rsidR="00593306" w:rsidRPr="00721B78" w:rsidRDefault="00593306"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本文件中不确定性分析引用</w:t>
      </w:r>
      <w:r w:rsidR="00BE2CBE" w:rsidRPr="002D35B8">
        <w:rPr>
          <w:rFonts w:ascii="Times New Roman" w:hAnsi="Times New Roman"/>
        </w:rPr>
        <w:t>GB/T 27921</w:t>
      </w:r>
      <w:r w:rsidR="00BE2CBE" w:rsidRPr="002D35B8">
        <w:rPr>
          <w:rFonts w:ascii="Times New Roman" w:hAnsi="Times New Roman" w:hint="eastAsia"/>
        </w:rPr>
        <w:t>、</w:t>
      </w:r>
      <w:r w:rsidR="00BE2CBE" w:rsidRPr="002D35B8">
        <w:rPr>
          <w:rFonts w:ascii="Times New Roman" w:hAnsi="Times New Roman"/>
        </w:rPr>
        <w:t>HJ 875</w:t>
      </w:r>
      <w:r w:rsidRPr="00721B78">
        <w:rPr>
          <w:rFonts w:ascii="Times New Roman" w:eastAsiaTheme="minorEastAsia" w:hAnsi="Times New Roman"/>
          <w:kern w:val="2"/>
          <w:sz w:val="28"/>
          <w:szCs w:val="28"/>
        </w:rPr>
        <w:t>标准文件中的相关规定。</w:t>
      </w:r>
    </w:p>
    <w:p w:rsidR="00752FF7" w:rsidRPr="002D35B8" w:rsidRDefault="00593306" w:rsidP="00080BD7">
      <w:pPr>
        <w:spacing w:line="360" w:lineRule="auto"/>
        <w:ind w:firstLineChars="200" w:firstLine="562"/>
        <w:outlineLvl w:val="3"/>
        <w:rPr>
          <w:rFonts w:ascii="宋体" w:hAnsi="宋体"/>
          <w:b/>
          <w:bCs/>
          <w:sz w:val="28"/>
          <w:szCs w:val="28"/>
        </w:rPr>
      </w:pPr>
      <w:r w:rsidRPr="002D35B8">
        <w:rPr>
          <w:rFonts w:ascii="宋体" w:hAnsi="宋体"/>
          <w:b/>
          <w:bCs/>
          <w:sz w:val="28"/>
          <w:szCs w:val="28"/>
        </w:rPr>
        <w:t>5</w:t>
      </w:r>
      <w:r w:rsidR="0044664C" w:rsidRPr="002D35B8">
        <w:rPr>
          <w:rFonts w:ascii="宋体" w:hAnsi="宋体"/>
          <w:b/>
          <w:bCs/>
          <w:sz w:val="28"/>
          <w:szCs w:val="28"/>
        </w:rPr>
        <w:t>.</w:t>
      </w:r>
      <w:r w:rsidR="00752FF7" w:rsidRPr="002D35B8">
        <w:rPr>
          <w:rFonts w:ascii="宋体" w:hAnsi="宋体" w:hint="eastAsia"/>
          <w:b/>
          <w:bCs/>
          <w:sz w:val="28"/>
          <w:szCs w:val="28"/>
        </w:rPr>
        <w:t>风险等级的划分</w:t>
      </w:r>
    </w:p>
    <w:p w:rsidR="00752FF7" w:rsidRPr="00721B78" w:rsidRDefault="004E063A"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致癌效应和非致癌效应在危害表征中存在很大差异，因此它们的风险表征方式也不相同，本文件参考了</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和</w:t>
      </w:r>
      <w:r w:rsidRPr="00721B78">
        <w:rPr>
          <w:rFonts w:ascii="Times New Roman" w:eastAsiaTheme="minorEastAsia" w:hAnsi="Times New Roman"/>
          <w:kern w:val="2"/>
          <w:sz w:val="28"/>
          <w:szCs w:val="28"/>
        </w:rPr>
        <w:t>HJ 25.3</w:t>
      </w:r>
      <w:r w:rsidRPr="00721B78">
        <w:rPr>
          <w:rFonts w:ascii="Times New Roman" w:eastAsiaTheme="minorEastAsia" w:hAnsi="Times New Roman"/>
          <w:kern w:val="2"/>
          <w:sz w:val="28"/>
          <w:szCs w:val="28"/>
        </w:rPr>
        <w:t>中的方式，对致癌和非致癌风险等级的划分采取不同的参考值。</w:t>
      </w:r>
    </w:p>
    <w:p w:rsidR="00FB233C" w:rsidRPr="00721B78" w:rsidRDefault="00A22B23"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致癌风险通常被认为是无阈值的（即极低剂量也存在致癌风险），致癌风险所表征的是当终生暴露于一定浓度的污染物中，经过预测得到的患癌症的概率。因为低剂量下的风险和反应很难测量，往往通过高剂量下的动物实验结果配合斜率因子来推断对人类的致癌风险。致癌风险</w:t>
      </w:r>
      <w:r w:rsidR="00E3050E" w:rsidRPr="00721B78">
        <w:rPr>
          <w:rFonts w:ascii="Times New Roman" w:eastAsiaTheme="minorEastAsia" w:hAnsi="Times New Roman"/>
          <w:kern w:val="2"/>
          <w:sz w:val="28"/>
          <w:szCs w:val="28"/>
        </w:rPr>
        <w:t>表征的是人群受到污染影响患癌症的概率，即</w:t>
      </w:r>
      <w:r w:rsidRPr="00721B78">
        <w:rPr>
          <w:rFonts w:ascii="Times New Roman" w:eastAsiaTheme="minorEastAsia" w:hAnsi="Times New Roman"/>
          <w:kern w:val="2"/>
          <w:sz w:val="28"/>
          <w:szCs w:val="28"/>
        </w:rPr>
        <w:t>风险是</w:t>
      </w:r>
      <w:r w:rsidRPr="00721B78">
        <w:rPr>
          <w:rFonts w:ascii="Times New Roman" w:eastAsiaTheme="minorEastAsia" w:hAnsi="Times New Roman"/>
          <w:kern w:val="2"/>
          <w:sz w:val="28"/>
          <w:szCs w:val="28"/>
        </w:rPr>
        <w:t xml:space="preserve"> 1×10</w:t>
      </w:r>
      <w:r w:rsidRPr="00721B78">
        <w:rPr>
          <w:rFonts w:ascii="Times New Roman" w:eastAsiaTheme="minorEastAsia" w:hAnsi="Times New Roman"/>
          <w:kern w:val="2"/>
          <w:sz w:val="28"/>
          <w:szCs w:val="28"/>
          <w:vertAlign w:val="superscript"/>
        </w:rPr>
        <w:t>-6</w:t>
      </w:r>
      <w:r w:rsidRPr="00721B78">
        <w:rPr>
          <w:rFonts w:ascii="Times New Roman" w:eastAsiaTheme="minorEastAsia" w:hAnsi="Times New Roman"/>
          <w:kern w:val="2"/>
          <w:sz w:val="28"/>
          <w:szCs w:val="28"/>
        </w:rPr>
        <w:t>，那么</w:t>
      </w:r>
      <w:r w:rsidR="00E3050E" w:rsidRPr="00721B78">
        <w:rPr>
          <w:rFonts w:ascii="Times New Roman" w:eastAsiaTheme="minorEastAsia" w:hAnsi="Times New Roman"/>
          <w:kern w:val="2"/>
          <w:sz w:val="28"/>
          <w:szCs w:val="28"/>
        </w:rPr>
        <w:t>表明</w:t>
      </w:r>
      <w:r w:rsidRPr="00721B78">
        <w:rPr>
          <w:rFonts w:ascii="Times New Roman" w:eastAsiaTheme="minorEastAsia" w:hAnsi="Times New Roman"/>
          <w:kern w:val="2"/>
          <w:sz w:val="28"/>
          <w:szCs w:val="28"/>
        </w:rPr>
        <w:t>每</w:t>
      </w:r>
      <w:r w:rsidRPr="00721B78">
        <w:rPr>
          <w:rFonts w:ascii="Times New Roman" w:eastAsiaTheme="minorEastAsia" w:hAnsi="Times New Roman"/>
          <w:kern w:val="2"/>
          <w:sz w:val="28"/>
          <w:szCs w:val="28"/>
        </w:rPr>
        <w:t xml:space="preserve">100 </w:t>
      </w:r>
      <w:r w:rsidRPr="00721B78">
        <w:rPr>
          <w:rFonts w:ascii="Times New Roman" w:eastAsiaTheme="minorEastAsia" w:hAnsi="Times New Roman"/>
          <w:kern w:val="2"/>
          <w:sz w:val="28"/>
          <w:szCs w:val="28"/>
        </w:rPr>
        <w:t>万人中，有</w:t>
      </w:r>
      <w:r w:rsidRPr="00721B78">
        <w:rPr>
          <w:rFonts w:ascii="Times New Roman" w:eastAsiaTheme="minorEastAsia" w:hAnsi="Times New Roman"/>
          <w:kern w:val="2"/>
          <w:sz w:val="28"/>
          <w:szCs w:val="28"/>
        </w:rPr>
        <w:t xml:space="preserve"> 1 </w:t>
      </w:r>
      <w:r w:rsidRPr="00721B78">
        <w:rPr>
          <w:rFonts w:ascii="Times New Roman" w:eastAsiaTheme="minorEastAsia" w:hAnsi="Times New Roman"/>
          <w:kern w:val="2"/>
          <w:sz w:val="28"/>
          <w:szCs w:val="28"/>
        </w:rPr>
        <w:t>人可能患癌症。目前，国内外各组织给出的最大可接受风险水平略有不同，普遍采用了</w:t>
      </w:r>
      <w:r w:rsidRPr="00721B78">
        <w:rPr>
          <w:rFonts w:ascii="Times New Roman" w:eastAsiaTheme="minorEastAsia" w:hAnsi="Times New Roman"/>
          <w:kern w:val="2"/>
          <w:sz w:val="28"/>
          <w:szCs w:val="28"/>
        </w:rPr>
        <w:t xml:space="preserve"> US EPA </w:t>
      </w:r>
      <w:r w:rsidRPr="00721B78">
        <w:rPr>
          <w:rFonts w:ascii="Times New Roman" w:eastAsiaTheme="minorEastAsia" w:hAnsi="Times New Roman"/>
          <w:kern w:val="2"/>
          <w:sz w:val="28"/>
          <w:szCs w:val="28"/>
        </w:rPr>
        <w:t>推荐的</w:t>
      </w:r>
      <w:r w:rsidRPr="00721B78">
        <w:rPr>
          <w:rFonts w:ascii="Times New Roman" w:eastAsiaTheme="minorEastAsia" w:hAnsi="Times New Roman"/>
          <w:kern w:val="2"/>
          <w:sz w:val="28"/>
          <w:szCs w:val="28"/>
        </w:rPr>
        <w:lastRenderedPageBreak/>
        <w:t>可接受风险，即终生致癌风险小于</w:t>
      </w:r>
      <w:r w:rsidRPr="00721B78">
        <w:rPr>
          <w:rFonts w:ascii="Times New Roman" w:eastAsiaTheme="minorEastAsia" w:hAnsi="Times New Roman"/>
          <w:kern w:val="2"/>
          <w:sz w:val="28"/>
          <w:szCs w:val="28"/>
        </w:rPr>
        <w:t xml:space="preserve"> 10</w:t>
      </w:r>
      <w:r w:rsidRPr="00721B78">
        <w:rPr>
          <w:rFonts w:ascii="Times New Roman" w:eastAsiaTheme="minorEastAsia" w:hAnsi="Times New Roman"/>
          <w:kern w:val="2"/>
          <w:sz w:val="28"/>
          <w:szCs w:val="28"/>
          <w:vertAlign w:val="superscript"/>
        </w:rPr>
        <w:t>-6</w:t>
      </w:r>
      <w:r w:rsidRPr="00721B78">
        <w:rPr>
          <w:rFonts w:ascii="Times New Roman" w:eastAsiaTheme="minorEastAsia" w:hAnsi="Times New Roman"/>
          <w:kern w:val="2"/>
          <w:sz w:val="28"/>
          <w:szCs w:val="28"/>
        </w:rPr>
        <w:t>，则认为风险性较低；介于</w:t>
      </w:r>
      <w:r w:rsidRPr="00721B78">
        <w:rPr>
          <w:rFonts w:ascii="Times New Roman" w:eastAsiaTheme="minorEastAsia" w:hAnsi="Times New Roman"/>
          <w:kern w:val="2"/>
          <w:sz w:val="28"/>
          <w:szCs w:val="28"/>
        </w:rPr>
        <w:t xml:space="preserve"> 10</w:t>
      </w:r>
      <w:r w:rsidRPr="00721B78">
        <w:rPr>
          <w:rFonts w:ascii="Times New Roman" w:eastAsiaTheme="minorEastAsia" w:hAnsi="Times New Roman"/>
          <w:kern w:val="2"/>
          <w:sz w:val="28"/>
          <w:szCs w:val="28"/>
          <w:vertAlign w:val="superscript"/>
        </w:rPr>
        <w:t>-4</w:t>
      </w:r>
      <w:r w:rsidRPr="00721B78">
        <w:rPr>
          <w:rFonts w:ascii="Times New Roman" w:eastAsiaTheme="minorEastAsia" w:hAnsi="Times New Roman"/>
          <w:kern w:val="2"/>
          <w:sz w:val="28"/>
          <w:szCs w:val="28"/>
        </w:rPr>
        <w:t>~10</w:t>
      </w:r>
      <w:r w:rsidRPr="00721B78">
        <w:rPr>
          <w:rFonts w:ascii="Times New Roman" w:eastAsiaTheme="minorEastAsia" w:hAnsi="Times New Roman"/>
          <w:kern w:val="2"/>
          <w:sz w:val="28"/>
          <w:szCs w:val="28"/>
          <w:vertAlign w:val="superscript"/>
        </w:rPr>
        <w:t>-6</w:t>
      </w:r>
      <w:r w:rsidRPr="00721B78">
        <w:rPr>
          <w:rFonts w:ascii="Times New Roman" w:eastAsiaTheme="minorEastAsia" w:hAnsi="Times New Roman"/>
          <w:kern w:val="2"/>
          <w:sz w:val="28"/>
          <w:szCs w:val="28"/>
        </w:rPr>
        <w:t>，则认为有可能引起癌症；如果污染物的终生致癌风险度大于</w:t>
      </w:r>
      <w:r w:rsidRPr="00721B78">
        <w:rPr>
          <w:rFonts w:ascii="Times New Roman" w:eastAsiaTheme="minorEastAsia" w:hAnsi="Times New Roman"/>
          <w:kern w:val="2"/>
          <w:sz w:val="28"/>
          <w:szCs w:val="28"/>
        </w:rPr>
        <w:t xml:space="preserve"> 10</w:t>
      </w:r>
      <w:r w:rsidRPr="00721B78">
        <w:rPr>
          <w:rFonts w:ascii="Times New Roman" w:eastAsiaTheme="minorEastAsia" w:hAnsi="Times New Roman"/>
          <w:kern w:val="2"/>
          <w:sz w:val="28"/>
          <w:szCs w:val="28"/>
          <w:vertAlign w:val="superscript"/>
        </w:rPr>
        <w:t>-4</w:t>
      </w:r>
      <w:r w:rsidRPr="00721B78">
        <w:rPr>
          <w:rFonts w:ascii="Times New Roman" w:eastAsiaTheme="minorEastAsia" w:hAnsi="Times New Roman"/>
          <w:kern w:val="2"/>
          <w:sz w:val="28"/>
          <w:szCs w:val="28"/>
        </w:rPr>
        <w:t>，则认为其引起癌症的风险性较高</w:t>
      </w:r>
      <w:r w:rsidR="00FB233C" w:rsidRPr="00721B78">
        <w:rPr>
          <w:rFonts w:ascii="Times New Roman" w:eastAsiaTheme="minorEastAsia" w:hAnsi="Times New Roman"/>
          <w:kern w:val="2"/>
          <w:sz w:val="28"/>
          <w:szCs w:val="28"/>
        </w:rPr>
        <w:t>。因此本文件参考了这种划分方法，将致癌风险划分为了</w:t>
      </w:r>
      <w:r w:rsidR="00FB233C" w:rsidRPr="00721B78">
        <w:rPr>
          <w:rFonts w:ascii="Times New Roman" w:eastAsiaTheme="minorEastAsia" w:hAnsi="Times New Roman"/>
          <w:kern w:val="2"/>
          <w:sz w:val="28"/>
          <w:szCs w:val="28"/>
        </w:rPr>
        <w:t>5</w:t>
      </w:r>
      <w:r w:rsidR="00FB233C" w:rsidRPr="00721B78">
        <w:rPr>
          <w:rFonts w:ascii="Times New Roman" w:eastAsiaTheme="minorEastAsia" w:hAnsi="Times New Roman"/>
          <w:kern w:val="2"/>
          <w:sz w:val="28"/>
          <w:szCs w:val="28"/>
        </w:rPr>
        <w:t>个等级。对于非致癌风险，</w:t>
      </w:r>
      <w:r w:rsidR="00563405" w:rsidRPr="00721B78">
        <w:rPr>
          <w:rFonts w:ascii="Times New Roman" w:eastAsiaTheme="minorEastAsia" w:hAnsi="Times New Roman"/>
          <w:kern w:val="2"/>
          <w:sz w:val="28"/>
          <w:szCs w:val="28"/>
        </w:rPr>
        <w:t>非致癌风险由危害商表征</w:t>
      </w:r>
      <w:r w:rsidR="00C30C76" w:rsidRPr="00721B78">
        <w:rPr>
          <w:rFonts w:ascii="Times New Roman" w:eastAsiaTheme="minorEastAsia" w:hAnsi="Times New Roman"/>
          <w:kern w:val="2"/>
          <w:sz w:val="28"/>
          <w:szCs w:val="28"/>
        </w:rPr>
        <w:t>。</w:t>
      </w:r>
      <w:r w:rsidR="00563405" w:rsidRPr="00721B78">
        <w:rPr>
          <w:rFonts w:ascii="Times New Roman" w:eastAsiaTheme="minorEastAsia" w:hAnsi="Times New Roman"/>
          <w:kern w:val="2"/>
          <w:sz w:val="28"/>
          <w:szCs w:val="28"/>
        </w:rPr>
        <w:t>危害商是通过一段时间的暴露水平与参考剂量或参考浓度相比得到的比值。参考剂量或参考浓度表征的是健康条件下可接受的长期暴露的平均水平，如果暴露量低于该值，则不太可能对人体产生明显的健康损害。与致癌风险所表征的患癌症概率不同，非癌症风险的危害系数只能用来解释是否可能产生不良反应，而不能表征产生不良反应的概率。</w:t>
      </w:r>
      <w:r w:rsidR="00510B55" w:rsidRPr="00721B78">
        <w:rPr>
          <w:rFonts w:ascii="Times New Roman" w:eastAsiaTheme="minorEastAsia" w:hAnsi="Times New Roman"/>
          <w:kern w:val="2"/>
          <w:sz w:val="28"/>
          <w:szCs w:val="28"/>
        </w:rPr>
        <w:t>因此，通常认为得到的风险商小于</w:t>
      </w:r>
      <w:r w:rsidR="00510B55" w:rsidRPr="00721B78">
        <w:rPr>
          <w:rFonts w:ascii="Times New Roman" w:eastAsiaTheme="minorEastAsia" w:hAnsi="Times New Roman"/>
          <w:kern w:val="2"/>
          <w:sz w:val="28"/>
          <w:szCs w:val="28"/>
        </w:rPr>
        <w:t>1</w:t>
      </w:r>
      <w:r w:rsidR="00510B55" w:rsidRPr="00721B78">
        <w:rPr>
          <w:rFonts w:ascii="Times New Roman" w:eastAsiaTheme="minorEastAsia" w:hAnsi="Times New Roman"/>
          <w:kern w:val="2"/>
          <w:sz w:val="28"/>
          <w:szCs w:val="28"/>
        </w:rPr>
        <w:t>时，即未超过平均暴露水平，表明暴露量对人体不太可能产生危害，而当高于</w:t>
      </w:r>
      <w:r w:rsidR="00510B55" w:rsidRPr="00721B78">
        <w:rPr>
          <w:rFonts w:ascii="Times New Roman" w:eastAsiaTheme="minorEastAsia" w:hAnsi="Times New Roman"/>
          <w:kern w:val="2"/>
          <w:sz w:val="28"/>
          <w:szCs w:val="28"/>
        </w:rPr>
        <w:t>1</w:t>
      </w:r>
      <w:r w:rsidR="00510B55" w:rsidRPr="00721B78">
        <w:rPr>
          <w:rFonts w:ascii="Times New Roman" w:eastAsiaTheme="minorEastAsia" w:hAnsi="Times New Roman"/>
          <w:kern w:val="2"/>
          <w:sz w:val="28"/>
          <w:szCs w:val="28"/>
        </w:rPr>
        <w:t>时则表明有可能对人体产生危害，本文件基于现有的判断方法将危害商从</w:t>
      </w:r>
      <w:r w:rsidR="00510B55" w:rsidRPr="00721B78">
        <w:rPr>
          <w:rFonts w:ascii="Times New Roman" w:eastAsiaTheme="minorEastAsia" w:hAnsi="Times New Roman"/>
          <w:kern w:val="2"/>
          <w:sz w:val="28"/>
          <w:szCs w:val="28"/>
        </w:rPr>
        <w:t>1</w:t>
      </w:r>
      <w:r w:rsidR="00510B55" w:rsidRPr="00721B78">
        <w:rPr>
          <w:rFonts w:ascii="Times New Roman" w:eastAsiaTheme="minorEastAsia" w:hAnsi="Times New Roman"/>
          <w:kern w:val="2"/>
          <w:sz w:val="28"/>
          <w:szCs w:val="28"/>
        </w:rPr>
        <w:t>到</w:t>
      </w:r>
      <w:r w:rsidR="00510B55" w:rsidRPr="00721B78">
        <w:rPr>
          <w:rFonts w:ascii="Times New Roman" w:eastAsiaTheme="minorEastAsia" w:hAnsi="Times New Roman"/>
          <w:kern w:val="2"/>
          <w:sz w:val="28"/>
          <w:szCs w:val="28"/>
        </w:rPr>
        <w:t>100</w:t>
      </w:r>
      <w:r w:rsidR="00510B55" w:rsidRPr="00721B78">
        <w:rPr>
          <w:rFonts w:ascii="Times New Roman" w:eastAsiaTheme="minorEastAsia" w:hAnsi="Times New Roman"/>
          <w:kern w:val="2"/>
          <w:sz w:val="28"/>
          <w:szCs w:val="28"/>
        </w:rPr>
        <w:t>划分为了</w:t>
      </w:r>
      <w:r w:rsidR="00510B55" w:rsidRPr="00721B78">
        <w:rPr>
          <w:rFonts w:ascii="Times New Roman" w:eastAsiaTheme="minorEastAsia" w:hAnsi="Times New Roman"/>
          <w:kern w:val="2"/>
          <w:sz w:val="28"/>
          <w:szCs w:val="28"/>
        </w:rPr>
        <w:t>5</w:t>
      </w:r>
      <w:r w:rsidR="00510B55" w:rsidRPr="00721B78">
        <w:rPr>
          <w:rFonts w:ascii="Times New Roman" w:eastAsiaTheme="minorEastAsia" w:hAnsi="Times New Roman"/>
          <w:kern w:val="2"/>
          <w:sz w:val="28"/>
          <w:szCs w:val="28"/>
        </w:rPr>
        <w:t>个对应的等级。此外，值得注意的是，针对部分</w:t>
      </w:r>
      <w:r w:rsidR="00626BF2" w:rsidRPr="00721B78">
        <w:rPr>
          <w:rFonts w:ascii="Times New Roman" w:eastAsiaTheme="minorEastAsia" w:hAnsi="Times New Roman"/>
          <w:kern w:val="2"/>
          <w:sz w:val="28"/>
          <w:szCs w:val="28"/>
        </w:rPr>
        <w:t>毒性较高的优先控制</w:t>
      </w:r>
      <w:r w:rsidR="00510B55" w:rsidRPr="00721B78">
        <w:rPr>
          <w:rFonts w:ascii="Times New Roman" w:eastAsiaTheme="minorEastAsia" w:hAnsi="Times New Roman"/>
          <w:kern w:val="2"/>
          <w:sz w:val="28"/>
          <w:szCs w:val="28"/>
        </w:rPr>
        <w:t>污染物</w:t>
      </w:r>
      <w:r w:rsidR="00626BF2" w:rsidRPr="00721B78">
        <w:rPr>
          <w:rFonts w:ascii="Times New Roman" w:eastAsiaTheme="minorEastAsia" w:hAnsi="Times New Roman"/>
          <w:kern w:val="2"/>
          <w:sz w:val="28"/>
          <w:szCs w:val="28"/>
        </w:rPr>
        <w:t>，通常会采用较为谨慎的管理办法，</w:t>
      </w:r>
      <w:r w:rsidR="00FA3F44" w:rsidRPr="00721B78">
        <w:rPr>
          <w:rFonts w:ascii="Times New Roman" w:eastAsiaTheme="minorEastAsia" w:hAnsi="Times New Roman"/>
          <w:kern w:val="2"/>
          <w:sz w:val="28"/>
          <w:szCs w:val="28"/>
        </w:rPr>
        <w:t>将其潜在危害的可能性尽可能的控制在低风险程度，从而对风险等级划分有更加严格的要求</w:t>
      </w:r>
      <w:r w:rsidR="00AD4574" w:rsidRPr="00721B78">
        <w:rPr>
          <w:rFonts w:ascii="Times New Roman" w:eastAsiaTheme="minorEastAsia" w:hAnsi="Times New Roman"/>
          <w:kern w:val="2"/>
          <w:sz w:val="28"/>
          <w:szCs w:val="28"/>
        </w:rPr>
        <w:t>。</w:t>
      </w:r>
      <w:r w:rsidR="00FA3F44" w:rsidRPr="00721B78">
        <w:rPr>
          <w:rFonts w:ascii="Times New Roman" w:eastAsiaTheme="minorEastAsia" w:hAnsi="Times New Roman"/>
          <w:kern w:val="2"/>
          <w:sz w:val="28"/>
          <w:szCs w:val="28"/>
        </w:rPr>
        <w:t>因此在本文件中强调了可根据实际管理目标调整风险等级划分水平</w:t>
      </w:r>
      <w:r w:rsidR="00AD4574" w:rsidRPr="00721B78">
        <w:rPr>
          <w:rFonts w:ascii="Times New Roman" w:eastAsiaTheme="minorEastAsia" w:hAnsi="Times New Roman"/>
          <w:kern w:val="2"/>
          <w:sz w:val="28"/>
          <w:szCs w:val="28"/>
        </w:rPr>
        <w:t>，本文件所提供的</w:t>
      </w:r>
      <w:r w:rsidR="00F17D83" w:rsidRPr="00721B78">
        <w:rPr>
          <w:rFonts w:ascii="Times New Roman" w:eastAsiaTheme="minorEastAsia" w:hAnsi="Times New Roman"/>
          <w:kern w:val="2"/>
          <w:sz w:val="28"/>
          <w:szCs w:val="28"/>
        </w:rPr>
        <w:t>参考</w:t>
      </w:r>
      <w:r w:rsidR="00AD4574" w:rsidRPr="00721B78">
        <w:rPr>
          <w:rFonts w:ascii="Times New Roman" w:eastAsiaTheme="minorEastAsia" w:hAnsi="Times New Roman"/>
          <w:kern w:val="2"/>
          <w:sz w:val="28"/>
          <w:szCs w:val="28"/>
        </w:rPr>
        <w:t>等级划分主要基于文献中常规使用的判别区间。</w:t>
      </w:r>
    </w:p>
    <w:p w:rsidR="00CC3355" w:rsidRPr="002D35B8" w:rsidRDefault="0044664C" w:rsidP="0044664C">
      <w:pPr>
        <w:pStyle w:val="ac"/>
        <w:spacing w:before="0" w:beforeAutospacing="0" w:after="0" w:afterAutospacing="0" w:line="360" w:lineRule="auto"/>
        <w:ind w:firstLineChars="200" w:firstLine="562"/>
        <w:jc w:val="both"/>
        <w:outlineLvl w:val="1"/>
        <w:rPr>
          <w:b/>
          <w:bCs/>
          <w:kern w:val="2"/>
          <w:sz w:val="28"/>
          <w:szCs w:val="28"/>
        </w:rPr>
      </w:pPr>
      <w:bookmarkStart w:id="34" w:name="_Toc119660588"/>
      <w:r w:rsidRPr="002D35B8">
        <w:rPr>
          <w:rFonts w:hint="eastAsia"/>
          <w:b/>
          <w:bCs/>
          <w:kern w:val="2"/>
          <w:sz w:val="28"/>
          <w:szCs w:val="28"/>
        </w:rPr>
        <w:t>（十二）</w:t>
      </w:r>
      <w:r w:rsidR="00CC3355" w:rsidRPr="002D35B8">
        <w:rPr>
          <w:rFonts w:hint="eastAsia"/>
          <w:b/>
          <w:bCs/>
          <w:kern w:val="2"/>
          <w:sz w:val="28"/>
          <w:szCs w:val="28"/>
        </w:rPr>
        <w:t>风险评估报告编制的要求</w:t>
      </w:r>
      <w:bookmarkEnd w:id="34"/>
    </w:p>
    <w:p w:rsidR="00553365" w:rsidRPr="00721B78" w:rsidRDefault="00CC3355"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风险报告编制是风险评估的最终环节，是其结果的最后体现，同时也是用于村镇环境管理决策的重要支撑性文件。因此本文件参考</w:t>
      </w:r>
      <w:r w:rsidRPr="00721B78">
        <w:rPr>
          <w:rFonts w:ascii="Times New Roman" w:eastAsiaTheme="minorEastAsia" w:hAnsi="Times New Roman"/>
          <w:kern w:val="2"/>
          <w:sz w:val="28"/>
          <w:szCs w:val="28"/>
        </w:rPr>
        <w:t>HJ 1111</w:t>
      </w:r>
      <w:r w:rsidRPr="00721B78">
        <w:rPr>
          <w:rFonts w:ascii="Times New Roman" w:eastAsiaTheme="minorEastAsia" w:hAnsi="Times New Roman"/>
          <w:kern w:val="2"/>
          <w:sz w:val="28"/>
          <w:szCs w:val="28"/>
        </w:rPr>
        <w:t>中的相关要求对报告编制的内容进行了明确。</w:t>
      </w:r>
    </w:p>
    <w:p w:rsidR="0041655E" w:rsidRPr="008D7553" w:rsidRDefault="00895CE7" w:rsidP="00502C30">
      <w:pPr>
        <w:numPr>
          <w:ilvl w:val="0"/>
          <w:numId w:val="1"/>
        </w:numPr>
        <w:spacing w:line="360" w:lineRule="auto"/>
        <w:ind w:left="0" w:firstLineChars="200" w:firstLine="420"/>
        <w:outlineLvl w:val="0"/>
        <w:rPr>
          <w:rFonts w:eastAsia="黑体"/>
          <w:b/>
          <w:bCs/>
          <w:sz w:val="30"/>
          <w:szCs w:val="30"/>
        </w:rPr>
      </w:pPr>
      <w:hyperlink w:anchor="_Toc234978614" w:history="1">
        <w:bookmarkStart w:id="35" w:name="_Toc119660589"/>
        <w:r w:rsidR="000B72D8" w:rsidRPr="008D7553">
          <w:rPr>
            <w:rFonts w:eastAsia="黑体"/>
            <w:b/>
            <w:bCs/>
            <w:sz w:val="30"/>
            <w:szCs w:val="30"/>
          </w:rPr>
          <w:t>标准实施的环境效益与经济技术分析</w:t>
        </w:r>
        <w:bookmarkEnd w:id="35"/>
      </w:hyperlink>
    </w:p>
    <w:p w:rsidR="007563FD" w:rsidRPr="00721B78" w:rsidRDefault="00CF0F6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由于我国幅员辽阔，</w:t>
      </w:r>
      <w:r w:rsidR="001771C2" w:rsidRPr="00721B78">
        <w:rPr>
          <w:rFonts w:ascii="Times New Roman" w:eastAsiaTheme="minorEastAsia" w:hAnsi="Times New Roman"/>
          <w:kern w:val="2"/>
          <w:sz w:val="28"/>
          <w:szCs w:val="28"/>
        </w:rPr>
        <w:t>不同地区村镇环境污染类型、污染程度、环境容纳特征等</w:t>
      </w:r>
      <w:r w:rsidRPr="00721B78">
        <w:rPr>
          <w:rFonts w:ascii="Times New Roman" w:eastAsiaTheme="minorEastAsia" w:hAnsi="Times New Roman"/>
          <w:kern w:val="2"/>
          <w:sz w:val="28"/>
          <w:szCs w:val="28"/>
        </w:rPr>
        <w:t>存在明显差异，推进乡村</w:t>
      </w:r>
      <w:r w:rsidR="001771C2" w:rsidRPr="00721B78">
        <w:rPr>
          <w:rFonts w:ascii="Times New Roman" w:eastAsiaTheme="minorEastAsia" w:hAnsi="Times New Roman"/>
          <w:kern w:val="2"/>
          <w:sz w:val="28"/>
          <w:szCs w:val="28"/>
        </w:rPr>
        <w:t>环境</w:t>
      </w:r>
      <w:r w:rsidRPr="00721B78">
        <w:rPr>
          <w:rFonts w:ascii="Times New Roman" w:eastAsiaTheme="minorEastAsia" w:hAnsi="Times New Roman"/>
          <w:kern w:val="2"/>
          <w:sz w:val="28"/>
          <w:szCs w:val="28"/>
        </w:rPr>
        <w:t>综合治理，需要因地制宜、精准施策。研究村镇社区污染</w:t>
      </w:r>
      <w:r w:rsidR="001771C2" w:rsidRPr="00721B78">
        <w:rPr>
          <w:rFonts w:ascii="Times New Roman" w:eastAsiaTheme="minorEastAsia" w:hAnsi="Times New Roman"/>
          <w:kern w:val="2"/>
          <w:sz w:val="28"/>
          <w:szCs w:val="28"/>
        </w:rPr>
        <w:t>风险评估技术规范</w:t>
      </w:r>
      <w:r w:rsidRPr="00721B78">
        <w:rPr>
          <w:rFonts w:ascii="Times New Roman" w:eastAsiaTheme="minorEastAsia" w:hAnsi="Times New Roman"/>
          <w:kern w:val="2"/>
          <w:sz w:val="28"/>
          <w:szCs w:val="28"/>
        </w:rPr>
        <w:t>，对于指导村镇社区开展环境污染治理具有重要意义。</w:t>
      </w:r>
      <w:r w:rsidR="001771C2" w:rsidRPr="00721B78">
        <w:rPr>
          <w:rFonts w:ascii="Times New Roman" w:eastAsiaTheme="minorEastAsia" w:hAnsi="Times New Roman"/>
          <w:kern w:val="2"/>
          <w:sz w:val="28"/>
          <w:szCs w:val="28"/>
        </w:rPr>
        <w:t>瞄准</w:t>
      </w:r>
      <w:r w:rsidR="0035190E" w:rsidRPr="00721B78">
        <w:rPr>
          <w:rFonts w:ascii="Times New Roman" w:eastAsiaTheme="minorEastAsia" w:hAnsi="Times New Roman"/>
          <w:kern w:val="2"/>
          <w:sz w:val="28"/>
          <w:szCs w:val="28"/>
        </w:rPr>
        <w:t>村镇社区</w:t>
      </w:r>
      <w:r w:rsidR="001771C2" w:rsidRPr="00721B78">
        <w:rPr>
          <w:rFonts w:ascii="Times New Roman" w:eastAsiaTheme="minorEastAsia" w:hAnsi="Times New Roman"/>
          <w:kern w:val="2"/>
          <w:sz w:val="28"/>
          <w:szCs w:val="28"/>
        </w:rPr>
        <w:t>污染，研究具有针对性和普适性的污染风险评估技术的一般原则、流程和技术要求，制定村镇社区污染风险评估技术规范，</w:t>
      </w:r>
      <w:r w:rsidR="0035190E" w:rsidRPr="00721B78">
        <w:rPr>
          <w:rFonts w:ascii="Times New Roman" w:eastAsiaTheme="minorEastAsia" w:hAnsi="Times New Roman"/>
          <w:kern w:val="2"/>
          <w:sz w:val="28"/>
          <w:szCs w:val="28"/>
        </w:rPr>
        <w:t>为规划和指导乡村环境</w:t>
      </w:r>
      <w:r w:rsidR="00D7057A" w:rsidRPr="00721B78">
        <w:rPr>
          <w:rFonts w:ascii="Times New Roman" w:eastAsiaTheme="minorEastAsia" w:hAnsi="Times New Roman"/>
          <w:kern w:val="2"/>
          <w:sz w:val="28"/>
          <w:szCs w:val="28"/>
        </w:rPr>
        <w:t>污染</w:t>
      </w:r>
      <w:r w:rsidR="0035190E" w:rsidRPr="00721B78">
        <w:rPr>
          <w:rFonts w:ascii="Times New Roman" w:eastAsiaTheme="minorEastAsia" w:hAnsi="Times New Roman"/>
          <w:kern w:val="2"/>
          <w:sz w:val="28"/>
          <w:szCs w:val="28"/>
        </w:rPr>
        <w:t>治理提供基础支撑</w:t>
      </w:r>
      <w:r w:rsidRPr="00721B78">
        <w:rPr>
          <w:rFonts w:ascii="Times New Roman" w:eastAsiaTheme="minorEastAsia" w:hAnsi="Times New Roman"/>
          <w:kern w:val="2"/>
          <w:sz w:val="28"/>
          <w:szCs w:val="28"/>
        </w:rPr>
        <w:t>，</w:t>
      </w:r>
      <w:r w:rsidR="0035190E" w:rsidRPr="00721B78">
        <w:rPr>
          <w:rFonts w:ascii="Times New Roman" w:eastAsiaTheme="minorEastAsia" w:hAnsi="Times New Roman"/>
          <w:kern w:val="2"/>
          <w:sz w:val="28"/>
          <w:szCs w:val="28"/>
        </w:rPr>
        <w:t>将</w:t>
      </w:r>
      <w:r w:rsidR="00222AA1" w:rsidRPr="00721B78">
        <w:rPr>
          <w:rFonts w:ascii="Times New Roman" w:eastAsiaTheme="minorEastAsia" w:hAnsi="Times New Roman"/>
          <w:kern w:val="2"/>
          <w:sz w:val="28"/>
          <w:szCs w:val="28"/>
        </w:rPr>
        <w:t>对乡村环境治理发挥重要作用。</w:t>
      </w:r>
    </w:p>
    <w:p w:rsidR="001E0D8F" w:rsidRPr="00721B78" w:rsidRDefault="001E0D8F"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现有的针对性风险评估标准包括了《建设用地土壤风险评估技术导则》《污染场地风险评估技术导则》等，但</w:t>
      </w:r>
      <w:r w:rsidR="00F851A3" w:rsidRPr="00721B78">
        <w:rPr>
          <w:rFonts w:ascii="Times New Roman" w:eastAsiaTheme="minorEastAsia" w:hAnsi="Times New Roman"/>
          <w:kern w:val="2"/>
          <w:sz w:val="28"/>
          <w:szCs w:val="28"/>
        </w:rPr>
        <w:t>缺乏针对村镇地区的相关技术导则和规范。本文件在已有标准的基础上针对村镇环境的特征进行了调整和补充，扩充了风险评估技术的应用场景，有利于推进风险管理工具在村镇环境管理中的应用和发展。</w:t>
      </w:r>
      <w:r w:rsidR="007E136C" w:rsidRPr="00721B78">
        <w:rPr>
          <w:rFonts w:ascii="Times New Roman" w:eastAsiaTheme="minorEastAsia" w:hAnsi="Times New Roman"/>
          <w:kern w:val="2"/>
          <w:sz w:val="28"/>
          <w:szCs w:val="28"/>
        </w:rPr>
        <w:t>本文件考虑了村镇环境管理的特殊条件和需求，在毒性评估、暴露评估和风险表征中均采纳了现有技术标准中的技术方法和流程，同时对部分复杂过程进行了一定的简化，提高了风险评估技术方法在村镇地区使用的可行性，同时也降低了村镇地区采用该类方法的使用成本。文件中特别强调了，应当根据村镇条件，合理的采用现场调查和计算模型来进行风险分析，确保风险评估工作在村镇地区可开展，可执行。</w:t>
      </w:r>
      <w:r w:rsidR="004D3C65" w:rsidRPr="00721B78">
        <w:rPr>
          <w:rFonts w:ascii="Times New Roman" w:eastAsiaTheme="minorEastAsia" w:hAnsi="Times New Roman"/>
          <w:kern w:val="2"/>
          <w:sz w:val="28"/>
          <w:szCs w:val="28"/>
        </w:rPr>
        <w:t>通过本标准的实施将提高村镇地区污染管理水平，为保障村镇居民健康，保障村镇产业可持续发展提供支撑。本文件的实施能够指导村镇企业和政府部门对潜在的生产风险开展分析，避免造成严重后果，从而减少因产业变化造</w:t>
      </w:r>
      <w:r w:rsidR="004D3C65" w:rsidRPr="00721B78">
        <w:rPr>
          <w:rFonts w:ascii="Times New Roman" w:eastAsiaTheme="minorEastAsia" w:hAnsi="Times New Roman"/>
          <w:kern w:val="2"/>
          <w:sz w:val="28"/>
          <w:szCs w:val="28"/>
        </w:rPr>
        <w:lastRenderedPageBreak/>
        <w:t>成的污染而带来的经济损失。综上所述，通过本文件的发布和实施能够为村镇环境管理向风险管控转变提供有力支撑，对村镇居民健康安全、食品安全、村镇环境管理、污染防控、产业可持续发展等均有显著的社会和经济效益。</w:t>
      </w:r>
    </w:p>
    <w:p w:rsidR="0041655E" w:rsidRPr="008D7553" w:rsidRDefault="00895CE7" w:rsidP="00502C30">
      <w:pPr>
        <w:numPr>
          <w:ilvl w:val="0"/>
          <w:numId w:val="1"/>
        </w:numPr>
        <w:spacing w:line="360" w:lineRule="auto"/>
        <w:ind w:left="0" w:firstLineChars="200" w:firstLine="420"/>
        <w:outlineLvl w:val="0"/>
        <w:rPr>
          <w:rFonts w:eastAsia="黑体"/>
          <w:b/>
          <w:bCs/>
          <w:sz w:val="30"/>
          <w:szCs w:val="30"/>
        </w:rPr>
      </w:pPr>
      <w:hyperlink w:anchor="_Toc234978615" w:history="1">
        <w:bookmarkStart w:id="36" w:name="_Toc119660590"/>
        <w:r w:rsidR="000B72D8" w:rsidRPr="008D7553">
          <w:rPr>
            <w:rFonts w:eastAsia="黑体"/>
            <w:b/>
            <w:bCs/>
            <w:sz w:val="30"/>
            <w:szCs w:val="30"/>
          </w:rPr>
          <w:t>标准实施建议</w:t>
        </w:r>
        <w:bookmarkEnd w:id="36"/>
      </w:hyperlink>
    </w:p>
    <w:p w:rsidR="00CF0F6C" w:rsidRPr="00721B78" w:rsidRDefault="00CF0F6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1</w:t>
      </w:r>
      <w:r w:rsidRPr="00721B78">
        <w:rPr>
          <w:rFonts w:ascii="Times New Roman" w:eastAsiaTheme="minorEastAsia" w:hAnsi="Times New Roman"/>
          <w:kern w:val="2"/>
          <w:sz w:val="28"/>
          <w:szCs w:val="28"/>
        </w:rPr>
        <w:t>．</w:t>
      </w:r>
      <w:r w:rsidR="00E10902" w:rsidRPr="00721B78">
        <w:rPr>
          <w:rFonts w:ascii="Times New Roman" w:eastAsiaTheme="minorEastAsia" w:hAnsi="Times New Roman"/>
          <w:kern w:val="2"/>
          <w:sz w:val="28"/>
          <w:szCs w:val="28"/>
        </w:rPr>
        <w:t>宜居乡村建设是乡村振兴和农业农村高质量发展的重要内容，近年来，国家高度重视乡村环境治理，</w:t>
      </w:r>
      <w:r w:rsidRPr="00721B78">
        <w:rPr>
          <w:rFonts w:ascii="Times New Roman" w:eastAsiaTheme="minorEastAsia" w:hAnsi="Times New Roman"/>
          <w:kern w:val="2"/>
          <w:sz w:val="28"/>
          <w:szCs w:val="28"/>
        </w:rPr>
        <w:t>本标准</w:t>
      </w:r>
      <w:r w:rsidR="00E10902" w:rsidRPr="00721B78">
        <w:rPr>
          <w:rFonts w:ascii="Times New Roman" w:eastAsiaTheme="minorEastAsia" w:hAnsi="Times New Roman"/>
          <w:kern w:val="2"/>
          <w:sz w:val="28"/>
          <w:szCs w:val="28"/>
        </w:rPr>
        <w:t>对于</w:t>
      </w:r>
      <w:r w:rsidR="004304DD" w:rsidRPr="00721B78">
        <w:rPr>
          <w:rFonts w:ascii="Times New Roman" w:eastAsiaTheme="minorEastAsia" w:hAnsi="Times New Roman"/>
          <w:kern w:val="2"/>
          <w:sz w:val="28"/>
          <w:szCs w:val="28"/>
        </w:rPr>
        <w:t>村镇社区污染风险预警、管控等</w:t>
      </w:r>
      <w:r w:rsidR="00E10902" w:rsidRPr="00721B78">
        <w:rPr>
          <w:rFonts w:ascii="Times New Roman" w:eastAsiaTheme="minorEastAsia" w:hAnsi="Times New Roman"/>
          <w:kern w:val="2"/>
          <w:sz w:val="28"/>
          <w:szCs w:val="28"/>
        </w:rPr>
        <w:t>具有重要的指导意见，加强</w:t>
      </w:r>
      <w:r w:rsidR="00720916" w:rsidRPr="00721B78">
        <w:rPr>
          <w:rFonts w:ascii="Times New Roman" w:eastAsiaTheme="minorEastAsia" w:hAnsi="Times New Roman"/>
          <w:kern w:val="2"/>
          <w:sz w:val="28"/>
          <w:szCs w:val="28"/>
        </w:rPr>
        <w:t>宣传</w:t>
      </w:r>
      <w:r w:rsidR="00E10902" w:rsidRPr="00721B78">
        <w:rPr>
          <w:rFonts w:ascii="Times New Roman" w:eastAsiaTheme="minorEastAsia" w:hAnsi="Times New Roman"/>
          <w:kern w:val="2"/>
          <w:sz w:val="28"/>
          <w:szCs w:val="28"/>
        </w:rPr>
        <w:t>和引导，发挥标准的价值，并在应用中总结成绩与不足，做好标准修订改进</w:t>
      </w:r>
      <w:r w:rsidRPr="00721B78">
        <w:rPr>
          <w:rFonts w:ascii="Times New Roman" w:eastAsiaTheme="minorEastAsia" w:hAnsi="Times New Roman"/>
          <w:kern w:val="2"/>
          <w:sz w:val="28"/>
          <w:szCs w:val="28"/>
        </w:rPr>
        <w:t>。</w:t>
      </w:r>
    </w:p>
    <w:p w:rsidR="00CF0F6C" w:rsidRPr="00721B78" w:rsidRDefault="00CF0F6C" w:rsidP="00721B78">
      <w:pPr>
        <w:pStyle w:val="ac"/>
        <w:spacing w:before="0" w:beforeAutospacing="0" w:after="0" w:afterAutospacing="0" w:line="360" w:lineRule="auto"/>
        <w:ind w:firstLineChars="200" w:firstLine="560"/>
        <w:jc w:val="both"/>
        <w:rPr>
          <w:rFonts w:ascii="Times New Roman" w:eastAsiaTheme="minorEastAsia" w:hAnsi="Times New Roman"/>
          <w:kern w:val="2"/>
          <w:sz w:val="28"/>
          <w:szCs w:val="28"/>
        </w:rPr>
      </w:pPr>
      <w:r w:rsidRPr="00721B78">
        <w:rPr>
          <w:rFonts w:ascii="Times New Roman" w:eastAsiaTheme="minorEastAsia" w:hAnsi="Times New Roman"/>
          <w:kern w:val="2"/>
          <w:sz w:val="28"/>
          <w:szCs w:val="28"/>
        </w:rPr>
        <w:t>2</w:t>
      </w:r>
      <w:r w:rsidRPr="00721B78">
        <w:rPr>
          <w:rFonts w:ascii="Times New Roman" w:eastAsiaTheme="minorEastAsia" w:hAnsi="Times New Roman"/>
          <w:kern w:val="2"/>
          <w:sz w:val="28"/>
          <w:szCs w:val="28"/>
        </w:rPr>
        <w:t>．建议本标准为推荐性标准，上报</w:t>
      </w:r>
      <w:r w:rsidR="00E10902" w:rsidRPr="00721B78">
        <w:rPr>
          <w:rFonts w:ascii="Times New Roman" w:eastAsiaTheme="minorEastAsia" w:hAnsi="Times New Roman"/>
          <w:kern w:val="2"/>
          <w:sz w:val="28"/>
          <w:szCs w:val="28"/>
        </w:rPr>
        <w:t>中华联合会</w:t>
      </w:r>
      <w:r w:rsidRPr="00721B78">
        <w:rPr>
          <w:rFonts w:ascii="Times New Roman" w:eastAsiaTheme="minorEastAsia" w:hAnsi="Times New Roman"/>
          <w:kern w:val="2"/>
          <w:sz w:val="28"/>
          <w:szCs w:val="28"/>
        </w:rPr>
        <w:t>审查通过后，尽快颁布实施。</w:t>
      </w:r>
    </w:p>
    <w:p w:rsidR="0041655E" w:rsidRPr="008D7553" w:rsidRDefault="00895CE7" w:rsidP="00502C30">
      <w:pPr>
        <w:numPr>
          <w:ilvl w:val="0"/>
          <w:numId w:val="1"/>
        </w:numPr>
        <w:spacing w:line="360" w:lineRule="auto"/>
        <w:ind w:left="0" w:firstLineChars="200" w:firstLine="420"/>
        <w:outlineLvl w:val="0"/>
        <w:rPr>
          <w:rFonts w:eastAsia="黑体"/>
          <w:b/>
          <w:bCs/>
          <w:sz w:val="30"/>
          <w:szCs w:val="30"/>
        </w:rPr>
      </w:pPr>
      <w:hyperlink w:anchor="_Toc234978616" w:history="1">
        <w:bookmarkStart w:id="37" w:name="_Toc119660591"/>
        <w:r w:rsidR="000B72D8" w:rsidRPr="008D7553">
          <w:rPr>
            <w:rFonts w:eastAsia="黑体"/>
            <w:b/>
            <w:bCs/>
            <w:sz w:val="30"/>
            <w:szCs w:val="30"/>
          </w:rPr>
          <w:t>征求意见处理情况说明</w:t>
        </w:r>
      </w:hyperlink>
      <w:r w:rsidR="000B72D8" w:rsidRPr="008D7553">
        <w:rPr>
          <w:rFonts w:eastAsia="黑体"/>
          <w:b/>
          <w:bCs/>
          <w:sz w:val="30"/>
          <w:szCs w:val="30"/>
        </w:rPr>
        <w:t>（送审稿）</w:t>
      </w:r>
      <w:bookmarkEnd w:id="37"/>
    </w:p>
    <w:p w:rsidR="007563FD" w:rsidRPr="008D7553" w:rsidRDefault="007563FD" w:rsidP="00721B78">
      <w:pPr>
        <w:pStyle w:val="ac"/>
        <w:spacing w:before="0" w:beforeAutospacing="0" w:after="0" w:afterAutospacing="0" w:line="360" w:lineRule="auto"/>
        <w:ind w:firstLineChars="200" w:firstLine="480"/>
        <w:jc w:val="both"/>
        <w:rPr>
          <w:szCs w:val="32"/>
          <w:lang w:val="zh-CN"/>
        </w:rPr>
      </w:pPr>
    </w:p>
    <w:p w:rsidR="0041655E" w:rsidRPr="008D7553" w:rsidRDefault="00895CE7" w:rsidP="00502C30">
      <w:pPr>
        <w:numPr>
          <w:ilvl w:val="0"/>
          <w:numId w:val="1"/>
        </w:numPr>
        <w:spacing w:line="360" w:lineRule="auto"/>
        <w:ind w:left="0" w:firstLineChars="200" w:firstLine="420"/>
        <w:outlineLvl w:val="0"/>
        <w:rPr>
          <w:rFonts w:eastAsia="黑体"/>
          <w:b/>
          <w:bCs/>
          <w:sz w:val="30"/>
          <w:szCs w:val="30"/>
        </w:rPr>
      </w:pPr>
      <w:hyperlink w:anchor="_Toc234978617" w:history="1">
        <w:bookmarkStart w:id="38" w:name="_Toc119660592"/>
        <w:r w:rsidR="000B72D8" w:rsidRPr="008D7553">
          <w:rPr>
            <w:rFonts w:eastAsia="黑体"/>
            <w:b/>
            <w:bCs/>
            <w:sz w:val="30"/>
            <w:szCs w:val="30"/>
          </w:rPr>
          <w:t>技术审查工作情况说明</w:t>
        </w:r>
      </w:hyperlink>
      <w:r w:rsidR="000B72D8" w:rsidRPr="008D7553">
        <w:rPr>
          <w:rFonts w:eastAsia="黑体"/>
          <w:b/>
          <w:bCs/>
          <w:sz w:val="30"/>
          <w:szCs w:val="30"/>
        </w:rPr>
        <w:t>（报批稿）</w:t>
      </w:r>
      <w:bookmarkEnd w:id="38"/>
    </w:p>
    <w:p w:rsidR="0041655E" w:rsidRPr="008D7553" w:rsidRDefault="0041655E" w:rsidP="00721B78">
      <w:pPr>
        <w:pStyle w:val="ac"/>
        <w:spacing w:before="0" w:beforeAutospacing="0" w:after="0" w:afterAutospacing="0" w:line="360" w:lineRule="auto"/>
        <w:ind w:firstLineChars="200" w:firstLine="480"/>
        <w:jc w:val="both"/>
        <w:rPr>
          <w:szCs w:val="32"/>
        </w:rPr>
      </w:pPr>
    </w:p>
    <w:p w:rsidR="0041655E" w:rsidRPr="008D7553" w:rsidRDefault="0041655E" w:rsidP="00E92A57">
      <w:pPr>
        <w:spacing w:line="360" w:lineRule="auto"/>
        <w:ind w:firstLineChars="200" w:firstLine="480"/>
        <w:rPr>
          <w:sz w:val="24"/>
          <w:szCs w:val="32"/>
        </w:rPr>
      </w:pPr>
    </w:p>
    <w:p w:rsidR="0041655E" w:rsidRPr="008D7553" w:rsidRDefault="0041655E" w:rsidP="00E92A57">
      <w:pPr>
        <w:spacing w:line="360" w:lineRule="auto"/>
        <w:ind w:firstLineChars="200" w:firstLine="480"/>
        <w:rPr>
          <w:sz w:val="24"/>
          <w:szCs w:val="32"/>
        </w:rPr>
      </w:pPr>
    </w:p>
    <w:p w:rsidR="008203D3" w:rsidRPr="008D7553" w:rsidRDefault="008203D3" w:rsidP="007C3779">
      <w:pPr>
        <w:pStyle w:val="a8"/>
        <w:snapToGrid w:val="0"/>
        <w:spacing w:afterLines="20" w:line="360" w:lineRule="auto"/>
        <w:ind w:right="210" w:firstLineChars="0" w:firstLine="0"/>
        <w:jc w:val="right"/>
      </w:pPr>
      <w:r w:rsidRPr="008D7553">
        <w:t>标准起草组</w:t>
      </w:r>
    </w:p>
    <w:p w:rsidR="008203D3" w:rsidRPr="008D7553" w:rsidRDefault="00EE096C" w:rsidP="007C3779">
      <w:pPr>
        <w:pStyle w:val="a8"/>
        <w:snapToGrid w:val="0"/>
        <w:spacing w:afterLines="20" w:line="360" w:lineRule="auto"/>
        <w:jc w:val="right"/>
        <w:pPrChange w:id="39" w:author="abc" w:date="2022-11-25T16:51:00Z">
          <w:pPr>
            <w:pStyle w:val="a8"/>
            <w:snapToGrid w:val="0"/>
            <w:spacing w:afterLines="20" w:line="360" w:lineRule="auto"/>
            <w:jc w:val="right"/>
          </w:pPr>
        </w:pPrChange>
      </w:pPr>
      <w:r w:rsidRPr="008D7553">
        <w:t>2022</w:t>
      </w:r>
      <w:r w:rsidRPr="008D7553">
        <w:t>年</w:t>
      </w:r>
      <w:r>
        <w:t>11</w:t>
      </w:r>
      <w:r w:rsidR="008203D3" w:rsidRPr="008D7553">
        <w:t>月</w:t>
      </w:r>
    </w:p>
    <w:p w:rsidR="0041655E" w:rsidRPr="008D7553" w:rsidRDefault="0041655E" w:rsidP="00E92A57">
      <w:pPr>
        <w:spacing w:line="360" w:lineRule="auto"/>
        <w:ind w:firstLineChars="200" w:firstLine="420"/>
      </w:pPr>
    </w:p>
    <w:p w:rsidR="0041655E" w:rsidRPr="008D7553" w:rsidRDefault="0041655E" w:rsidP="00E92A57">
      <w:pPr>
        <w:spacing w:line="360" w:lineRule="auto"/>
      </w:pPr>
    </w:p>
    <w:sectPr w:rsidR="0041655E" w:rsidRPr="008D7553" w:rsidSect="00DC023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2D8" w:rsidRDefault="000B72D8" w:rsidP="008568CD">
      <w:r>
        <w:separator/>
      </w:r>
    </w:p>
  </w:endnote>
  <w:endnote w:type="continuationSeparator" w:id="1">
    <w:p w:rsidR="000B72D8" w:rsidRDefault="000B72D8" w:rsidP="00856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12047"/>
      <w:docPartObj>
        <w:docPartGallery w:val="Page Numbers (Bottom of Page)"/>
        <w:docPartUnique/>
      </w:docPartObj>
    </w:sdtPr>
    <w:sdtContent>
      <w:p w:rsidR="00AB6342" w:rsidRDefault="00895CE7" w:rsidP="00AB6342">
        <w:pPr>
          <w:pStyle w:val="a4"/>
        </w:pPr>
        <w:r>
          <w:fldChar w:fldCharType="begin"/>
        </w:r>
        <w:r w:rsidR="00AB6342">
          <w:instrText>PAGE   \* MERGEFORMAT</w:instrText>
        </w:r>
        <w:r>
          <w:fldChar w:fldCharType="separate"/>
        </w:r>
        <w:r w:rsidR="007C3779" w:rsidRPr="007C3779">
          <w:rPr>
            <w:noProof/>
            <w:lang w:val="zh-CN"/>
          </w:rPr>
          <w:t>3</w:t>
        </w:r>
        <w:r>
          <w:fldChar w:fldCharType="end"/>
        </w:r>
      </w:p>
    </w:sdtContent>
  </w:sdt>
  <w:p w:rsidR="00DC0239" w:rsidRDefault="00DC02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342" w:rsidRDefault="00895CE7">
    <w:pPr>
      <w:pStyle w:val="a4"/>
      <w:jc w:val="center"/>
    </w:pPr>
    <w:r>
      <w:fldChar w:fldCharType="begin"/>
    </w:r>
    <w:r w:rsidR="00AB6342">
      <w:instrText>PAGE   \* MERGEFORMAT</w:instrText>
    </w:r>
    <w:r>
      <w:fldChar w:fldCharType="separate"/>
    </w:r>
    <w:r w:rsidR="007C3779" w:rsidRPr="007C3779">
      <w:rPr>
        <w:noProof/>
        <w:lang w:val="zh-CN"/>
      </w:rPr>
      <w:t>35</w:t>
    </w:r>
    <w:r>
      <w:fldChar w:fldCharType="end"/>
    </w:r>
  </w:p>
  <w:p w:rsidR="00AB6342" w:rsidRDefault="00AB63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2D8" w:rsidRDefault="000B72D8" w:rsidP="008568CD">
      <w:r>
        <w:separator/>
      </w:r>
    </w:p>
  </w:footnote>
  <w:footnote w:type="continuationSeparator" w:id="1">
    <w:p w:rsidR="000B72D8" w:rsidRDefault="000B72D8" w:rsidP="00856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55F0E"/>
    <w:multiLevelType w:val="hybridMultilevel"/>
    <w:tmpl w:val="D98692A4"/>
    <w:lvl w:ilvl="0" w:tplc="CC7EA476">
      <w:start w:val="1"/>
      <w:numFmt w:val="decimal"/>
      <w:lvlText w:val="（%1）"/>
      <w:lvlJc w:val="left"/>
      <w:pPr>
        <w:ind w:left="3840" w:hanging="720"/>
      </w:pPr>
      <w:rPr>
        <w:rFonts w:hint="default"/>
      </w:rPr>
    </w:lvl>
    <w:lvl w:ilvl="1" w:tplc="04090019" w:tentative="1">
      <w:start w:val="1"/>
      <w:numFmt w:val="lowerLetter"/>
      <w:lvlText w:val="%2)"/>
      <w:lvlJc w:val="left"/>
      <w:pPr>
        <w:ind w:left="3960" w:hanging="420"/>
      </w:pPr>
    </w:lvl>
    <w:lvl w:ilvl="2" w:tplc="0409001B" w:tentative="1">
      <w:start w:val="1"/>
      <w:numFmt w:val="lowerRoman"/>
      <w:lvlText w:val="%3."/>
      <w:lvlJc w:val="right"/>
      <w:pPr>
        <w:ind w:left="4380" w:hanging="420"/>
      </w:pPr>
    </w:lvl>
    <w:lvl w:ilvl="3" w:tplc="0409000F" w:tentative="1">
      <w:start w:val="1"/>
      <w:numFmt w:val="decimal"/>
      <w:lvlText w:val="%4."/>
      <w:lvlJc w:val="left"/>
      <w:pPr>
        <w:ind w:left="4800" w:hanging="420"/>
      </w:pPr>
    </w:lvl>
    <w:lvl w:ilvl="4" w:tplc="04090019" w:tentative="1">
      <w:start w:val="1"/>
      <w:numFmt w:val="lowerLetter"/>
      <w:lvlText w:val="%5)"/>
      <w:lvlJc w:val="left"/>
      <w:pPr>
        <w:ind w:left="5220" w:hanging="420"/>
      </w:pPr>
    </w:lvl>
    <w:lvl w:ilvl="5" w:tplc="0409001B" w:tentative="1">
      <w:start w:val="1"/>
      <w:numFmt w:val="lowerRoman"/>
      <w:lvlText w:val="%6."/>
      <w:lvlJc w:val="right"/>
      <w:pPr>
        <w:ind w:left="5640" w:hanging="420"/>
      </w:pPr>
    </w:lvl>
    <w:lvl w:ilvl="6" w:tplc="0409000F" w:tentative="1">
      <w:start w:val="1"/>
      <w:numFmt w:val="decimal"/>
      <w:lvlText w:val="%7."/>
      <w:lvlJc w:val="left"/>
      <w:pPr>
        <w:ind w:left="6060" w:hanging="420"/>
      </w:pPr>
    </w:lvl>
    <w:lvl w:ilvl="7" w:tplc="04090019" w:tentative="1">
      <w:start w:val="1"/>
      <w:numFmt w:val="lowerLetter"/>
      <w:lvlText w:val="%8)"/>
      <w:lvlJc w:val="left"/>
      <w:pPr>
        <w:ind w:left="6480" w:hanging="420"/>
      </w:pPr>
    </w:lvl>
    <w:lvl w:ilvl="8" w:tplc="0409001B" w:tentative="1">
      <w:start w:val="1"/>
      <w:numFmt w:val="lowerRoman"/>
      <w:lvlText w:val="%9."/>
      <w:lvlJc w:val="right"/>
      <w:pPr>
        <w:ind w:left="6900" w:hanging="420"/>
      </w:pPr>
    </w:lvl>
  </w:abstractNum>
  <w:abstractNum w:abstractNumId="1">
    <w:nsid w:val="3F9A4716"/>
    <w:multiLevelType w:val="hybridMultilevel"/>
    <w:tmpl w:val="949805EC"/>
    <w:lvl w:ilvl="0" w:tplc="CCD4881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A50207"/>
    <w:multiLevelType w:val="hybridMultilevel"/>
    <w:tmpl w:val="8082A1D8"/>
    <w:lvl w:ilvl="0" w:tplc="7F9281D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C64EE"/>
    <w:multiLevelType w:val="multilevel"/>
    <w:tmpl w:val="22069F4C"/>
    <w:lvl w:ilvl="0">
      <w:start w:val="1"/>
      <w:numFmt w:val="chineseCountingThousand"/>
      <w:suff w:val="space"/>
      <w:lvlText w:val="%1、"/>
      <w:lvlJc w:val="left"/>
      <w:pPr>
        <w:ind w:left="420" w:hanging="420"/>
      </w:pPr>
      <w:rPr>
        <w:rFonts w:hint="eastAsia"/>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64"/>
        </w:tabs>
        <w:ind w:left="1264" w:hanging="420"/>
      </w:pPr>
      <w:rPr>
        <w:rFonts w:hint="default"/>
      </w:rPr>
    </w:lvl>
    <w:lvl w:ilvl="3">
      <w:start w:val="1"/>
      <w:numFmt w:val="decimal"/>
      <w:lvlText w:val="%1.%2.%3.%4"/>
      <w:lvlJc w:val="left"/>
      <w:pPr>
        <w:tabs>
          <w:tab w:val="num" w:pos="1686"/>
        </w:tabs>
        <w:ind w:left="1686" w:hanging="420"/>
      </w:pPr>
      <w:rPr>
        <w:rFonts w:hint="default"/>
      </w:rPr>
    </w:lvl>
    <w:lvl w:ilvl="4">
      <w:start w:val="1"/>
      <w:numFmt w:val="decimal"/>
      <w:lvlText w:val="%1.%2.%3.%4.%5"/>
      <w:lvlJc w:val="left"/>
      <w:pPr>
        <w:tabs>
          <w:tab w:val="num" w:pos="2108"/>
        </w:tabs>
        <w:ind w:left="2108" w:hanging="420"/>
      </w:pPr>
      <w:rPr>
        <w:rFonts w:hint="default"/>
      </w:rPr>
    </w:lvl>
    <w:lvl w:ilvl="5">
      <w:start w:val="1"/>
      <w:numFmt w:val="decimal"/>
      <w:lvlText w:val="%1.%2.%3.%4.%5.%6"/>
      <w:lvlJc w:val="left"/>
      <w:pPr>
        <w:tabs>
          <w:tab w:val="num" w:pos="2530"/>
        </w:tabs>
        <w:ind w:left="2530" w:hanging="420"/>
      </w:pPr>
      <w:rPr>
        <w:rFonts w:hint="default"/>
      </w:rPr>
    </w:lvl>
    <w:lvl w:ilvl="6">
      <w:start w:val="1"/>
      <w:numFmt w:val="decimal"/>
      <w:lvlText w:val="%1.%2.%3.%4.%5.%6.%7"/>
      <w:lvlJc w:val="left"/>
      <w:pPr>
        <w:tabs>
          <w:tab w:val="num" w:pos="2952"/>
        </w:tabs>
        <w:ind w:left="2952" w:hanging="420"/>
      </w:pPr>
      <w:rPr>
        <w:rFonts w:hint="default"/>
      </w:rPr>
    </w:lvl>
    <w:lvl w:ilvl="7">
      <w:start w:val="1"/>
      <w:numFmt w:val="decimal"/>
      <w:lvlText w:val="%1.%2.%3.%4.%5.%6.%7.%8"/>
      <w:lvlJc w:val="left"/>
      <w:pPr>
        <w:tabs>
          <w:tab w:val="num" w:pos="3374"/>
        </w:tabs>
        <w:ind w:left="3374" w:hanging="420"/>
      </w:pPr>
      <w:rPr>
        <w:rFonts w:hint="default"/>
      </w:rPr>
    </w:lvl>
    <w:lvl w:ilvl="8">
      <w:start w:val="1"/>
      <w:numFmt w:val="decimal"/>
      <w:lvlText w:val="%1.%2.%3.%4.%5.%6.%7.%8.%9"/>
      <w:lvlJc w:val="left"/>
      <w:pPr>
        <w:tabs>
          <w:tab w:val="num" w:pos="3796"/>
        </w:tabs>
        <w:ind w:left="3796" w:hanging="420"/>
      </w:pPr>
      <w:rPr>
        <w:rFonts w:hint="default"/>
      </w:rPr>
    </w:lvl>
  </w:abstractNum>
  <w:abstractNum w:abstractNumId="4">
    <w:nsid w:val="4D700487"/>
    <w:multiLevelType w:val="hybridMultilevel"/>
    <w:tmpl w:val="971C9E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D32FF6"/>
    <w:multiLevelType w:val="hybridMultilevel"/>
    <w:tmpl w:val="522274AC"/>
    <w:lvl w:ilvl="0" w:tplc="C3E6D1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F2422D4"/>
    <w:multiLevelType w:val="hybridMultilevel"/>
    <w:tmpl w:val="4646691C"/>
    <w:lvl w:ilvl="0" w:tplc="D05A9D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45738BE"/>
    <w:multiLevelType w:val="hybridMultilevel"/>
    <w:tmpl w:val="F83467C2"/>
    <w:lvl w:ilvl="0" w:tplc="F148D938">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CCF20E4"/>
    <w:multiLevelType w:val="hybridMultilevel"/>
    <w:tmpl w:val="971C9E16"/>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9">
    <w:nsid w:val="6F5D13D9"/>
    <w:multiLevelType w:val="hybridMultilevel"/>
    <w:tmpl w:val="59DA940A"/>
    <w:lvl w:ilvl="0" w:tplc="0D0252B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7A380A46"/>
    <w:multiLevelType w:val="hybridMultilevel"/>
    <w:tmpl w:val="8E0AB14E"/>
    <w:lvl w:ilvl="0" w:tplc="36D8602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5"/>
  </w:num>
  <w:num w:numId="3">
    <w:abstractNumId w:val="6"/>
  </w:num>
  <w:num w:numId="4">
    <w:abstractNumId w:val="1"/>
  </w:num>
  <w:num w:numId="5">
    <w:abstractNumId w:val="4"/>
  </w:num>
  <w:num w:numId="6">
    <w:abstractNumId w:val="8"/>
  </w:num>
  <w:num w:numId="7">
    <w:abstractNumId w:val="2"/>
  </w:num>
  <w:num w:numId="8">
    <w:abstractNumId w:val="0"/>
  </w:num>
  <w:num w:numId="9">
    <w:abstractNumId w:val="3"/>
    <w:lvlOverride w:ilvl="0">
      <w:lvl w:ilvl="0">
        <w:start w:val="1"/>
        <w:numFmt w:val="decimal"/>
        <w:lvlText w:val="%1."/>
        <w:lvlJc w:val="left"/>
        <w:pPr>
          <w:tabs>
            <w:tab w:val="num" w:pos="420"/>
          </w:tabs>
          <w:ind w:left="420" w:hanging="420"/>
        </w:pPr>
        <w:rPr>
          <w:rFonts w:hint="eastAsia"/>
        </w:rPr>
      </w:lvl>
    </w:lvlOverride>
    <w:lvlOverride w:ilvl="1">
      <w:lvl w:ilvl="1">
        <w:start w:val="1"/>
        <w:numFmt w:val="decimal"/>
        <w:suff w:val="nothing"/>
        <w:lvlText w:val="%1.%2"/>
        <w:lvlJc w:val="left"/>
        <w:pPr>
          <w:ind w:left="846" w:hanging="420"/>
        </w:pPr>
        <w:rPr>
          <w:rFonts w:hint="default"/>
        </w:rPr>
      </w:lvl>
    </w:lvlOverride>
    <w:lvlOverride w:ilvl="2">
      <w:lvl w:ilvl="2">
        <w:start w:val="1"/>
        <w:numFmt w:val="decimal"/>
        <w:lvlText w:val="%1.%2.%3"/>
        <w:lvlJc w:val="left"/>
        <w:pPr>
          <w:tabs>
            <w:tab w:val="num" w:pos="1264"/>
          </w:tabs>
          <w:ind w:left="1264" w:hanging="420"/>
        </w:pPr>
        <w:rPr>
          <w:rFonts w:hint="default"/>
        </w:rPr>
      </w:lvl>
    </w:lvlOverride>
    <w:lvlOverride w:ilvl="3">
      <w:lvl w:ilvl="3">
        <w:start w:val="1"/>
        <w:numFmt w:val="decimal"/>
        <w:lvlText w:val="%1.%2.%3.%4"/>
        <w:lvlJc w:val="left"/>
        <w:pPr>
          <w:tabs>
            <w:tab w:val="num" w:pos="1686"/>
          </w:tabs>
          <w:ind w:left="1686" w:hanging="420"/>
        </w:pPr>
        <w:rPr>
          <w:rFonts w:hint="default"/>
        </w:rPr>
      </w:lvl>
    </w:lvlOverride>
    <w:lvlOverride w:ilvl="4">
      <w:lvl w:ilvl="4">
        <w:start w:val="1"/>
        <w:numFmt w:val="decimal"/>
        <w:lvlText w:val="%1.%2.%3.%4.%5"/>
        <w:lvlJc w:val="left"/>
        <w:pPr>
          <w:tabs>
            <w:tab w:val="num" w:pos="2108"/>
          </w:tabs>
          <w:ind w:left="2108" w:hanging="420"/>
        </w:pPr>
        <w:rPr>
          <w:rFonts w:hint="default"/>
        </w:rPr>
      </w:lvl>
    </w:lvlOverride>
    <w:lvlOverride w:ilvl="5">
      <w:lvl w:ilvl="5">
        <w:start w:val="1"/>
        <w:numFmt w:val="decimal"/>
        <w:lvlText w:val="%1.%2.%3.%4.%5.%6"/>
        <w:lvlJc w:val="left"/>
        <w:pPr>
          <w:tabs>
            <w:tab w:val="num" w:pos="2530"/>
          </w:tabs>
          <w:ind w:left="2530" w:hanging="420"/>
        </w:pPr>
        <w:rPr>
          <w:rFonts w:hint="default"/>
        </w:rPr>
      </w:lvl>
    </w:lvlOverride>
    <w:lvlOverride w:ilvl="6">
      <w:lvl w:ilvl="6">
        <w:start w:val="1"/>
        <w:numFmt w:val="decimal"/>
        <w:lvlText w:val="%1.%2.%3.%4.%5.%6.%7"/>
        <w:lvlJc w:val="left"/>
        <w:pPr>
          <w:tabs>
            <w:tab w:val="num" w:pos="2952"/>
          </w:tabs>
          <w:ind w:left="2952" w:hanging="420"/>
        </w:pPr>
        <w:rPr>
          <w:rFonts w:hint="default"/>
        </w:rPr>
      </w:lvl>
    </w:lvlOverride>
    <w:lvlOverride w:ilvl="7">
      <w:lvl w:ilvl="7">
        <w:start w:val="1"/>
        <w:numFmt w:val="decimal"/>
        <w:lvlText w:val="%1.%2.%3.%4.%5.%6.%7.%8"/>
        <w:lvlJc w:val="left"/>
        <w:pPr>
          <w:tabs>
            <w:tab w:val="num" w:pos="3374"/>
          </w:tabs>
          <w:ind w:left="3374" w:hanging="420"/>
        </w:pPr>
        <w:rPr>
          <w:rFonts w:hint="default"/>
        </w:rPr>
      </w:lvl>
    </w:lvlOverride>
    <w:lvlOverride w:ilvl="8">
      <w:lvl w:ilvl="8">
        <w:start w:val="1"/>
        <w:numFmt w:val="decimal"/>
        <w:lvlText w:val="%1.%2.%3.%4.%5.%6.%7.%8.%9"/>
        <w:lvlJc w:val="left"/>
        <w:pPr>
          <w:tabs>
            <w:tab w:val="num" w:pos="3796"/>
          </w:tabs>
          <w:ind w:left="3796" w:hanging="420"/>
        </w:pPr>
        <w:rPr>
          <w:rFonts w:hint="default"/>
        </w:rPr>
      </w:lvl>
    </w:lvlOverride>
  </w:num>
  <w:num w:numId="10">
    <w:abstractNumId w:val="3"/>
    <w:lvlOverride w:ilvl="0">
      <w:lvl w:ilvl="0">
        <w:start w:val="1"/>
        <w:numFmt w:val="decimal"/>
        <w:lvlText w:val="%1."/>
        <w:lvlJc w:val="left"/>
        <w:pPr>
          <w:tabs>
            <w:tab w:val="num" w:pos="420"/>
          </w:tabs>
          <w:ind w:left="420" w:hanging="420"/>
        </w:pPr>
        <w:rPr>
          <w:rFonts w:hint="eastAsia"/>
        </w:rPr>
      </w:lvl>
    </w:lvlOverride>
    <w:lvlOverride w:ilvl="1">
      <w:lvl w:ilvl="1">
        <w:start w:val="1"/>
        <w:numFmt w:val="decimal"/>
        <w:suff w:val="space"/>
        <w:lvlText w:val="%1.%2"/>
        <w:lvlJc w:val="left"/>
        <w:pPr>
          <w:ind w:left="846" w:hanging="420"/>
        </w:pPr>
        <w:rPr>
          <w:rFonts w:hint="default"/>
        </w:rPr>
      </w:lvl>
    </w:lvlOverride>
    <w:lvlOverride w:ilvl="2">
      <w:lvl w:ilvl="2">
        <w:start w:val="1"/>
        <w:numFmt w:val="decimal"/>
        <w:lvlText w:val="%1.%2.%3"/>
        <w:lvlJc w:val="left"/>
        <w:pPr>
          <w:tabs>
            <w:tab w:val="num" w:pos="1264"/>
          </w:tabs>
          <w:ind w:left="1264" w:hanging="420"/>
        </w:pPr>
        <w:rPr>
          <w:rFonts w:hint="default"/>
        </w:rPr>
      </w:lvl>
    </w:lvlOverride>
    <w:lvlOverride w:ilvl="3">
      <w:lvl w:ilvl="3">
        <w:start w:val="1"/>
        <w:numFmt w:val="decimal"/>
        <w:lvlText w:val="%1.%2.%3.%4"/>
        <w:lvlJc w:val="left"/>
        <w:pPr>
          <w:tabs>
            <w:tab w:val="num" w:pos="1686"/>
          </w:tabs>
          <w:ind w:left="1686" w:hanging="420"/>
        </w:pPr>
        <w:rPr>
          <w:rFonts w:hint="default"/>
        </w:rPr>
      </w:lvl>
    </w:lvlOverride>
    <w:lvlOverride w:ilvl="4">
      <w:lvl w:ilvl="4">
        <w:start w:val="1"/>
        <w:numFmt w:val="decimal"/>
        <w:lvlText w:val="%1.%2.%3.%4.%5"/>
        <w:lvlJc w:val="left"/>
        <w:pPr>
          <w:tabs>
            <w:tab w:val="num" w:pos="2108"/>
          </w:tabs>
          <w:ind w:left="2108" w:hanging="420"/>
        </w:pPr>
        <w:rPr>
          <w:rFonts w:hint="default"/>
        </w:rPr>
      </w:lvl>
    </w:lvlOverride>
    <w:lvlOverride w:ilvl="5">
      <w:lvl w:ilvl="5">
        <w:start w:val="1"/>
        <w:numFmt w:val="decimal"/>
        <w:lvlText w:val="%1.%2.%3.%4.%5.%6"/>
        <w:lvlJc w:val="left"/>
        <w:pPr>
          <w:tabs>
            <w:tab w:val="num" w:pos="2530"/>
          </w:tabs>
          <w:ind w:left="2530" w:hanging="420"/>
        </w:pPr>
        <w:rPr>
          <w:rFonts w:hint="default"/>
        </w:rPr>
      </w:lvl>
    </w:lvlOverride>
    <w:lvlOverride w:ilvl="6">
      <w:lvl w:ilvl="6">
        <w:start w:val="1"/>
        <w:numFmt w:val="decimal"/>
        <w:lvlText w:val="%1.%2.%3.%4.%5.%6.%7"/>
        <w:lvlJc w:val="left"/>
        <w:pPr>
          <w:tabs>
            <w:tab w:val="num" w:pos="2952"/>
          </w:tabs>
          <w:ind w:left="2952" w:hanging="420"/>
        </w:pPr>
        <w:rPr>
          <w:rFonts w:hint="default"/>
        </w:rPr>
      </w:lvl>
    </w:lvlOverride>
    <w:lvlOverride w:ilvl="7">
      <w:lvl w:ilvl="7">
        <w:start w:val="1"/>
        <w:numFmt w:val="decimal"/>
        <w:lvlText w:val="%1.%2.%3.%4.%5.%6.%7.%8"/>
        <w:lvlJc w:val="left"/>
        <w:pPr>
          <w:tabs>
            <w:tab w:val="num" w:pos="3374"/>
          </w:tabs>
          <w:ind w:left="3374" w:hanging="420"/>
        </w:pPr>
        <w:rPr>
          <w:rFonts w:hint="default"/>
        </w:rPr>
      </w:lvl>
    </w:lvlOverride>
    <w:lvlOverride w:ilvl="8">
      <w:lvl w:ilvl="8">
        <w:start w:val="1"/>
        <w:numFmt w:val="decimal"/>
        <w:lvlText w:val="%1.%2.%3.%4.%5.%6.%7.%8.%9"/>
        <w:lvlJc w:val="left"/>
        <w:pPr>
          <w:tabs>
            <w:tab w:val="num" w:pos="3796"/>
          </w:tabs>
          <w:ind w:left="3796" w:hanging="420"/>
        </w:pPr>
        <w:rPr>
          <w:rFonts w:hint="default"/>
        </w:rPr>
      </w:lvl>
    </w:lvlOverride>
  </w:num>
  <w:num w:numId="11">
    <w:abstractNumId w:val="9"/>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sLQ0sjA3NDYwMgWyTZR0lIJTi4sz8/NACozMawGIx0PLLQAAAA=="/>
  </w:docVars>
  <w:rsids>
    <w:rsidRoot w:val="009313EB"/>
    <w:rsid w:val="00001156"/>
    <w:rsid w:val="000068CD"/>
    <w:rsid w:val="000135D6"/>
    <w:rsid w:val="0001470C"/>
    <w:rsid w:val="000277A9"/>
    <w:rsid w:val="00041D6B"/>
    <w:rsid w:val="0004351C"/>
    <w:rsid w:val="000470DA"/>
    <w:rsid w:val="00055F06"/>
    <w:rsid w:val="00056EE8"/>
    <w:rsid w:val="00060A9E"/>
    <w:rsid w:val="00061475"/>
    <w:rsid w:val="00062253"/>
    <w:rsid w:val="00062A58"/>
    <w:rsid w:val="00063A4D"/>
    <w:rsid w:val="0006597F"/>
    <w:rsid w:val="00080BD7"/>
    <w:rsid w:val="00082A94"/>
    <w:rsid w:val="0008440E"/>
    <w:rsid w:val="00093278"/>
    <w:rsid w:val="00095B8D"/>
    <w:rsid w:val="0009645B"/>
    <w:rsid w:val="000B41E1"/>
    <w:rsid w:val="000B5ACB"/>
    <w:rsid w:val="000B5F99"/>
    <w:rsid w:val="000B72D8"/>
    <w:rsid w:val="000D0739"/>
    <w:rsid w:val="000D119C"/>
    <w:rsid w:val="000D704E"/>
    <w:rsid w:val="000E1C24"/>
    <w:rsid w:val="000E3D9A"/>
    <w:rsid w:val="000E7048"/>
    <w:rsid w:val="000E728D"/>
    <w:rsid w:val="000F0B7D"/>
    <w:rsid w:val="000F7CE6"/>
    <w:rsid w:val="001049E9"/>
    <w:rsid w:val="00116361"/>
    <w:rsid w:val="00135CB8"/>
    <w:rsid w:val="00143F10"/>
    <w:rsid w:val="001474D4"/>
    <w:rsid w:val="00155CD2"/>
    <w:rsid w:val="0015737C"/>
    <w:rsid w:val="001574B5"/>
    <w:rsid w:val="00161CEE"/>
    <w:rsid w:val="0016449D"/>
    <w:rsid w:val="0017423A"/>
    <w:rsid w:val="001771C2"/>
    <w:rsid w:val="0018328C"/>
    <w:rsid w:val="00196562"/>
    <w:rsid w:val="001A1D8E"/>
    <w:rsid w:val="001A2CA7"/>
    <w:rsid w:val="001A67F8"/>
    <w:rsid w:val="001B1F4D"/>
    <w:rsid w:val="001B42B0"/>
    <w:rsid w:val="001B44F1"/>
    <w:rsid w:val="001B55DD"/>
    <w:rsid w:val="001B5E77"/>
    <w:rsid w:val="001C169A"/>
    <w:rsid w:val="001C31A9"/>
    <w:rsid w:val="001C35A8"/>
    <w:rsid w:val="001C42B5"/>
    <w:rsid w:val="001C4774"/>
    <w:rsid w:val="001C742F"/>
    <w:rsid w:val="001D2BD0"/>
    <w:rsid w:val="001D4F5B"/>
    <w:rsid w:val="001D51C2"/>
    <w:rsid w:val="001D6D29"/>
    <w:rsid w:val="001D7D53"/>
    <w:rsid w:val="001E0D8F"/>
    <w:rsid w:val="001E2D83"/>
    <w:rsid w:val="001E6883"/>
    <w:rsid w:val="001F0C23"/>
    <w:rsid w:val="001F7530"/>
    <w:rsid w:val="00203E71"/>
    <w:rsid w:val="00207705"/>
    <w:rsid w:val="0021102C"/>
    <w:rsid w:val="00220939"/>
    <w:rsid w:val="00222AA1"/>
    <w:rsid w:val="00227D1F"/>
    <w:rsid w:val="00230B08"/>
    <w:rsid w:val="00231A43"/>
    <w:rsid w:val="00236370"/>
    <w:rsid w:val="0024066E"/>
    <w:rsid w:val="002414A0"/>
    <w:rsid w:val="00254DCC"/>
    <w:rsid w:val="00260643"/>
    <w:rsid w:val="0026094B"/>
    <w:rsid w:val="0026147E"/>
    <w:rsid w:val="002863E4"/>
    <w:rsid w:val="00286435"/>
    <w:rsid w:val="00293381"/>
    <w:rsid w:val="0029349C"/>
    <w:rsid w:val="002961A1"/>
    <w:rsid w:val="002A078D"/>
    <w:rsid w:val="002A5898"/>
    <w:rsid w:val="002B5383"/>
    <w:rsid w:val="002B5E0A"/>
    <w:rsid w:val="002C1D1E"/>
    <w:rsid w:val="002C271E"/>
    <w:rsid w:val="002D04C4"/>
    <w:rsid w:val="002D04C6"/>
    <w:rsid w:val="002D1640"/>
    <w:rsid w:val="002D3011"/>
    <w:rsid w:val="002D35B8"/>
    <w:rsid w:val="002D447F"/>
    <w:rsid w:val="002D6FFA"/>
    <w:rsid w:val="002E0983"/>
    <w:rsid w:val="002E17DD"/>
    <w:rsid w:val="002E5727"/>
    <w:rsid w:val="002E7BC6"/>
    <w:rsid w:val="002E7F12"/>
    <w:rsid w:val="002F2755"/>
    <w:rsid w:val="002F2A87"/>
    <w:rsid w:val="002F306A"/>
    <w:rsid w:val="002F315C"/>
    <w:rsid w:val="002F3193"/>
    <w:rsid w:val="00300732"/>
    <w:rsid w:val="00306E8D"/>
    <w:rsid w:val="003127AA"/>
    <w:rsid w:val="003141C5"/>
    <w:rsid w:val="00321494"/>
    <w:rsid w:val="00324AFB"/>
    <w:rsid w:val="003272A4"/>
    <w:rsid w:val="00334031"/>
    <w:rsid w:val="0033678B"/>
    <w:rsid w:val="00336EE0"/>
    <w:rsid w:val="003373AE"/>
    <w:rsid w:val="00341E7D"/>
    <w:rsid w:val="00341FE3"/>
    <w:rsid w:val="0035190E"/>
    <w:rsid w:val="0036029B"/>
    <w:rsid w:val="003643FE"/>
    <w:rsid w:val="00366258"/>
    <w:rsid w:val="00367AD3"/>
    <w:rsid w:val="00367E2C"/>
    <w:rsid w:val="003728AA"/>
    <w:rsid w:val="00374B51"/>
    <w:rsid w:val="00392C33"/>
    <w:rsid w:val="003935AE"/>
    <w:rsid w:val="00396F90"/>
    <w:rsid w:val="003A124A"/>
    <w:rsid w:val="003B20BF"/>
    <w:rsid w:val="003B479E"/>
    <w:rsid w:val="003B6CCC"/>
    <w:rsid w:val="003C1A9F"/>
    <w:rsid w:val="003D42DE"/>
    <w:rsid w:val="003E03F2"/>
    <w:rsid w:val="003E234B"/>
    <w:rsid w:val="003F1127"/>
    <w:rsid w:val="003F4301"/>
    <w:rsid w:val="004153F0"/>
    <w:rsid w:val="0041655E"/>
    <w:rsid w:val="0041713B"/>
    <w:rsid w:val="00417BE9"/>
    <w:rsid w:val="00420F4F"/>
    <w:rsid w:val="00424AA7"/>
    <w:rsid w:val="004304DD"/>
    <w:rsid w:val="00432A21"/>
    <w:rsid w:val="00435DD9"/>
    <w:rsid w:val="00440B73"/>
    <w:rsid w:val="004424B9"/>
    <w:rsid w:val="0044664C"/>
    <w:rsid w:val="00452101"/>
    <w:rsid w:val="00456EF6"/>
    <w:rsid w:val="00457A97"/>
    <w:rsid w:val="00463A07"/>
    <w:rsid w:val="004658A4"/>
    <w:rsid w:val="00466709"/>
    <w:rsid w:val="00471656"/>
    <w:rsid w:val="004730D6"/>
    <w:rsid w:val="0048067D"/>
    <w:rsid w:val="00483152"/>
    <w:rsid w:val="0048416A"/>
    <w:rsid w:val="00484554"/>
    <w:rsid w:val="004879CF"/>
    <w:rsid w:val="00491D90"/>
    <w:rsid w:val="00497262"/>
    <w:rsid w:val="00497E0B"/>
    <w:rsid w:val="004A06C2"/>
    <w:rsid w:val="004A35BA"/>
    <w:rsid w:val="004A7106"/>
    <w:rsid w:val="004B7120"/>
    <w:rsid w:val="004C3507"/>
    <w:rsid w:val="004D2F94"/>
    <w:rsid w:val="004D3AB6"/>
    <w:rsid w:val="004D3C65"/>
    <w:rsid w:val="004D4B47"/>
    <w:rsid w:val="004E063A"/>
    <w:rsid w:val="004E79A8"/>
    <w:rsid w:val="004F1741"/>
    <w:rsid w:val="004F2423"/>
    <w:rsid w:val="004F4675"/>
    <w:rsid w:val="004F59D8"/>
    <w:rsid w:val="00502C30"/>
    <w:rsid w:val="00507EF8"/>
    <w:rsid w:val="00510B55"/>
    <w:rsid w:val="00511E9D"/>
    <w:rsid w:val="00514D9E"/>
    <w:rsid w:val="00520528"/>
    <w:rsid w:val="00521611"/>
    <w:rsid w:val="005222BB"/>
    <w:rsid w:val="005233CA"/>
    <w:rsid w:val="00535A74"/>
    <w:rsid w:val="005371F3"/>
    <w:rsid w:val="005414A8"/>
    <w:rsid w:val="0054465E"/>
    <w:rsid w:val="00553365"/>
    <w:rsid w:val="00560AFB"/>
    <w:rsid w:val="00561688"/>
    <w:rsid w:val="00562A04"/>
    <w:rsid w:val="00563405"/>
    <w:rsid w:val="00563996"/>
    <w:rsid w:val="00567601"/>
    <w:rsid w:val="0057423A"/>
    <w:rsid w:val="00575AB1"/>
    <w:rsid w:val="0057709B"/>
    <w:rsid w:val="00582A57"/>
    <w:rsid w:val="005901CB"/>
    <w:rsid w:val="005926D6"/>
    <w:rsid w:val="00593306"/>
    <w:rsid w:val="005944F5"/>
    <w:rsid w:val="00596EE8"/>
    <w:rsid w:val="005A396E"/>
    <w:rsid w:val="005A50B3"/>
    <w:rsid w:val="005B065F"/>
    <w:rsid w:val="005B18C2"/>
    <w:rsid w:val="005B21CC"/>
    <w:rsid w:val="005C1BE0"/>
    <w:rsid w:val="005C71B5"/>
    <w:rsid w:val="005D08B3"/>
    <w:rsid w:val="005D5BDF"/>
    <w:rsid w:val="005D5E28"/>
    <w:rsid w:val="005D7418"/>
    <w:rsid w:val="005F1D42"/>
    <w:rsid w:val="005F3F26"/>
    <w:rsid w:val="005F4D6A"/>
    <w:rsid w:val="00600151"/>
    <w:rsid w:val="0060152D"/>
    <w:rsid w:val="00606610"/>
    <w:rsid w:val="00606F58"/>
    <w:rsid w:val="00612A4E"/>
    <w:rsid w:val="00617D20"/>
    <w:rsid w:val="0062217E"/>
    <w:rsid w:val="00622BE3"/>
    <w:rsid w:val="00626BF2"/>
    <w:rsid w:val="0063620E"/>
    <w:rsid w:val="00640401"/>
    <w:rsid w:val="00640681"/>
    <w:rsid w:val="00644271"/>
    <w:rsid w:val="00645894"/>
    <w:rsid w:val="00651FAB"/>
    <w:rsid w:val="00654534"/>
    <w:rsid w:val="00661670"/>
    <w:rsid w:val="0066721D"/>
    <w:rsid w:val="00670E67"/>
    <w:rsid w:val="00671BAC"/>
    <w:rsid w:val="00672302"/>
    <w:rsid w:val="00676762"/>
    <w:rsid w:val="00682350"/>
    <w:rsid w:val="00686BF4"/>
    <w:rsid w:val="006925DC"/>
    <w:rsid w:val="00693975"/>
    <w:rsid w:val="006A2D77"/>
    <w:rsid w:val="006A6B56"/>
    <w:rsid w:val="006C3537"/>
    <w:rsid w:val="006C56E5"/>
    <w:rsid w:val="006C6F46"/>
    <w:rsid w:val="006E3B07"/>
    <w:rsid w:val="006E66AF"/>
    <w:rsid w:val="00702560"/>
    <w:rsid w:val="00703E84"/>
    <w:rsid w:val="00704A9D"/>
    <w:rsid w:val="00706641"/>
    <w:rsid w:val="00707E1A"/>
    <w:rsid w:val="007155BB"/>
    <w:rsid w:val="00720916"/>
    <w:rsid w:val="00721B78"/>
    <w:rsid w:val="00724E13"/>
    <w:rsid w:val="00726761"/>
    <w:rsid w:val="00731929"/>
    <w:rsid w:val="00740DAF"/>
    <w:rsid w:val="00741AC5"/>
    <w:rsid w:val="00743C82"/>
    <w:rsid w:val="007444D5"/>
    <w:rsid w:val="00752FF7"/>
    <w:rsid w:val="007563FD"/>
    <w:rsid w:val="00760B7A"/>
    <w:rsid w:val="0076417E"/>
    <w:rsid w:val="007708C8"/>
    <w:rsid w:val="0077678C"/>
    <w:rsid w:val="00781127"/>
    <w:rsid w:val="00790D55"/>
    <w:rsid w:val="00793E3E"/>
    <w:rsid w:val="007C3779"/>
    <w:rsid w:val="007C3E70"/>
    <w:rsid w:val="007C77A5"/>
    <w:rsid w:val="007D37BF"/>
    <w:rsid w:val="007D51BF"/>
    <w:rsid w:val="007D5BA9"/>
    <w:rsid w:val="007D67E0"/>
    <w:rsid w:val="007E136C"/>
    <w:rsid w:val="007E1391"/>
    <w:rsid w:val="007E2462"/>
    <w:rsid w:val="007E6974"/>
    <w:rsid w:val="007E6DF7"/>
    <w:rsid w:val="007F02AC"/>
    <w:rsid w:val="007F248B"/>
    <w:rsid w:val="008078AF"/>
    <w:rsid w:val="00811EE3"/>
    <w:rsid w:val="0081447B"/>
    <w:rsid w:val="008145C0"/>
    <w:rsid w:val="008168FF"/>
    <w:rsid w:val="0081724A"/>
    <w:rsid w:val="00817BC8"/>
    <w:rsid w:val="008203D3"/>
    <w:rsid w:val="008217EE"/>
    <w:rsid w:val="008273A3"/>
    <w:rsid w:val="00834153"/>
    <w:rsid w:val="00842673"/>
    <w:rsid w:val="008438FA"/>
    <w:rsid w:val="00844A73"/>
    <w:rsid w:val="00846EDE"/>
    <w:rsid w:val="008509DC"/>
    <w:rsid w:val="00850C24"/>
    <w:rsid w:val="008548E8"/>
    <w:rsid w:val="008568CD"/>
    <w:rsid w:val="00856B46"/>
    <w:rsid w:val="008626B5"/>
    <w:rsid w:val="008634D7"/>
    <w:rsid w:val="00864AE9"/>
    <w:rsid w:val="00866944"/>
    <w:rsid w:val="00875007"/>
    <w:rsid w:val="00876A4B"/>
    <w:rsid w:val="00883D8D"/>
    <w:rsid w:val="00884D45"/>
    <w:rsid w:val="0088507B"/>
    <w:rsid w:val="00885BC5"/>
    <w:rsid w:val="008918E3"/>
    <w:rsid w:val="00895CE7"/>
    <w:rsid w:val="008B658F"/>
    <w:rsid w:val="008B76C3"/>
    <w:rsid w:val="008C18DD"/>
    <w:rsid w:val="008D020F"/>
    <w:rsid w:val="008D27EE"/>
    <w:rsid w:val="008D3112"/>
    <w:rsid w:val="008D62D1"/>
    <w:rsid w:val="008D7553"/>
    <w:rsid w:val="008E0AC6"/>
    <w:rsid w:val="008E0DAF"/>
    <w:rsid w:val="008E177B"/>
    <w:rsid w:val="008F001B"/>
    <w:rsid w:val="008F3C3F"/>
    <w:rsid w:val="008F43FB"/>
    <w:rsid w:val="008F5687"/>
    <w:rsid w:val="00900AA8"/>
    <w:rsid w:val="009010D9"/>
    <w:rsid w:val="00901416"/>
    <w:rsid w:val="00902142"/>
    <w:rsid w:val="00903861"/>
    <w:rsid w:val="00907A26"/>
    <w:rsid w:val="00912F64"/>
    <w:rsid w:val="00913A67"/>
    <w:rsid w:val="009313EB"/>
    <w:rsid w:val="00933BA1"/>
    <w:rsid w:val="00940337"/>
    <w:rsid w:val="009521E8"/>
    <w:rsid w:val="00952FDF"/>
    <w:rsid w:val="009556A0"/>
    <w:rsid w:val="00962CCE"/>
    <w:rsid w:val="009644F8"/>
    <w:rsid w:val="00966A2D"/>
    <w:rsid w:val="00966C8F"/>
    <w:rsid w:val="00967D23"/>
    <w:rsid w:val="009727F3"/>
    <w:rsid w:val="00974262"/>
    <w:rsid w:val="00974362"/>
    <w:rsid w:val="00980656"/>
    <w:rsid w:val="00980678"/>
    <w:rsid w:val="009837E7"/>
    <w:rsid w:val="00992DC5"/>
    <w:rsid w:val="00992EE5"/>
    <w:rsid w:val="00994AFB"/>
    <w:rsid w:val="00994CC3"/>
    <w:rsid w:val="009A09E0"/>
    <w:rsid w:val="009A29DD"/>
    <w:rsid w:val="009A76FA"/>
    <w:rsid w:val="009B0502"/>
    <w:rsid w:val="009B38BF"/>
    <w:rsid w:val="009B78EC"/>
    <w:rsid w:val="009B7A90"/>
    <w:rsid w:val="009C3B89"/>
    <w:rsid w:val="009D3A82"/>
    <w:rsid w:val="009D4AF6"/>
    <w:rsid w:val="009E198C"/>
    <w:rsid w:val="009E3624"/>
    <w:rsid w:val="009F2218"/>
    <w:rsid w:val="009F34EF"/>
    <w:rsid w:val="00A1320C"/>
    <w:rsid w:val="00A22B23"/>
    <w:rsid w:val="00A31F84"/>
    <w:rsid w:val="00A31F8D"/>
    <w:rsid w:val="00A3359C"/>
    <w:rsid w:val="00A33960"/>
    <w:rsid w:val="00A44784"/>
    <w:rsid w:val="00A47E7A"/>
    <w:rsid w:val="00A51357"/>
    <w:rsid w:val="00A52009"/>
    <w:rsid w:val="00A52CDA"/>
    <w:rsid w:val="00A54BF3"/>
    <w:rsid w:val="00A578B3"/>
    <w:rsid w:val="00A57D9C"/>
    <w:rsid w:val="00A61F58"/>
    <w:rsid w:val="00A64E96"/>
    <w:rsid w:val="00A811B0"/>
    <w:rsid w:val="00A81656"/>
    <w:rsid w:val="00A82795"/>
    <w:rsid w:val="00A83D65"/>
    <w:rsid w:val="00A90C62"/>
    <w:rsid w:val="00A91CDC"/>
    <w:rsid w:val="00A966A4"/>
    <w:rsid w:val="00A97735"/>
    <w:rsid w:val="00AB024F"/>
    <w:rsid w:val="00AB6342"/>
    <w:rsid w:val="00AC41C2"/>
    <w:rsid w:val="00AD4574"/>
    <w:rsid w:val="00AD7697"/>
    <w:rsid w:val="00AE268E"/>
    <w:rsid w:val="00AE485A"/>
    <w:rsid w:val="00AE6835"/>
    <w:rsid w:val="00AE73A3"/>
    <w:rsid w:val="00AF0F3D"/>
    <w:rsid w:val="00AF2739"/>
    <w:rsid w:val="00B0028A"/>
    <w:rsid w:val="00B00621"/>
    <w:rsid w:val="00B027CD"/>
    <w:rsid w:val="00B05B97"/>
    <w:rsid w:val="00B172BC"/>
    <w:rsid w:val="00B3074D"/>
    <w:rsid w:val="00B308DD"/>
    <w:rsid w:val="00B31418"/>
    <w:rsid w:val="00B3294D"/>
    <w:rsid w:val="00B32C9E"/>
    <w:rsid w:val="00B407B7"/>
    <w:rsid w:val="00B42660"/>
    <w:rsid w:val="00B51687"/>
    <w:rsid w:val="00B56FB9"/>
    <w:rsid w:val="00B61BF8"/>
    <w:rsid w:val="00B645CD"/>
    <w:rsid w:val="00B6632D"/>
    <w:rsid w:val="00B72033"/>
    <w:rsid w:val="00B7219C"/>
    <w:rsid w:val="00B73474"/>
    <w:rsid w:val="00B84048"/>
    <w:rsid w:val="00B84E83"/>
    <w:rsid w:val="00B85EAC"/>
    <w:rsid w:val="00B92FED"/>
    <w:rsid w:val="00B96D59"/>
    <w:rsid w:val="00B96DEF"/>
    <w:rsid w:val="00BA38D7"/>
    <w:rsid w:val="00BA540E"/>
    <w:rsid w:val="00BA6079"/>
    <w:rsid w:val="00BA6A9C"/>
    <w:rsid w:val="00BB089D"/>
    <w:rsid w:val="00BB29EF"/>
    <w:rsid w:val="00BB46FD"/>
    <w:rsid w:val="00BB5D68"/>
    <w:rsid w:val="00BC5FA5"/>
    <w:rsid w:val="00BC7221"/>
    <w:rsid w:val="00BC7977"/>
    <w:rsid w:val="00BD149B"/>
    <w:rsid w:val="00BD3D6E"/>
    <w:rsid w:val="00BD719F"/>
    <w:rsid w:val="00BE285E"/>
    <w:rsid w:val="00BE2CBE"/>
    <w:rsid w:val="00BE3A1D"/>
    <w:rsid w:val="00BE5629"/>
    <w:rsid w:val="00BE6AB1"/>
    <w:rsid w:val="00BE77E4"/>
    <w:rsid w:val="00C02EB9"/>
    <w:rsid w:val="00C0704C"/>
    <w:rsid w:val="00C14A9A"/>
    <w:rsid w:val="00C15734"/>
    <w:rsid w:val="00C2456B"/>
    <w:rsid w:val="00C25AE7"/>
    <w:rsid w:val="00C30C76"/>
    <w:rsid w:val="00C310C1"/>
    <w:rsid w:val="00C33764"/>
    <w:rsid w:val="00C33D6E"/>
    <w:rsid w:val="00C47436"/>
    <w:rsid w:val="00C52201"/>
    <w:rsid w:val="00C52346"/>
    <w:rsid w:val="00C63787"/>
    <w:rsid w:val="00C653F4"/>
    <w:rsid w:val="00C71132"/>
    <w:rsid w:val="00C711B4"/>
    <w:rsid w:val="00C771BA"/>
    <w:rsid w:val="00C86DB0"/>
    <w:rsid w:val="00C953CA"/>
    <w:rsid w:val="00CA1BE4"/>
    <w:rsid w:val="00CB0FC4"/>
    <w:rsid w:val="00CB1702"/>
    <w:rsid w:val="00CB18BA"/>
    <w:rsid w:val="00CB4FF0"/>
    <w:rsid w:val="00CB718A"/>
    <w:rsid w:val="00CC0DD5"/>
    <w:rsid w:val="00CC1BF9"/>
    <w:rsid w:val="00CC3355"/>
    <w:rsid w:val="00CC397C"/>
    <w:rsid w:val="00CD09BD"/>
    <w:rsid w:val="00CD2DE1"/>
    <w:rsid w:val="00CE1D09"/>
    <w:rsid w:val="00CE279F"/>
    <w:rsid w:val="00CE721E"/>
    <w:rsid w:val="00CE76EC"/>
    <w:rsid w:val="00CF0F6C"/>
    <w:rsid w:val="00CF1ABE"/>
    <w:rsid w:val="00CF387A"/>
    <w:rsid w:val="00D026D5"/>
    <w:rsid w:val="00D067DD"/>
    <w:rsid w:val="00D10298"/>
    <w:rsid w:val="00D109EE"/>
    <w:rsid w:val="00D12C43"/>
    <w:rsid w:val="00D13C36"/>
    <w:rsid w:val="00D14688"/>
    <w:rsid w:val="00D155A0"/>
    <w:rsid w:val="00D20254"/>
    <w:rsid w:val="00D2127B"/>
    <w:rsid w:val="00D23012"/>
    <w:rsid w:val="00D304E8"/>
    <w:rsid w:val="00D36B21"/>
    <w:rsid w:val="00D556DA"/>
    <w:rsid w:val="00D57587"/>
    <w:rsid w:val="00D7057A"/>
    <w:rsid w:val="00D70DE2"/>
    <w:rsid w:val="00D82CDD"/>
    <w:rsid w:val="00D955E4"/>
    <w:rsid w:val="00D97236"/>
    <w:rsid w:val="00D97B38"/>
    <w:rsid w:val="00DA5F1D"/>
    <w:rsid w:val="00DB0A05"/>
    <w:rsid w:val="00DB629B"/>
    <w:rsid w:val="00DB6396"/>
    <w:rsid w:val="00DC00EE"/>
    <w:rsid w:val="00DC0239"/>
    <w:rsid w:val="00DC13F1"/>
    <w:rsid w:val="00DC74AB"/>
    <w:rsid w:val="00DD3F22"/>
    <w:rsid w:val="00DD5432"/>
    <w:rsid w:val="00DD6081"/>
    <w:rsid w:val="00DD731F"/>
    <w:rsid w:val="00DD7C3D"/>
    <w:rsid w:val="00DE1B15"/>
    <w:rsid w:val="00DE58EE"/>
    <w:rsid w:val="00DE5D65"/>
    <w:rsid w:val="00DE703D"/>
    <w:rsid w:val="00DF52AC"/>
    <w:rsid w:val="00E05A84"/>
    <w:rsid w:val="00E10902"/>
    <w:rsid w:val="00E17964"/>
    <w:rsid w:val="00E3050E"/>
    <w:rsid w:val="00E320A0"/>
    <w:rsid w:val="00E3751F"/>
    <w:rsid w:val="00E43C2B"/>
    <w:rsid w:val="00E52EB5"/>
    <w:rsid w:val="00E561B0"/>
    <w:rsid w:val="00E5642C"/>
    <w:rsid w:val="00E65AFA"/>
    <w:rsid w:val="00E710B8"/>
    <w:rsid w:val="00E749C5"/>
    <w:rsid w:val="00E7589D"/>
    <w:rsid w:val="00E8004B"/>
    <w:rsid w:val="00E806BE"/>
    <w:rsid w:val="00E81AAB"/>
    <w:rsid w:val="00E834D8"/>
    <w:rsid w:val="00E84151"/>
    <w:rsid w:val="00E877BC"/>
    <w:rsid w:val="00E907D5"/>
    <w:rsid w:val="00E91A17"/>
    <w:rsid w:val="00E91F3A"/>
    <w:rsid w:val="00E92A57"/>
    <w:rsid w:val="00E93ED4"/>
    <w:rsid w:val="00E96287"/>
    <w:rsid w:val="00E97F39"/>
    <w:rsid w:val="00EB496C"/>
    <w:rsid w:val="00EB5F5C"/>
    <w:rsid w:val="00EB7B24"/>
    <w:rsid w:val="00EC74B5"/>
    <w:rsid w:val="00EC79FB"/>
    <w:rsid w:val="00EC7E17"/>
    <w:rsid w:val="00ED2233"/>
    <w:rsid w:val="00EE096C"/>
    <w:rsid w:val="00EE4ADB"/>
    <w:rsid w:val="00EF1B78"/>
    <w:rsid w:val="00EF1ED3"/>
    <w:rsid w:val="00EF5C71"/>
    <w:rsid w:val="00F0013C"/>
    <w:rsid w:val="00F0073B"/>
    <w:rsid w:val="00F015D8"/>
    <w:rsid w:val="00F02482"/>
    <w:rsid w:val="00F1174A"/>
    <w:rsid w:val="00F12447"/>
    <w:rsid w:val="00F17D83"/>
    <w:rsid w:val="00F3412D"/>
    <w:rsid w:val="00F50E75"/>
    <w:rsid w:val="00F60AEB"/>
    <w:rsid w:val="00F6446A"/>
    <w:rsid w:val="00F66B36"/>
    <w:rsid w:val="00F82212"/>
    <w:rsid w:val="00F83029"/>
    <w:rsid w:val="00F830AF"/>
    <w:rsid w:val="00F835CF"/>
    <w:rsid w:val="00F83A39"/>
    <w:rsid w:val="00F84983"/>
    <w:rsid w:val="00F851A3"/>
    <w:rsid w:val="00F913A0"/>
    <w:rsid w:val="00F91F66"/>
    <w:rsid w:val="00F9257C"/>
    <w:rsid w:val="00F9457D"/>
    <w:rsid w:val="00F94947"/>
    <w:rsid w:val="00FA0FE2"/>
    <w:rsid w:val="00FA2523"/>
    <w:rsid w:val="00FA3F44"/>
    <w:rsid w:val="00FB233C"/>
    <w:rsid w:val="00FC4023"/>
    <w:rsid w:val="00FC4B82"/>
    <w:rsid w:val="00FD3269"/>
    <w:rsid w:val="00FD3580"/>
    <w:rsid w:val="00FD484D"/>
    <w:rsid w:val="00FE607A"/>
    <w:rsid w:val="00FF4946"/>
    <w:rsid w:val="474F40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uiPriority="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E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95C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066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95CE7"/>
    <w:rPr>
      <w:rFonts w:ascii="宋体"/>
      <w:sz w:val="18"/>
      <w:szCs w:val="18"/>
    </w:rPr>
  </w:style>
  <w:style w:type="paragraph" w:styleId="a4">
    <w:name w:val="footer"/>
    <w:basedOn w:val="a"/>
    <w:link w:val="Char0"/>
    <w:uiPriority w:val="99"/>
    <w:unhideWhenUsed/>
    <w:qFormat/>
    <w:rsid w:val="00895CE7"/>
    <w:pPr>
      <w:tabs>
        <w:tab w:val="center" w:pos="4153"/>
        <w:tab w:val="right" w:pos="8306"/>
      </w:tabs>
      <w:snapToGrid w:val="0"/>
      <w:jc w:val="left"/>
    </w:pPr>
    <w:rPr>
      <w:sz w:val="18"/>
      <w:szCs w:val="18"/>
    </w:rPr>
  </w:style>
  <w:style w:type="paragraph" w:styleId="a5">
    <w:name w:val="header"/>
    <w:basedOn w:val="a"/>
    <w:link w:val="Char1"/>
    <w:uiPriority w:val="99"/>
    <w:unhideWhenUsed/>
    <w:rsid w:val="00895CE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95CE7"/>
    <w:pPr>
      <w:spacing w:before="120" w:after="120"/>
      <w:jc w:val="left"/>
    </w:pPr>
    <w:rPr>
      <w:b/>
      <w:bCs/>
      <w:caps/>
      <w:sz w:val="20"/>
      <w:szCs w:val="20"/>
    </w:rPr>
  </w:style>
  <w:style w:type="character" w:styleId="a6">
    <w:name w:val="Hyperlink"/>
    <w:uiPriority w:val="99"/>
    <w:qFormat/>
    <w:rsid w:val="00895CE7"/>
    <w:rPr>
      <w:color w:val="0000FF"/>
      <w:u w:val="single"/>
    </w:rPr>
  </w:style>
  <w:style w:type="character" w:customStyle="1" w:styleId="1Char">
    <w:name w:val="标题 1 Char"/>
    <w:basedOn w:val="a0"/>
    <w:link w:val="1"/>
    <w:qFormat/>
    <w:rsid w:val="00895CE7"/>
    <w:rPr>
      <w:rFonts w:ascii="Times New Roman" w:eastAsia="宋体" w:hAnsi="Times New Roman" w:cs="Times New Roman"/>
      <w:b/>
      <w:bCs/>
      <w:kern w:val="44"/>
      <w:sz w:val="44"/>
      <w:szCs w:val="44"/>
    </w:rPr>
  </w:style>
  <w:style w:type="paragraph" w:customStyle="1" w:styleId="CharCharChar1CharChar">
    <w:name w:val="Char Char Char1 Char Char"/>
    <w:basedOn w:val="a3"/>
    <w:rsid w:val="00895CE7"/>
    <w:pPr>
      <w:shd w:val="clear" w:color="auto" w:fill="000080"/>
      <w:adjustRightInd w:val="0"/>
      <w:spacing w:line="436" w:lineRule="exact"/>
      <w:ind w:left="357"/>
      <w:jc w:val="left"/>
      <w:outlineLvl w:val="3"/>
    </w:pPr>
    <w:rPr>
      <w:rFonts w:ascii="Tahoma" w:hAnsi="Tahoma"/>
      <w:b/>
      <w:sz w:val="24"/>
      <w:szCs w:val="24"/>
    </w:rPr>
  </w:style>
  <w:style w:type="character" w:customStyle="1" w:styleId="Char">
    <w:name w:val="文档结构图 Char"/>
    <w:basedOn w:val="a0"/>
    <w:link w:val="a3"/>
    <w:uiPriority w:val="99"/>
    <w:semiHidden/>
    <w:qFormat/>
    <w:rsid w:val="00895CE7"/>
    <w:rPr>
      <w:rFonts w:ascii="宋体" w:eastAsia="宋体" w:hAnsi="Times New Roman" w:cs="Times New Roman"/>
      <w:sz w:val="18"/>
      <w:szCs w:val="18"/>
    </w:rPr>
  </w:style>
  <w:style w:type="character" w:customStyle="1" w:styleId="Char1">
    <w:name w:val="页眉 Char"/>
    <w:basedOn w:val="a0"/>
    <w:link w:val="a5"/>
    <w:uiPriority w:val="99"/>
    <w:rsid w:val="00895CE7"/>
    <w:rPr>
      <w:rFonts w:ascii="Times New Roman" w:eastAsia="宋体" w:hAnsi="Times New Roman" w:cs="Times New Roman"/>
      <w:sz w:val="18"/>
      <w:szCs w:val="18"/>
    </w:rPr>
  </w:style>
  <w:style w:type="character" w:customStyle="1" w:styleId="Char0">
    <w:name w:val="页脚 Char"/>
    <w:basedOn w:val="a0"/>
    <w:link w:val="a4"/>
    <w:uiPriority w:val="99"/>
    <w:rsid w:val="00895CE7"/>
    <w:rPr>
      <w:rFonts w:ascii="Times New Roman" w:eastAsia="宋体" w:hAnsi="Times New Roman" w:cs="Times New Roman"/>
      <w:sz w:val="18"/>
      <w:szCs w:val="18"/>
    </w:rPr>
  </w:style>
  <w:style w:type="paragraph" w:styleId="a7">
    <w:name w:val="List Paragraph"/>
    <w:basedOn w:val="a"/>
    <w:uiPriority w:val="99"/>
    <w:rsid w:val="00F66B36"/>
    <w:pPr>
      <w:ind w:firstLineChars="200" w:firstLine="420"/>
    </w:pPr>
  </w:style>
  <w:style w:type="paragraph" w:styleId="TOC">
    <w:name w:val="TOC Heading"/>
    <w:basedOn w:val="1"/>
    <w:next w:val="a"/>
    <w:uiPriority w:val="39"/>
    <w:unhideWhenUsed/>
    <w:qFormat/>
    <w:rsid w:val="0028643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EB5F5C"/>
    <w:pPr>
      <w:widowControl/>
      <w:tabs>
        <w:tab w:val="right" w:leader="dot" w:pos="8296"/>
      </w:tabs>
      <w:spacing w:after="100" w:line="259" w:lineRule="auto"/>
      <w:ind w:left="220"/>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286435"/>
    <w:pPr>
      <w:widowControl/>
      <w:spacing w:after="100" w:line="259" w:lineRule="auto"/>
      <w:ind w:left="440"/>
      <w:jc w:val="left"/>
    </w:pPr>
    <w:rPr>
      <w:rFonts w:asciiTheme="minorHAnsi" w:eastAsiaTheme="minorEastAsia" w:hAnsiTheme="minorHAnsi"/>
      <w:kern w:val="0"/>
      <w:sz w:val="22"/>
      <w:szCs w:val="22"/>
    </w:rPr>
  </w:style>
  <w:style w:type="paragraph" w:styleId="a8">
    <w:name w:val="Body Text Indent"/>
    <w:aliases w:val="正文文字缩进2字符,正文文字( 首段缩进两字）"/>
    <w:basedOn w:val="a"/>
    <w:link w:val="Char2"/>
    <w:rsid w:val="008203D3"/>
    <w:pPr>
      <w:ind w:firstLineChars="200" w:firstLine="480"/>
    </w:pPr>
    <w:rPr>
      <w:sz w:val="24"/>
    </w:rPr>
  </w:style>
  <w:style w:type="character" w:customStyle="1" w:styleId="Char2">
    <w:name w:val="正文文本缩进 Char"/>
    <w:aliases w:val="正文文字缩进2字符 Char,正文文字( 首段缩进两字） Char"/>
    <w:basedOn w:val="a0"/>
    <w:link w:val="a8"/>
    <w:rsid w:val="008203D3"/>
    <w:rPr>
      <w:rFonts w:ascii="Times New Roman" w:eastAsia="宋体" w:hAnsi="Times New Roman" w:cs="Times New Roman"/>
      <w:kern w:val="2"/>
      <w:sz w:val="24"/>
      <w:szCs w:val="24"/>
    </w:rPr>
  </w:style>
  <w:style w:type="character" w:customStyle="1" w:styleId="2Char">
    <w:name w:val="标题 2 Char"/>
    <w:basedOn w:val="a0"/>
    <w:link w:val="2"/>
    <w:uiPriority w:val="9"/>
    <w:semiHidden/>
    <w:rsid w:val="00706641"/>
    <w:rPr>
      <w:rFonts w:asciiTheme="majorHAnsi" w:eastAsiaTheme="majorEastAsia" w:hAnsiTheme="majorHAnsi" w:cstheme="majorBidi"/>
      <w:b/>
      <w:bCs/>
      <w:kern w:val="2"/>
      <w:sz w:val="32"/>
      <w:szCs w:val="32"/>
    </w:rPr>
  </w:style>
  <w:style w:type="paragraph" w:styleId="a9">
    <w:name w:val="Body Text"/>
    <w:basedOn w:val="a"/>
    <w:link w:val="Char3"/>
    <w:uiPriority w:val="99"/>
    <w:semiHidden/>
    <w:unhideWhenUsed/>
    <w:rsid w:val="00706641"/>
    <w:pPr>
      <w:spacing w:after="120"/>
    </w:pPr>
  </w:style>
  <w:style w:type="character" w:customStyle="1" w:styleId="Char3">
    <w:name w:val="正文文本 Char"/>
    <w:basedOn w:val="a0"/>
    <w:link w:val="a9"/>
    <w:uiPriority w:val="99"/>
    <w:semiHidden/>
    <w:rsid w:val="00706641"/>
    <w:rPr>
      <w:rFonts w:ascii="Times New Roman" w:eastAsia="宋体" w:hAnsi="Times New Roman" w:cs="Times New Roman"/>
      <w:kern w:val="2"/>
      <w:sz w:val="21"/>
      <w:szCs w:val="24"/>
    </w:rPr>
  </w:style>
  <w:style w:type="paragraph" w:customStyle="1" w:styleId="TableParagraph">
    <w:name w:val="Table Paragraph"/>
    <w:basedOn w:val="a"/>
    <w:rsid w:val="00B3294D"/>
    <w:pPr>
      <w:autoSpaceDE w:val="0"/>
      <w:autoSpaceDN w:val="0"/>
      <w:jc w:val="left"/>
    </w:pPr>
    <w:rPr>
      <w:kern w:val="0"/>
      <w:sz w:val="22"/>
      <w:szCs w:val="22"/>
    </w:rPr>
  </w:style>
  <w:style w:type="paragraph" w:styleId="aa">
    <w:name w:val="caption"/>
    <w:basedOn w:val="a"/>
    <w:next w:val="a"/>
    <w:uiPriority w:val="35"/>
    <w:unhideWhenUsed/>
    <w:qFormat/>
    <w:rsid w:val="008438FA"/>
    <w:rPr>
      <w:rFonts w:asciiTheme="majorHAnsi" w:eastAsia="黑体" w:hAnsiTheme="majorHAnsi" w:cstheme="majorBidi"/>
      <w:sz w:val="20"/>
      <w:szCs w:val="20"/>
    </w:rPr>
  </w:style>
  <w:style w:type="table" w:styleId="ab">
    <w:name w:val="Table Grid"/>
    <w:basedOn w:val="a1"/>
    <w:uiPriority w:val="59"/>
    <w:rsid w:val="0033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7D51BF"/>
    <w:pPr>
      <w:widowControl/>
      <w:spacing w:before="100" w:beforeAutospacing="1" w:after="100" w:afterAutospacing="1"/>
      <w:jc w:val="left"/>
    </w:pPr>
    <w:rPr>
      <w:rFonts w:ascii="宋体" w:hAnsi="宋体"/>
      <w:kern w:val="0"/>
      <w:sz w:val="24"/>
    </w:rPr>
  </w:style>
  <w:style w:type="paragraph" w:styleId="ad">
    <w:name w:val="Revision"/>
    <w:hidden/>
    <w:uiPriority w:val="99"/>
    <w:semiHidden/>
    <w:rsid w:val="0036029B"/>
    <w:rPr>
      <w:rFonts w:ascii="Times New Roman" w:eastAsia="宋体" w:hAnsi="Times New Roman" w:cs="Times New Roman"/>
      <w:kern w:val="2"/>
      <w:sz w:val="21"/>
      <w:szCs w:val="24"/>
    </w:rPr>
  </w:style>
  <w:style w:type="character" w:styleId="ae">
    <w:name w:val="annotation reference"/>
    <w:basedOn w:val="a0"/>
    <w:uiPriority w:val="99"/>
    <w:semiHidden/>
    <w:unhideWhenUsed/>
    <w:rsid w:val="00593306"/>
    <w:rPr>
      <w:sz w:val="21"/>
      <w:szCs w:val="21"/>
    </w:rPr>
  </w:style>
  <w:style w:type="paragraph" w:styleId="af">
    <w:name w:val="annotation text"/>
    <w:basedOn w:val="a"/>
    <w:link w:val="Char4"/>
    <w:uiPriority w:val="99"/>
    <w:semiHidden/>
    <w:unhideWhenUsed/>
    <w:rsid w:val="00593306"/>
    <w:pPr>
      <w:jc w:val="left"/>
    </w:pPr>
  </w:style>
  <w:style w:type="character" w:customStyle="1" w:styleId="Char4">
    <w:name w:val="批注文字 Char"/>
    <w:basedOn w:val="a0"/>
    <w:link w:val="af"/>
    <w:uiPriority w:val="99"/>
    <w:semiHidden/>
    <w:rsid w:val="00593306"/>
    <w:rPr>
      <w:rFonts w:ascii="Times New Roman" w:eastAsia="宋体" w:hAnsi="Times New Roman" w:cs="Times New Roman"/>
      <w:kern w:val="2"/>
      <w:sz w:val="21"/>
      <w:szCs w:val="24"/>
    </w:rPr>
  </w:style>
  <w:style w:type="paragraph" w:styleId="af0">
    <w:name w:val="annotation subject"/>
    <w:basedOn w:val="af"/>
    <w:next w:val="af"/>
    <w:link w:val="Char5"/>
    <w:uiPriority w:val="99"/>
    <w:semiHidden/>
    <w:unhideWhenUsed/>
    <w:rsid w:val="00593306"/>
    <w:rPr>
      <w:b/>
      <w:bCs/>
    </w:rPr>
  </w:style>
  <w:style w:type="character" w:customStyle="1" w:styleId="Char5">
    <w:name w:val="批注主题 Char"/>
    <w:basedOn w:val="Char4"/>
    <w:link w:val="af0"/>
    <w:uiPriority w:val="99"/>
    <w:semiHidden/>
    <w:rsid w:val="00593306"/>
    <w:rPr>
      <w:rFonts w:ascii="Times New Roman" w:eastAsia="宋体" w:hAnsi="Times New Roman" w:cs="Times New Roman"/>
      <w:b/>
      <w:bCs/>
      <w:kern w:val="2"/>
      <w:sz w:val="21"/>
      <w:szCs w:val="24"/>
    </w:rPr>
  </w:style>
  <w:style w:type="paragraph" w:styleId="af1">
    <w:name w:val="Balloon Text"/>
    <w:basedOn w:val="a"/>
    <w:link w:val="Char6"/>
    <w:uiPriority w:val="99"/>
    <w:semiHidden/>
    <w:unhideWhenUsed/>
    <w:rsid w:val="007C3779"/>
    <w:rPr>
      <w:sz w:val="18"/>
      <w:szCs w:val="18"/>
    </w:rPr>
  </w:style>
  <w:style w:type="character" w:customStyle="1" w:styleId="Char6">
    <w:name w:val="批注框文本 Char"/>
    <w:basedOn w:val="a0"/>
    <w:link w:val="af1"/>
    <w:uiPriority w:val="99"/>
    <w:semiHidden/>
    <w:rsid w:val="007C377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04699205">
      <w:bodyDiv w:val="1"/>
      <w:marLeft w:val="0"/>
      <w:marRight w:val="0"/>
      <w:marTop w:val="0"/>
      <w:marBottom w:val="0"/>
      <w:divBdr>
        <w:top w:val="none" w:sz="0" w:space="0" w:color="auto"/>
        <w:left w:val="none" w:sz="0" w:space="0" w:color="auto"/>
        <w:bottom w:val="none" w:sz="0" w:space="0" w:color="auto"/>
        <w:right w:val="none" w:sz="0" w:space="0" w:color="auto"/>
      </w:divBdr>
    </w:div>
    <w:div w:id="522671708">
      <w:bodyDiv w:val="1"/>
      <w:marLeft w:val="0"/>
      <w:marRight w:val="0"/>
      <w:marTop w:val="0"/>
      <w:marBottom w:val="0"/>
      <w:divBdr>
        <w:top w:val="none" w:sz="0" w:space="0" w:color="auto"/>
        <w:left w:val="none" w:sz="0" w:space="0" w:color="auto"/>
        <w:bottom w:val="none" w:sz="0" w:space="0" w:color="auto"/>
        <w:right w:val="none" w:sz="0" w:space="0" w:color="auto"/>
      </w:divBdr>
    </w:div>
    <w:div w:id="632711923">
      <w:bodyDiv w:val="1"/>
      <w:marLeft w:val="0"/>
      <w:marRight w:val="0"/>
      <w:marTop w:val="0"/>
      <w:marBottom w:val="0"/>
      <w:divBdr>
        <w:top w:val="none" w:sz="0" w:space="0" w:color="auto"/>
        <w:left w:val="none" w:sz="0" w:space="0" w:color="auto"/>
        <w:bottom w:val="none" w:sz="0" w:space="0" w:color="auto"/>
        <w:right w:val="none" w:sz="0" w:space="0" w:color="auto"/>
      </w:divBdr>
    </w:div>
    <w:div w:id="1646738706">
      <w:bodyDiv w:val="1"/>
      <w:marLeft w:val="0"/>
      <w:marRight w:val="0"/>
      <w:marTop w:val="0"/>
      <w:marBottom w:val="0"/>
      <w:divBdr>
        <w:top w:val="none" w:sz="0" w:space="0" w:color="auto"/>
        <w:left w:val="none" w:sz="0" w:space="0" w:color="auto"/>
        <w:bottom w:val="none" w:sz="0" w:space="0" w:color="auto"/>
        <w:right w:val="none" w:sz="0" w:space="0" w:color="auto"/>
      </w:divBdr>
    </w:div>
    <w:div w:id="1728649307">
      <w:bodyDiv w:val="1"/>
      <w:marLeft w:val="0"/>
      <w:marRight w:val="0"/>
      <w:marTop w:val="0"/>
      <w:marBottom w:val="0"/>
      <w:divBdr>
        <w:top w:val="none" w:sz="0" w:space="0" w:color="auto"/>
        <w:left w:val="none" w:sz="0" w:space="0" w:color="auto"/>
        <w:bottom w:val="none" w:sz="0" w:space="0" w:color="auto"/>
        <w:right w:val="none" w:sz="0" w:space="0" w:color="auto"/>
      </w:divBdr>
    </w:div>
    <w:div w:id="179158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80A63-58BF-4682-857D-07181195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3479</Words>
  <Characters>19833</Characters>
  <Application>Microsoft Office Word</Application>
  <DocSecurity>0</DocSecurity>
  <Lines>165</Lines>
  <Paragraphs>46</Paragraphs>
  <ScaleCrop>false</ScaleCrop>
  <Company/>
  <LinksUpToDate>false</LinksUpToDate>
  <CharactersWithSpaces>23266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abc</cp:lastModifiedBy>
  <cp:revision>27</cp:revision>
  <dcterms:created xsi:type="dcterms:W3CDTF">2022-11-20T05:33:00Z</dcterms:created>
  <dcterms:modified xsi:type="dcterms:W3CDTF">2022-11-25T08:52:00Z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90186085E02E4CD0B393B61089355FD7</vt:lpwstr>
  </property>
</Properties>
</file>