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eastAsia="仿宋" w:cs="Arial"/>
          <w:color w:val="000000"/>
          <w:sz w:val="30"/>
          <w:szCs w:val="30"/>
        </w:rPr>
        <w:t>附件</w:t>
      </w:r>
      <w:r>
        <w:rPr>
          <w:rFonts w:ascii="仿宋" w:eastAsia="仿宋" w:cs="Arial"/>
          <w:color w:val="000000"/>
          <w:sz w:val="30"/>
          <w:szCs w:val="30"/>
        </w:rPr>
        <w:t>2</w:t>
      </w:r>
      <w:r>
        <w:rPr>
          <w:rFonts w:hint="eastAsia" w:ascii="仿宋" w:eastAsia="仿宋" w:cs="Arial"/>
          <w:color w:val="000000"/>
          <w:sz w:val="30"/>
          <w:szCs w:val="30"/>
        </w:rPr>
        <w:t>：</w:t>
      </w:r>
    </w:p>
    <w:p>
      <w:pPr>
        <w:jc w:val="center"/>
        <w:rPr>
          <w:rFonts w:ascii="仿宋" w:eastAsia="仿宋" w:cs="Arial"/>
          <w:b/>
          <w:color w:val="000000"/>
          <w:sz w:val="30"/>
          <w:szCs w:val="30"/>
        </w:rPr>
      </w:pPr>
    </w:p>
    <w:p>
      <w:pPr>
        <w:jc w:val="center"/>
        <w:rPr>
          <w:rFonts w:ascii="仿宋" w:eastAsia="仿宋" w:cs="Arial"/>
          <w:b/>
          <w:color w:val="000000"/>
          <w:sz w:val="30"/>
          <w:szCs w:val="30"/>
        </w:rPr>
      </w:pPr>
      <w:r>
        <w:rPr>
          <w:rFonts w:ascii="仿宋" w:eastAsia="仿宋" w:cs="Arial"/>
          <w:b/>
          <w:color w:val="000000"/>
          <w:sz w:val="30"/>
          <w:szCs w:val="30"/>
        </w:rPr>
        <w:t>第十六届环境与发展论坛</w:t>
      </w:r>
      <w:r>
        <w:rPr>
          <w:rFonts w:hint="eastAsia" w:ascii="仿宋" w:eastAsia="仿宋" w:cs="Arial"/>
          <w:b/>
          <w:color w:val="000000"/>
          <w:sz w:val="30"/>
          <w:szCs w:val="30"/>
        </w:rPr>
        <w:t>暨第二届中国水环境治理前瞻论坛</w:t>
      </w:r>
    </w:p>
    <w:p>
      <w:pPr>
        <w:jc w:val="center"/>
        <w:rPr>
          <w:rFonts w:ascii="仿宋" w:eastAsia="仿宋" w:cs="Arial"/>
          <w:b/>
          <w:color w:val="000000"/>
          <w:sz w:val="36"/>
          <w:szCs w:val="36"/>
        </w:rPr>
      </w:pPr>
      <w:r>
        <w:rPr>
          <w:rFonts w:hint="eastAsia" w:ascii="仿宋" w:eastAsia="仿宋" w:cs="Arial"/>
          <w:b/>
          <w:color w:val="000000"/>
          <w:sz w:val="36"/>
          <w:szCs w:val="36"/>
        </w:rPr>
        <w:t>——智慧水环境创新发展（武汉）峰会</w:t>
      </w:r>
    </w:p>
    <w:p>
      <w:pPr>
        <w:jc w:val="center"/>
        <w:rPr>
          <w:rFonts w:ascii="仿宋" w:eastAsia="仿宋" w:cs="Arial"/>
          <w:b/>
          <w:color w:val="000000"/>
          <w:sz w:val="30"/>
          <w:szCs w:val="30"/>
        </w:rPr>
      </w:pPr>
    </w:p>
    <w:p>
      <w:pPr>
        <w:jc w:val="center"/>
        <w:rPr>
          <w:rFonts w:hint="eastAsia" w:ascii="仿宋" w:eastAsia="仿宋" w:cs="Arial"/>
          <w:b/>
          <w:color w:val="000000"/>
          <w:sz w:val="36"/>
          <w:szCs w:val="36"/>
        </w:rPr>
      </w:pPr>
      <w:r>
        <w:rPr>
          <w:rFonts w:hint="eastAsia" w:ascii="仿宋" w:eastAsia="仿宋" w:cs="Arial"/>
          <w:b/>
          <w:color w:val="000000"/>
          <w:sz w:val="36"/>
          <w:szCs w:val="36"/>
        </w:rPr>
        <w:t>会 议 方 案</w:t>
      </w:r>
    </w:p>
    <w:p>
      <w:pPr>
        <w:jc w:val="center"/>
        <w:rPr>
          <w:rFonts w:hint="default" w:ascii="仿宋" w:eastAsia="仿宋" w:cs="Arial"/>
          <w:b/>
          <w:color w:val="000000"/>
          <w:sz w:val="36"/>
          <w:szCs w:val="36"/>
          <w:lang w:val="en-US" w:eastAsia="zh-CN"/>
        </w:rPr>
      </w:pPr>
      <w:r>
        <w:rPr>
          <w:rFonts w:hint="eastAsia" w:ascii="仿宋" w:eastAsia="仿宋" w:cs="Arial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eastAsia="仿宋" w:cs="Arial"/>
          <w:b/>
          <w:color w:val="000000"/>
          <w:sz w:val="28"/>
          <w:szCs w:val="28"/>
          <w:lang w:val="en-US" w:eastAsia="zh-CN"/>
        </w:rPr>
        <w:t>拟定）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firstLine="600" w:firstLineChars="200"/>
        <w:jc w:val="both"/>
        <w:rPr>
          <w:rFonts w:hint="eastAsia" w:ascii="仿宋" w:eastAsia="仿宋" w:cs="Arial"/>
          <w:color w:val="000000"/>
          <w:sz w:val="30"/>
          <w:szCs w:val="30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" w:eastAsia="仿宋" w:cs="Arial"/>
          <w:b/>
          <w:bCs/>
          <w:color w:val="000000"/>
          <w:sz w:val="32"/>
          <w:szCs w:val="32"/>
        </w:rPr>
      </w:pPr>
      <w:r>
        <w:rPr>
          <w:rFonts w:hint="eastAsia" w:ascii="仿宋" w:eastAsia="仿宋" w:cs="Arial"/>
          <w:b/>
          <w:bCs/>
          <w:color w:val="000000"/>
          <w:sz w:val="32"/>
          <w:szCs w:val="32"/>
        </w:rPr>
        <w:t>一、组织机构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hint="eastAsia" w:ascii="仿宋" w:eastAsia="仿宋" w:cs="Arial"/>
          <w:color w:val="000000"/>
          <w:sz w:val="30"/>
          <w:szCs w:val="30"/>
        </w:rPr>
        <w:t>指导单位：生态环境部、湖北省人民政府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  <w:highlight w:val="none"/>
        </w:rPr>
      </w:pPr>
      <w:r>
        <w:rPr>
          <w:rFonts w:hint="eastAsia" w:ascii="仿宋" w:eastAsia="仿宋" w:cs="Arial"/>
          <w:color w:val="000000"/>
          <w:sz w:val="30"/>
          <w:szCs w:val="30"/>
        </w:rPr>
        <w:t>主办单位：中华环保联合会、湖北省生态环境厅、武汉市人</w:t>
      </w:r>
      <w:r>
        <w:rPr>
          <w:rFonts w:hint="eastAsia" w:ascii="仿宋" w:eastAsia="仿宋" w:cs="Arial"/>
          <w:color w:val="000000"/>
          <w:sz w:val="30"/>
          <w:szCs w:val="30"/>
          <w:highlight w:val="none"/>
        </w:rPr>
        <w:t>民政府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  <w:highlight w:val="none"/>
        </w:rPr>
      </w:pPr>
      <w:r>
        <w:rPr>
          <w:rFonts w:hint="eastAsia" w:ascii="仿宋" w:eastAsia="仿宋" w:cs="Arial"/>
          <w:color w:val="000000"/>
          <w:sz w:val="30"/>
          <w:szCs w:val="30"/>
          <w:highlight w:val="none"/>
        </w:rPr>
        <w:t>承办单位：中华环保联合会水环境治理专业委员会、武汉市生态环境局、武汉生态环境投资发展集团有限公司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Arial"/>
          <w:color w:val="000000"/>
          <w:sz w:val="30"/>
          <w:szCs w:val="30"/>
          <w:highlight w:val="none"/>
        </w:rPr>
        <w:t>支持单位：水利部信息中心</w:t>
      </w:r>
      <w:r>
        <w:rPr>
          <w:rFonts w:hint="eastAsia" w:ascii="仿宋" w:eastAsia="仿宋" w:cs="Arial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  <w:t>中国水利水电科学研究院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、湖北省水利水电规划勘测设计院、</w:t>
      </w:r>
      <w:r>
        <w:rPr>
          <w:rFonts w:hint="eastAsia" w:ascii="仿宋" w:hAnsi="仿宋" w:eastAsia="仿宋"/>
          <w:bCs/>
          <w:sz w:val="30"/>
          <w:szCs w:val="30"/>
          <w:highlight w:val="none"/>
          <w:u w:val="none"/>
          <w:lang w:val="en-US" w:eastAsia="zh-CN"/>
        </w:rPr>
        <w:t>武汉市生态环境局、武汉市水务局、武汉市科学技术局、武汉市经济和信息化局、武汉市应急管理局、武汉市发展和改革委员会、</w:t>
      </w:r>
      <w:r>
        <w:rPr>
          <w:rFonts w:hint="eastAsia" w:ascii="仿宋" w:eastAsia="仿宋" w:cs="Arial"/>
          <w:color w:val="000000"/>
          <w:sz w:val="30"/>
          <w:szCs w:val="30"/>
          <w:highlight w:val="none"/>
        </w:rPr>
        <w:t>中国城镇供水排水协会智慧水务专业委员会、上海大学、清华大学、同济大学</w:t>
      </w:r>
      <w:r>
        <w:rPr>
          <w:rFonts w:hint="eastAsia" w:ascii="仿宋" w:eastAsia="仿宋" w:cs="Arial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eastAsia="仿宋" w:cs="Arial"/>
          <w:color w:val="000000"/>
          <w:sz w:val="30"/>
          <w:szCs w:val="30"/>
          <w:highlight w:val="none"/>
          <w:lang w:val="en-US" w:eastAsia="zh-CN"/>
        </w:rPr>
        <w:t>武汉大学、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中国市政工程华北设计研究总院有限公司</w:t>
      </w:r>
      <w:r>
        <w:rPr>
          <w:rFonts w:hint="eastAsia" w:ascii="仿宋" w:hAnsi="仿宋" w:eastAsia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上海城市建设设计研究总院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等。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hint="eastAsia" w:ascii="仿宋" w:eastAsia="仿宋" w:cs="Arial"/>
          <w:b/>
          <w:bCs/>
          <w:color w:val="000000"/>
          <w:sz w:val="32"/>
          <w:szCs w:val="32"/>
        </w:rPr>
      </w:pPr>
      <w:r>
        <w:rPr>
          <w:rFonts w:hint="eastAsia" w:ascii="仿宋" w:eastAsia="仿宋" w:cs="Arial"/>
          <w:b/>
          <w:bCs/>
          <w:color w:val="000000"/>
          <w:sz w:val="32"/>
          <w:szCs w:val="32"/>
        </w:rPr>
        <w:t>二、邀请嘉宾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侯立安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中国工程院院士、火箭军工程大学教授 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王金南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 xml:space="preserve"> 中国工程院院士、生态环境部环境规划院院长 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吴丰昌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中国工程院院士、中国环境科学研究院总工程师 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夏 </w:t>
      </w:r>
      <w:r>
        <w:rPr>
          <w:rFonts w:ascii="仿宋" w:hAnsi="仿宋" w:eastAsia="仿宋"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 xml:space="preserve">军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/>
          <w:bCs/>
          <w:sz w:val="30"/>
          <w:szCs w:val="30"/>
        </w:rPr>
        <w:t>中国科学院院士、武汉大学水安全研究院院长</w:t>
      </w: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徐祖信  中国工程院院士、同济大学教授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马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军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中国工程院院士、哈尔滨工业大学教授 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吴明红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上海大学副校长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胡 </w:t>
      </w:r>
      <w:r>
        <w:rPr>
          <w:rFonts w:ascii="仿宋" w:hAnsi="仿宋" w:eastAsia="仿宋"/>
          <w:bCs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青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南方大学教授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  <w:t>匡尚富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  <w:t>中国水利水电科学研究院院长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马进泉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城市水资源开发（北方）国家工程研究中心</w:t>
      </w:r>
    </w:p>
    <w:p>
      <w:pPr>
        <w:snapToGrid w:val="0"/>
        <w:spacing w:line="360" w:lineRule="auto"/>
        <w:ind w:firstLine="1800" w:firstLineChars="6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智慧水务研究院 院长 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甘一萍  北京排水集团 原总工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>唐建国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上海城市建设设计研究总院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总工、教授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徐  斌  同济大学环境科学与工程学院副院长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董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欣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清华大学环境学院 副教授、博士生导师  </w:t>
      </w:r>
    </w:p>
    <w:p>
      <w:pPr>
        <w:snapToGrid w:val="0"/>
        <w:spacing w:line="360" w:lineRule="auto"/>
        <w:ind w:firstLine="600" w:firstLineChars="200"/>
        <w:jc w:val="left"/>
        <w:rPr>
          <w:rFonts w:hint="default" w:ascii="仿宋" w:hAnsi="仿宋" w:eastAsia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赵冬泉 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清华规划院环境与市政所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>总工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贾海峰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清华大学环境学院城市径流控制与河流修复研究</w:t>
      </w:r>
    </w:p>
    <w:p>
      <w:pPr>
        <w:snapToGrid w:val="0"/>
        <w:spacing w:line="360" w:lineRule="auto"/>
        <w:ind w:firstLine="1800" w:firstLineChars="6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中心主任、教授、博士生导师 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贾瑞宝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山东省（济南）供排水监测中心主任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张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宝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 中国市政工程华北设计研究总院有限公司哈尔滨</w:t>
      </w:r>
    </w:p>
    <w:p>
      <w:pPr>
        <w:snapToGrid w:val="0"/>
        <w:spacing w:line="360" w:lineRule="auto"/>
        <w:ind w:firstLine="1800" w:firstLineChars="6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分公司 副院长、高级工程师 </w:t>
      </w:r>
    </w:p>
    <w:p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 xml:space="preserve">韩冠宇 </w:t>
      </w:r>
      <w:r>
        <w:rPr>
          <w:rFonts w:hint="eastAsia" w:ascii="仿宋" w:hAnsi="仿宋" w:eastAsia="仿宋"/>
          <w:bCs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highlight w:val="none"/>
        </w:rPr>
        <w:t>中国市政工程华北设计研究总院有限公司智慧水</w:t>
      </w:r>
    </w:p>
    <w:p>
      <w:pPr>
        <w:snapToGrid w:val="0"/>
        <w:spacing w:line="360" w:lineRule="auto"/>
        <w:ind w:firstLine="1800" w:firstLineChars="6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highlight w:val="none"/>
        </w:rPr>
        <w:t>务分公司 智能控制研究所所长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hint="eastAsia" w:ascii="仿宋" w:eastAsia="仿宋" w:cs="Arial"/>
          <w:b/>
          <w:bCs/>
          <w:color w:val="000000"/>
          <w:sz w:val="32"/>
          <w:szCs w:val="32"/>
        </w:rPr>
      </w:pPr>
      <w:r>
        <w:rPr>
          <w:rFonts w:hint="eastAsia" w:ascii="仿宋" w:eastAsia="仿宋" w:cs="Arial"/>
          <w:b/>
          <w:bCs/>
          <w:color w:val="000000"/>
          <w:sz w:val="32"/>
          <w:szCs w:val="32"/>
        </w:rPr>
        <w:t>三、主要议题</w:t>
      </w:r>
    </w:p>
    <w:p>
      <w:pPr>
        <w:snapToGrid w:val="0"/>
        <w:spacing w:line="360" w:lineRule="auto"/>
        <w:ind w:firstLine="602" w:firstLineChars="2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（一）智慧供水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eastAsia="仿宋" w:cs="Arial"/>
          <w:color w:val="000000"/>
          <w:sz w:val="30"/>
          <w:szCs w:val="30"/>
        </w:rPr>
        <w:t>基于机器学习的水厂优化运行；自动化水质监测系统建设及服务模式；二次供水泵房智能巡检；智能供水综合调度；供水管网漏损优化控制；供水安全管理的评测系统；通过工艺优化模型提升制水过程的效率；城镇供水管网分区计量管理系统；</w:t>
      </w:r>
      <w:r>
        <w:rPr>
          <w:rFonts w:hint="eastAsia" w:ascii="仿宋" w:eastAsia="仿宋"/>
          <w:color w:val="000000"/>
          <w:sz w:val="30"/>
          <w:szCs w:val="30"/>
        </w:rPr>
        <w:t>农村供水自动化、信息化、智能化推进；</w:t>
      </w:r>
      <w:r>
        <w:rPr>
          <w:rFonts w:hint="eastAsia" w:ascii="仿宋" w:eastAsia="仿宋" w:cs="Arial"/>
          <w:color w:val="000000"/>
          <w:sz w:val="30"/>
          <w:szCs w:val="30"/>
        </w:rPr>
        <w:t>等。</w:t>
      </w:r>
    </w:p>
    <w:p>
      <w:pPr>
        <w:snapToGrid w:val="0"/>
        <w:spacing w:line="360" w:lineRule="auto"/>
        <w:ind w:firstLine="602" w:firstLineChars="200"/>
        <w:rPr>
          <w:rFonts w:asci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（二）智慧排水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eastAsia="仿宋" w:cs="Arial"/>
          <w:color w:val="000000"/>
          <w:sz w:val="30"/>
          <w:szCs w:val="30"/>
        </w:rPr>
        <w:t>智慧曝气管理；智能排水调度优化；</w:t>
      </w:r>
      <w:r>
        <w:rPr>
          <w:rFonts w:ascii="仿宋" w:eastAsia="仿宋" w:cs="Arial"/>
          <w:color w:val="000000"/>
          <w:sz w:val="30"/>
          <w:szCs w:val="30"/>
        </w:rPr>
        <w:t>排水在线监测与预警系统及其应用；</w:t>
      </w:r>
      <w:r>
        <w:rPr>
          <w:rFonts w:hint="eastAsia" w:ascii="仿宋" w:eastAsia="仿宋" w:cs="Arial"/>
          <w:color w:val="000000"/>
          <w:sz w:val="30"/>
          <w:szCs w:val="30"/>
        </w:rPr>
        <w:t>分散式污水处理站智能监管；污水厂区</w:t>
      </w:r>
      <w:r>
        <w:rPr>
          <w:rFonts w:ascii="仿宋" w:eastAsia="仿宋" w:cs="Arial"/>
          <w:color w:val="000000"/>
          <w:sz w:val="30"/>
          <w:szCs w:val="30"/>
        </w:rPr>
        <w:t>AI视觉监控</w:t>
      </w:r>
      <w:r>
        <w:rPr>
          <w:rFonts w:hint="eastAsia" w:ascii="仿宋" w:eastAsia="仿宋" w:cs="Arial"/>
          <w:color w:val="000000"/>
          <w:sz w:val="30"/>
          <w:szCs w:val="30"/>
        </w:rPr>
        <w:t>；智能化管网漏损预警与定位；管网预测性维护；等。</w:t>
      </w:r>
    </w:p>
    <w:p>
      <w:pPr>
        <w:snapToGrid w:val="0"/>
        <w:spacing w:line="360" w:lineRule="auto"/>
        <w:ind w:firstLine="602" w:firstLineChars="200"/>
        <w:rPr>
          <w:rFonts w:asci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（三）城市水环境智慧管控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仿宋" w:eastAsia="仿宋" w:cs="Arial"/>
          <w:color w:val="000000"/>
          <w:sz w:val="30"/>
          <w:szCs w:val="30"/>
        </w:rPr>
        <w:t>黑臭水体督查管理系统及其应用；</w:t>
      </w:r>
      <w:r>
        <w:rPr>
          <w:rFonts w:hint="eastAsia" w:ascii="仿宋" w:eastAsia="仿宋" w:cs="Arial"/>
          <w:color w:val="000000"/>
          <w:sz w:val="30"/>
          <w:szCs w:val="30"/>
        </w:rPr>
        <w:t>海绵城市远程监控系统；</w:t>
      </w:r>
      <w:r>
        <w:rPr>
          <w:rFonts w:ascii="仿宋" w:eastAsia="仿宋" w:cs="Arial"/>
          <w:color w:val="000000"/>
          <w:sz w:val="30"/>
          <w:szCs w:val="30"/>
        </w:rPr>
        <w:t>智慧河长与河长制信息化建设；水环境生态修复技术应用</w:t>
      </w:r>
      <w:r>
        <w:rPr>
          <w:rFonts w:hint="eastAsia" w:ascii="仿宋" w:eastAsia="仿宋" w:cs="Arial"/>
          <w:color w:val="000000"/>
          <w:sz w:val="30"/>
          <w:szCs w:val="30"/>
        </w:rPr>
        <w:t>；等。</w:t>
      </w:r>
    </w:p>
    <w:p>
      <w:pPr>
        <w:snapToGrid w:val="0"/>
        <w:spacing w:line="360" w:lineRule="auto"/>
        <w:ind w:firstLine="602" w:firstLineChars="200"/>
        <w:rPr>
          <w:rFonts w:asci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（四）水资源智慧管控 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  <w:r>
        <w:rPr>
          <w:rFonts w:hint="eastAsia" w:ascii="仿宋" w:eastAsia="仿宋" w:cs="Arial"/>
          <w:color w:val="000000"/>
          <w:sz w:val="30"/>
          <w:szCs w:val="30"/>
        </w:rPr>
        <w:t>城市流域水环境治理工程管控；水环境模拟大数据平台；</w:t>
      </w:r>
      <w:r>
        <w:rPr>
          <w:rFonts w:ascii="仿宋" w:eastAsia="仿宋" w:cs="Arial"/>
          <w:color w:val="000000"/>
          <w:sz w:val="30"/>
          <w:szCs w:val="30"/>
        </w:rPr>
        <w:t>遥感技术在水环境保护中的应用；水环境治理大数据挖掘和行业发展分析；基于人工智能机器学习技术的蓝藻预测预警方法研究；</w:t>
      </w:r>
      <w:r>
        <w:rPr>
          <w:rFonts w:hint="eastAsia" w:ascii="仿宋" w:eastAsia="仿宋" w:cs="Arial"/>
          <w:color w:val="000000"/>
          <w:sz w:val="30"/>
          <w:szCs w:val="30"/>
        </w:rPr>
        <w:t>等。</w:t>
      </w:r>
    </w:p>
    <w:p>
      <w:pPr>
        <w:snapToGrid w:val="0"/>
        <w:spacing w:line="360" w:lineRule="auto"/>
        <w:ind w:firstLine="602" w:firstLineChars="200"/>
        <w:rPr>
          <w:rFonts w:asci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（五）水环境智慧监测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仿宋" w:eastAsia="仿宋" w:cs="Arial"/>
          <w:color w:val="000000"/>
          <w:sz w:val="30"/>
          <w:szCs w:val="30"/>
        </w:rPr>
        <w:t>流域水环境系统模型研究及其应用；流域水环境智能管理决策系统及其应用；基于物联网技术的水环境监测、分析系统及其应用；水环境违法处罚信息管理平台及其应用；水污染智慧溯源</w:t>
      </w:r>
      <w:r>
        <w:rPr>
          <w:rFonts w:hint="eastAsia" w:ascii="仿宋" w:eastAsia="仿宋" w:cs="Arial"/>
          <w:color w:val="000000"/>
          <w:sz w:val="30"/>
          <w:szCs w:val="30"/>
        </w:rPr>
        <w:t>；</w:t>
      </w:r>
      <w:r>
        <w:rPr>
          <w:rFonts w:hint="eastAsia" w:ascii="仿宋" w:eastAsia="仿宋" w:cs="Times New Roman"/>
          <w:color w:val="000000"/>
          <w:sz w:val="30"/>
          <w:szCs w:val="30"/>
        </w:rPr>
        <w:t>地下水监测、</w:t>
      </w:r>
      <w:r>
        <w:rPr>
          <w:rFonts w:ascii="仿宋" w:eastAsia="仿宋" w:cs="Times New Roman"/>
          <w:color w:val="000000"/>
          <w:sz w:val="30"/>
          <w:szCs w:val="30"/>
        </w:rPr>
        <w:t>水</w:t>
      </w:r>
      <w:r>
        <w:rPr>
          <w:rFonts w:ascii="仿宋" w:eastAsia="仿宋"/>
          <w:color w:val="000000"/>
          <w:sz w:val="30"/>
          <w:szCs w:val="30"/>
        </w:rPr>
        <w:t>污染</w:t>
      </w:r>
      <w:r>
        <w:rPr>
          <w:rFonts w:ascii="仿宋" w:eastAsia="仿宋" w:cs="Arial"/>
          <w:color w:val="000000"/>
          <w:sz w:val="30"/>
          <w:szCs w:val="30"/>
        </w:rPr>
        <w:t>物全过程</w:t>
      </w:r>
      <w:r>
        <w:rPr>
          <w:rFonts w:ascii="仿宋" w:eastAsia="仿宋"/>
          <w:color w:val="000000"/>
          <w:sz w:val="30"/>
          <w:szCs w:val="30"/>
        </w:rPr>
        <w:t>智慧</w:t>
      </w:r>
      <w:r>
        <w:rPr>
          <w:rFonts w:ascii="仿宋" w:eastAsia="仿宋" w:cs="Arial"/>
          <w:color w:val="000000"/>
          <w:sz w:val="30"/>
          <w:szCs w:val="30"/>
        </w:rPr>
        <w:t>监管</w:t>
      </w:r>
      <w:r>
        <w:rPr>
          <w:rFonts w:hint="eastAsia" w:ascii="仿宋" w:eastAsia="仿宋" w:cs="Arial"/>
          <w:color w:val="000000"/>
          <w:sz w:val="30"/>
          <w:szCs w:val="30"/>
        </w:rPr>
        <w:t>；等。</w:t>
      </w:r>
    </w:p>
    <w:p>
      <w:pPr>
        <w:snapToGrid w:val="0"/>
        <w:spacing w:line="360" w:lineRule="auto"/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六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）智慧节水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节水灌溉模型优化灌区用水模式；农业高效节水技术创新和应用；</w:t>
      </w:r>
      <w:r>
        <w:rPr>
          <w:rFonts w:ascii="仿宋" w:hAnsi="仿宋" w:eastAsia="仿宋"/>
          <w:sz w:val="30"/>
          <w:szCs w:val="30"/>
        </w:rPr>
        <w:t>智能传感器</w:t>
      </w:r>
      <w:r>
        <w:rPr>
          <w:rFonts w:hint="eastAsia" w:ascii="仿宋" w:hAnsi="仿宋" w:eastAsia="仿宋"/>
          <w:sz w:val="30"/>
          <w:szCs w:val="30"/>
        </w:rPr>
        <w:t>在节水中的作用；农业、工业用水量智能监控；等。</w:t>
      </w:r>
    </w:p>
    <w:p>
      <w:pPr>
        <w:snapToGrid w:val="0"/>
        <w:spacing w:line="360" w:lineRule="auto"/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（七）智慧水利 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水电站生态流量监测；水库泄洪预警；等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仿宋" w:eastAsia="仿宋" w:cs="Arial"/>
          <w:b/>
          <w:bCs/>
          <w:color w:val="000000"/>
          <w:sz w:val="32"/>
          <w:szCs w:val="32"/>
        </w:rPr>
      </w:pPr>
      <w:r>
        <w:rPr>
          <w:rFonts w:hint="eastAsia" w:ascii="仿宋" w:eastAsia="仿宋" w:cs="Arial"/>
          <w:b/>
          <w:bCs/>
          <w:color w:val="000000"/>
          <w:sz w:val="32"/>
          <w:szCs w:val="32"/>
        </w:rPr>
        <w:t>四、日程安排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ascii="仿宋" w:eastAsia="仿宋" w:cs="Arial"/>
          <w:color w:val="000000"/>
          <w:sz w:val="30"/>
          <w:szCs w:val="30"/>
        </w:rPr>
        <w:t>12</w:t>
      </w:r>
      <w:r>
        <w:rPr>
          <w:rFonts w:hint="eastAsia" w:ascii="仿宋" w:eastAsia="仿宋" w:cs="Arial"/>
          <w:color w:val="000000"/>
          <w:sz w:val="30"/>
          <w:szCs w:val="30"/>
        </w:rPr>
        <w:t>月</w:t>
      </w:r>
      <w:r>
        <w:rPr>
          <w:rFonts w:ascii="仿宋" w:eastAsia="仿宋" w:cs="Arial"/>
          <w:color w:val="000000"/>
          <w:sz w:val="30"/>
          <w:szCs w:val="30"/>
        </w:rPr>
        <w:t>2</w:t>
      </w:r>
      <w:r>
        <w:rPr>
          <w:rFonts w:hint="eastAsia" w:ascii="仿宋" w:eastAsia="仿宋" w:cs="Arial"/>
          <w:color w:val="000000"/>
          <w:sz w:val="30"/>
          <w:szCs w:val="30"/>
        </w:rPr>
        <w:t>日 下午</w:t>
      </w:r>
    </w:p>
    <w:p>
      <w:pPr>
        <w:snapToGrid w:val="0"/>
        <w:spacing w:line="360" w:lineRule="auto"/>
        <w:ind w:firstLine="1124" w:firstLineChars="400"/>
        <w:rPr>
          <w:rFonts w:hint="eastAsia" w:ascii="仿宋" w:eastAsia="仿宋" w:cs="Arial"/>
          <w:b/>
          <w:bCs/>
          <w:color w:val="000000"/>
          <w:sz w:val="28"/>
          <w:szCs w:val="28"/>
        </w:rPr>
      </w:pPr>
      <w:r>
        <w:rPr>
          <w:rFonts w:hint="eastAsia" w:ascii="仿宋" w:eastAsia="仿宋" w:cs="Arial"/>
          <w:b/>
          <w:bCs/>
          <w:color w:val="000000"/>
          <w:sz w:val="28"/>
          <w:szCs w:val="28"/>
        </w:rPr>
        <w:t>“一带一路”环境与经济合作论坛</w:t>
      </w:r>
    </w:p>
    <w:p>
      <w:pPr>
        <w:snapToGrid w:val="0"/>
        <w:spacing w:line="360" w:lineRule="auto"/>
        <w:ind w:firstLine="1400" w:firstLineChars="500"/>
        <w:rPr>
          <w:rFonts w:hint="default" w:ascii="仿宋" w:eastAsia="仿宋" w:cs="Arial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eastAsia="仿宋" w:cs="Arial"/>
          <w:b w:val="0"/>
          <w:bCs w:val="0"/>
          <w:color w:val="000000"/>
          <w:sz w:val="28"/>
          <w:szCs w:val="28"/>
          <w:lang w:val="en-US" w:eastAsia="zh-CN"/>
        </w:rPr>
        <w:t>参加圆桌会议请与会务组联系：李伟 18518703255</w:t>
      </w:r>
      <w:bookmarkStart w:id="0" w:name="_GoBack"/>
      <w:bookmarkEnd w:id="0"/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ascii="仿宋" w:eastAsia="仿宋" w:cs="Arial"/>
          <w:color w:val="000000"/>
          <w:sz w:val="30"/>
          <w:szCs w:val="30"/>
        </w:rPr>
        <w:t>12</w:t>
      </w:r>
      <w:r>
        <w:rPr>
          <w:rFonts w:hint="eastAsia" w:ascii="仿宋" w:eastAsia="仿宋" w:cs="Arial"/>
          <w:color w:val="000000"/>
          <w:sz w:val="30"/>
          <w:szCs w:val="30"/>
        </w:rPr>
        <w:t>月</w:t>
      </w:r>
      <w:r>
        <w:rPr>
          <w:rFonts w:ascii="仿宋" w:eastAsia="仿宋" w:cs="Arial"/>
          <w:color w:val="000000"/>
          <w:sz w:val="30"/>
          <w:szCs w:val="30"/>
        </w:rPr>
        <w:t>3</w:t>
      </w:r>
      <w:r>
        <w:rPr>
          <w:rFonts w:hint="eastAsia" w:ascii="仿宋" w:eastAsia="仿宋" w:cs="Arial"/>
          <w:color w:val="000000"/>
          <w:sz w:val="30"/>
          <w:szCs w:val="30"/>
        </w:rPr>
        <w:t>日 全天</w:t>
      </w:r>
    </w:p>
    <w:p>
      <w:pPr>
        <w:snapToGrid w:val="0"/>
        <w:spacing w:line="360" w:lineRule="auto"/>
        <w:ind w:firstLine="1124" w:firstLineChars="400"/>
        <w:rPr>
          <w:rFonts w:ascii="仿宋" w:eastAsia="仿宋" w:cs="Arial"/>
          <w:b/>
          <w:bCs/>
          <w:color w:val="000000"/>
          <w:sz w:val="28"/>
          <w:szCs w:val="28"/>
        </w:rPr>
      </w:pPr>
      <w:r>
        <w:rPr>
          <w:rFonts w:hint="eastAsia" w:ascii="仿宋" w:eastAsia="仿宋" w:cs="Arial"/>
          <w:b/>
          <w:bCs/>
          <w:color w:val="000000"/>
          <w:sz w:val="28"/>
          <w:szCs w:val="28"/>
        </w:rPr>
        <w:t>第十六届环境与发展论坛开幕式及综合论坛</w:t>
      </w:r>
    </w:p>
    <w:p>
      <w:pPr>
        <w:snapToGrid w:val="0"/>
        <w:spacing w:line="360" w:lineRule="auto"/>
        <w:ind w:firstLine="600" w:firstLineChars="2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ascii="仿宋" w:eastAsia="仿宋" w:cs="Arial"/>
          <w:color w:val="000000"/>
          <w:sz w:val="30"/>
          <w:szCs w:val="30"/>
        </w:rPr>
        <w:t>12</w:t>
      </w:r>
      <w:r>
        <w:rPr>
          <w:rFonts w:hint="eastAsia" w:ascii="仿宋" w:eastAsia="仿宋" w:cs="Arial"/>
          <w:color w:val="000000"/>
          <w:sz w:val="30"/>
          <w:szCs w:val="30"/>
        </w:rPr>
        <w:t>月</w:t>
      </w:r>
      <w:r>
        <w:rPr>
          <w:rFonts w:ascii="仿宋" w:eastAsia="仿宋" w:cs="Arial"/>
          <w:color w:val="000000"/>
          <w:sz w:val="30"/>
          <w:szCs w:val="30"/>
        </w:rPr>
        <w:t>4</w:t>
      </w:r>
      <w:r>
        <w:rPr>
          <w:rFonts w:hint="eastAsia" w:ascii="仿宋" w:eastAsia="仿宋" w:cs="Arial"/>
          <w:color w:val="000000"/>
          <w:sz w:val="30"/>
          <w:szCs w:val="30"/>
        </w:rPr>
        <w:t>日 全天</w:t>
      </w:r>
    </w:p>
    <w:p>
      <w:pPr>
        <w:snapToGrid w:val="0"/>
        <w:spacing w:line="360" w:lineRule="auto"/>
        <w:ind w:firstLine="1124" w:firstLineChars="400"/>
        <w:rPr>
          <w:rFonts w:ascii="仿宋" w:eastAsia="仿宋" w:cs="Arial"/>
          <w:b/>
          <w:bCs/>
          <w:color w:val="000000"/>
          <w:sz w:val="28"/>
          <w:szCs w:val="28"/>
        </w:rPr>
      </w:pPr>
      <w:r>
        <w:rPr>
          <w:rFonts w:hint="eastAsia" w:ascii="仿宋" w:eastAsia="仿宋" w:cs="Arial"/>
          <w:b/>
          <w:bCs/>
          <w:color w:val="000000"/>
          <w:sz w:val="28"/>
          <w:szCs w:val="28"/>
        </w:rPr>
        <w:t>智慧水环境管理创新发展（武汉）峰会</w:t>
      </w:r>
    </w:p>
    <w:p>
      <w:pPr>
        <w:snapToGrid w:val="0"/>
        <w:spacing w:line="360" w:lineRule="auto"/>
        <w:ind w:firstLine="600" w:firstLineChars="200"/>
        <w:rPr>
          <w:rFonts w:ascii="仿宋" w:eastAsia="仿宋" w:cs="Arial"/>
          <w:color w:val="000000"/>
          <w:sz w:val="30"/>
          <w:szCs w:val="30"/>
        </w:rPr>
      </w:pPr>
      <w:r>
        <w:rPr>
          <w:rFonts w:ascii="仿宋" w:eastAsia="仿宋" w:cs="Arial"/>
          <w:color w:val="000000"/>
          <w:sz w:val="30"/>
          <w:szCs w:val="30"/>
        </w:rPr>
        <w:t>12</w:t>
      </w:r>
      <w:r>
        <w:rPr>
          <w:rFonts w:hint="eastAsia" w:ascii="仿宋" w:eastAsia="仿宋" w:cs="Arial"/>
          <w:color w:val="000000"/>
          <w:sz w:val="30"/>
          <w:szCs w:val="30"/>
        </w:rPr>
        <w:t>月</w:t>
      </w:r>
      <w:r>
        <w:rPr>
          <w:rFonts w:ascii="仿宋" w:eastAsia="仿宋" w:cs="Arial"/>
          <w:color w:val="000000"/>
          <w:sz w:val="30"/>
          <w:szCs w:val="30"/>
        </w:rPr>
        <w:t>3</w:t>
      </w:r>
      <w:r>
        <w:rPr>
          <w:rFonts w:hint="eastAsia" w:ascii="仿宋" w:eastAsia="仿宋" w:cs="Arial"/>
          <w:color w:val="000000"/>
          <w:sz w:val="30"/>
          <w:szCs w:val="30"/>
        </w:rPr>
        <w:t>日—5日</w:t>
      </w:r>
    </w:p>
    <w:p>
      <w:pPr>
        <w:snapToGrid w:val="0"/>
        <w:spacing w:line="360" w:lineRule="auto"/>
        <w:ind w:firstLine="1124" w:firstLineChars="400"/>
        <w:rPr>
          <w:rFonts w:hint="eastAsia" w:ascii="仿宋" w:eastAsia="仿宋" w:cs="Arial"/>
          <w:color w:val="000000"/>
          <w:sz w:val="30"/>
          <w:szCs w:val="30"/>
        </w:rPr>
      </w:pPr>
      <w:r>
        <w:rPr>
          <w:rFonts w:ascii="仿宋" w:eastAsia="仿宋" w:cs="Arial"/>
          <w:b/>
          <w:bCs/>
          <w:color w:val="000000"/>
          <w:sz w:val="28"/>
          <w:szCs w:val="28"/>
        </w:rPr>
        <w:t>2021</w:t>
      </w:r>
      <w:r>
        <w:rPr>
          <w:rFonts w:hint="eastAsia" w:ascii="仿宋" w:eastAsia="仿宋" w:cs="Arial"/>
          <w:b/>
          <w:bCs/>
          <w:color w:val="000000"/>
          <w:sz w:val="28"/>
          <w:szCs w:val="28"/>
        </w:rPr>
        <w:t>长江经济带生态环境技术与装备博览会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2E21"/>
    <w:rsid w:val="0BB51E02"/>
    <w:rsid w:val="11340AEB"/>
    <w:rsid w:val="6693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2021-10-26T09:05:00Z</dcterms:created>
  <dc:creator>李微</dc:creator>
  <cp:lastModifiedBy>李微</cp:lastModifiedBy>
  <dcterms:modified xsi:type="dcterms:W3CDTF">2021-10-29T09:50:31Z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4B83F9A56CC64CE2BB908F6E6FB486DB</vt:lpwstr>
  </property>
</Properties>
</file>